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宿迁市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第二</w:t>
      </w:r>
      <w:r>
        <w:rPr>
          <w:rFonts w:hint="eastAsia" w:ascii="黑体" w:hAnsi="黑体" w:eastAsia="黑体" w:cs="Times New Roman"/>
          <w:sz w:val="44"/>
          <w:szCs w:val="44"/>
        </w:rPr>
        <w:t>批产业创新联合体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拟</w:t>
      </w:r>
      <w:r>
        <w:rPr>
          <w:rFonts w:hint="eastAsia" w:ascii="黑体" w:hAnsi="黑体" w:eastAsia="黑体" w:cs="Times New Roman"/>
          <w:sz w:val="44"/>
          <w:szCs w:val="44"/>
        </w:rPr>
        <w:t>备案名单</w:t>
      </w:r>
    </w:p>
    <w:bookmarkEnd w:id="0"/>
    <w:tbl>
      <w:tblPr>
        <w:tblStyle w:val="2"/>
        <w:tblW w:w="90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467"/>
        <w:gridCol w:w="3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产业创新联合体名称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牵头单位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宿迁市生物医药产业创新联合体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江苏阿尔法药业股份有限公司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宿迁市化学纤维产业创新联合体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江苏德力化纤有限公司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宿迁市畜禽产业创新联合体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江苏益客食品集团股份有限公司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宿迁市动力电池产业创新联合体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浙江天能电池（江苏）有限公司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宿迁市有机新材料产业创新联合体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宿迁联盛科技股份有限公司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宿迁市智能家电产业创新联合体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江苏威诺检测技术有限公司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宿迁市功能玻璃材料产业创新联合体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江苏秀强玻璃工艺股份有限公司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宿迁市电子元器件产业创新联合体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聚灿光电科技（宿迁）有限公司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宿迁市集成电路产业创新联合体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长电科技（宿迁）有限公司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宿迁市稻米粮油产业创新联合体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江苏苏北粮油股份有限公司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宿迁市大数据+产业创新联合体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京东云计算有限公司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宿迁市半固态成形制造产业创新联合体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江苏睿甲金属科技股份有限公司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宿迁市绿色建材产业创新联合体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中铁装配科技（宿迁）有限公司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宿迁市高端家居产业创新联合体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江苏金迪木股份有限公司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宿迁市生态纺织产业创新联合体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称意科技研发园（江苏）有限公司</w:t>
            </w:r>
          </w:p>
        </w:tc>
      </w:tr>
    </w:tbl>
    <w:p/>
    <w:sectPr>
      <w:pgSz w:w="11906" w:h="16838"/>
      <w:pgMar w:top="1814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2F8506A0"/>
    <w:rsid w:val="2F8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2022-11-01T02:47:00Z</dcterms:created>
  <dc:creator>tt</dc:creator>
  <cp:lastModifiedBy>tt</cp:lastModifiedBy>
  <dcterms:modified xsi:type="dcterms:W3CDTF">2022-11-01T02:47:31Z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80E8E1A4FAB54E59AA916CEFFBFBAE42</vt:lpwstr>
  </property>
</Properties>
</file>