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wordWrap/>
        <w:spacing w:line="560" w:lineRule="exact"/>
        <w:jc w:val="left"/>
        <w:rPr>
          <w:rFonts w:hint="eastAsia" w:ascii="方正仿宋_GBK" w:eastAsia="方正仿宋_GBK"/>
          <w:sz w:val="32"/>
          <w:szCs w:val="32"/>
          <w:lang w:val="en-US" w:eastAsia="zh-CN"/>
        </w:rPr>
      </w:pPr>
    </w:p>
    <w:p>
      <w:pPr>
        <w:wordWrap/>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2022年度盐城市外国专家工作室拟认定</w:t>
      </w:r>
      <w:bookmarkStart w:id="0" w:name="_GoBack"/>
      <w:r>
        <w:rPr>
          <w:rFonts w:hint="eastAsia" w:ascii="方正小标宋_GBK" w:hAnsi="方正小标宋_GBK" w:eastAsia="方正小标宋_GBK" w:cs="方正小标宋_GBK"/>
          <w:sz w:val="44"/>
          <w:szCs w:val="44"/>
          <w:lang w:val="en-US" w:eastAsia="zh-CN"/>
        </w:rPr>
        <w:t>名单</w:t>
      </w:r>
      <w:bookmarkEnd w:id="0"/>
    </w:p>
    <w:p>
      <w:pPr>
        <w:wordWrap/>
        <w:spacing w:line="560" w:lineRule="exact"/>
        <w:jc w:val="center"/>
        <w:rPr>
          <w:rFonts w:hint="eastAsia" w:ascii="方正小标宋_GBK" w:hAnsi="方正小标宋_GBK" w:eastAsia="方正小标宋_GBK" w:cs="方正小标宋_GBK"/>
          <w:sz w:val="44"/>
          <w:szCs w:val="44"/>
          <w:lang w:val="en-US" w:eastAsia="zh-CN"/>
        </w:rPr>
      </w:pPr>
    </w:p>
    <w:tbl>
      <w:tblPr>
        <w:tblStyle w:val="3"/>
        <w:tblpPr w:leftFromText="180" w:rightFromText="180" w:vertAnchor="text" w:horzAnchor="margin" w:tblpXSpec="center" w:tblpY="172"/>
        <w:tblW w:w="8782" w:type="dxa"/>
        <w:tblInd w:w="-1378" w:type="dxa"/>
        <w:tblLayout w:type="fixed"/>
        <w:tblCellMar>
          <w:top w:w="0" w:type="dxa"/>
          <w:left w:w="108" w:type="dxa"/>
          <w:bottom w:w="0" w:type="dxa"/>
          <w:right w:w="108" w:type="dxa"/>
        </w:tblCellMar>
      </w:tblPr>
      <w:tblGrid>
        <w:gridCol w:w="813"/>
        <w:gridCol w:w="1270"/>
        <w:gridCol w:w="2850"/>
        <w:gridCol w:w="3849"/>
      </w:tblGrid>
      <w:tr>
        <w:trPr>
          <w:trHeight w:val="541"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序号</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黑体" w:hAnsi="黑体" w:eastAsia="黑体" w:cs="宋体"/>
                <w:kern w:val="0"/>
                <w:szCs w:val="21"/>
              </w:rPr>
            </w:pPr>
            <w:r>
              <w:rPr>
                <w:rFonts w:hint="eastAsia" w:ascii="黑体" w:hAnsi="黑体" w:eastAsia="黑体" w:cs="宋体"/>
                <w:kern w:val="0"/>
                <w:szCs w:val="21"/>
                <w:lang w:val="en-US" w:eastAsia="zh-CN"/>
              </w:rPr>
              <w:t>所在区域</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黑体" w:hAnsi="黑体" w:eastAsia="黑体" w:cs="宋体"/>
                <w:kern w:val="0"/>
                <w:szCs w:val="21"/>
                <w:lang w:val="en-US"/>
              </w:rPr>
            </w:pPr>
            <w:r>
              <w:rPr>
                <w:rFonts w:hint="eastAsia" w:ascii="黑体" w:hAnsi="黑体" w:eastAsia="黑体" w:cs="宋体"/>
                <w:kern w:val="0"/>
                <w:szCs w:val="21"/>
                <w:lang w:val="en-US" w:eastAsia="zh-CN"/>
              </w:rPr>
              <w:t>依托单位</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宋体"/>
                <w:kern w:val="0"/>
                <w:szCs w:val="21"/>
                <w:lang w:val="en-US"/>
              </w:rPr>
            </w:pPr>
            <w:r>
              <w:rPr>
                <w:rFonts w:hint="eastAsia" w:ascii="黑体" w:hAnsi="黑体" w:eastAsia="黑体" w:cs="宋体"/>
                <w:kern w:val="0"/>
                <w:szCs w:val="21"/>
                <w:lang w:val="en-US" w:eastAsia="zh-CN"/>
              </w:rPr>
              <w:t>外国专家工作室名称</w:t>
            </w:r>
          </w:p>
        </w:tc>
      </w:tr>
      <w:tr>
        <w:trPr>
          <w:trHeight w:val="975" w:hRule="atLeast"/>
        </w:trPr>
        <w:tc>
          <w:tcPr>
            <w:tcW w:w="8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东台市</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江苏富乐华半导体科技股份有限公司</w:t>
            </w:r>
          </w:p>
        </w:tc>
        <w:tc>
          <w:tcPr>
            <w:tcW w:w="3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江苏富乐华半导体科技股份有限公司功率半导体研究院</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975" w:hRule="atLeast"/>
        </w:trPr>
        <w:tc>
          <w:tcPr>
            <w:tcW w:w="8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2</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东台市</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江苏华久特钢工具有限公司</w:t>
            </w:r>
          </w:p>
        </w:tc>
        <w:tc>
          <w:tcPr>
            <w:tcW w:w="3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江苏华久特钢工具有限公司技术中心</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975" w:hRule="atLeast"/>
        </w:trPr>
        <w:tc>
          <w:tcPr>
            <w:tcW w:w="8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建湖县</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赛德新光电材料(盐城)有限公司</w:t>
            </w:r>
          </w:p>
        </w:tc>
        <w:tc>
          <w:tcPr>
            <w:tcW w:w="3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赛德新光电材料(盐城)有限公司技术部</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975" w:hRule="atLeast"/>
        </w:trPr>
        <w:tc>
          <w:tcPr>
            <w:tcW w:w="8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4</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建湖县</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江苏东西发动机配件有限公司</w:t>
            </w:r>
          </w:p>
        </w:tc>
        <w:tc>
          <w:tcPr>
            <w:tcW w:w="3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江苏东西发动机配件有限公司总务部</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1098" w:hRule="atLeast"/>
        </w:trPr>
        <w:tc>
          <w:tcPr>
            <w:tcW w:w="8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5</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盐都区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江苏华跃纺织新材料科技股份有限公司</w:t>
            </w:r>
          </w:p>
        </w:tc>
        <w:tc>
          <w:tcPr>
            <w:tcW w:w="3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江苏华跃纺织新材料科技股份有限公司膨体聚四氟乙烯及衍生制品工程技术研究中心</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888"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6</w:t>
            </w:r>
          </w:p>
        </w:tc>
        <w:tc>
          <w:tcPr>
            <w:tcW w:w="1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盐都区</w:t>
            </w: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江苏中贵重工有限公司</w:t>
            </w:r>
          </w:p>
        </w:tc>
        <w:tc>
          <w:tcPr>
            <w:tcW w:w="3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江苏中贵重工有限公司</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7</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盐都区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盐城华曜农业生物科技有限公司</w:t>
            </w:r>
          </w:p>
        </w:tc>
        <w:tc>
          <w:tcPr>
            <w:tcW w:w="3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盐城华曜农业生物科技有限公司研发部</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29" w:hRule="atLeast"/>
        </w:trPr>
        <w:tc>
          <w:tcPr>
            <w:tcW w:w="8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8</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盐都区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盐城市金洲机械制造有限公司</w:t>
            </w:r>
          </w:p>
        </w:tc>
        <w:tc>
          <w:tcPr>
            <w:tcW w:w="3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盐城市金洲机械制造有限公司技术中心</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9</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盐都区</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江苏华东砂轮有限公司</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江苏华东砂轮有限公司工程技术研究中心</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10</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盐都区</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盐城大学科技园有限公司</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盐城大学科技园有限公司盐龙湖先进技术研究院</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w:t>
            </w:r>
            <w:r>
              <w:rPr>
                <w:rFonts w:hint="eastAsia" w:ascii="Times New Roman" w:hAnsi="Times New Roman" w:cs="Times New Roman" w:eastAsiaTheme="minorEastAsia"/>
                <w:i w:val="0"/>
                <w:iCs w:val="0"/>
                <w:color w:val="000000"/>
                <w:kern w:val="0"/>
                <w:sz w:val="21"/>
                <w:szCs w:val="21"/>
                <w:u w:val="none"/>
                <w:lang w:val="en-US" w:eastAsia="zh-CN" w:bidi="ar"/>
              </w:rPr>
              <w:t>1</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开发区</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盐城市湿地和世界自然遗产保护管理中心</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盐城市湿地和世界自然遗产保护管理中心海岸农业</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12</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开发区</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盐城市湿地和世界自然遗产保护管理中心</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盐城市湿地和世界自然遗产保护管理中心候鸟迁飞保育</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13</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开发区</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盐城市湿地和世界自然遗产保护管理中心</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盐城市湿地和世界自然遗产保护管理中心生物多样性保护</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754"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14</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盐南高新区</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云火科技（盐城）有限公司</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云火科技（盐城）有限公司</w:t>
            </w:r>
            <w:r>
              <w:rPr>
                <w:rFonts w:hint="eastAsia" w:ascii="Times New Roman" w:hAnsi="Times New Roman" w:cs="Times New Roman" w:eastAsiaTheme="minorEastAsia"/>
                <w:i w:val="0"/>
                <w:iCs w:val="0"/>
                <w:color w:val="000000"/>
                <w:kern w:val="0"/>
                <w:sz w:val="21"/>
                <w:szCs w:val="21"/>
                <w:u w:val="none"/>
                <w:lang w:val="en-US" w:eastAsia="zh-CN" w:bidi="ar"/>
              </w:rPr>
              <w:t>研发部</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984"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15</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市直</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盐城师范学院</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盐城师范学院药学院</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16</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市直</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盐城工业职业技术学院</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盐城工业职业技术学院智能制造学院</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17</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市直</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江苏医药职业学院</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江苏医药职业学院护理学院</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18</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市直</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江苏医药职业学院</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江苏医药职业学院医学院</w:t>
            </w:r>
            <w:r>
              <w:rPr>
                <w:rFonts w:hint="eastAsia" w:ascii="Times New Roman" w:hAnsi="Times New Roman" w:cs="Times New Roman"/>
                <w:i w:val="0"/>
                <w:iCs w:val="0"/>
                <w:color w:val="000000"/>
                <w:kern w:val="0"/>
                <w:sz w:val="21"/>
                <w:szCs w:val="21"/>
                <w:u w:val="none"/>
                <w:lang w:val="en-US" w:eastAsia="zh-CN" w:bidi="ar"/>
              </w:rPr>
              <w:t>外国专家工作室</w:t>
            </w:r>
          </w:p>
        </w:tc>
      </w:tr>
      <w:tr>
        <w:trPr>
          <w:trHeight w:val="659"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19</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市直</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江苏医药职业学院</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江苏医药职业学院医学影像学院</w:t>
            </w:r>
            <w:r>
              <w:rPr>
                <w:rFonts w:hint="eastAsia" w:ascii="Times New Roman" w:hAnsi="Times New Roman" w:cs="Times New Roman"/>
                <w:i w:val="0"/>
                <w:iCs w:val="0"/>
                <w:color w:val="000000"/>
                <w:kern w:val="0"/>
                <w:sz w:val="21"/>
                <w:szCs w:val="21"/>
                <w:u w:val="none"/>
                <w:lang w:val="en-US" w:eastAsia="zh-CN" w:bidi="ar"/>
              </w:rPr>
              <w:t>外国专家工作室</w:t>
            </w:r>
          </w:p>
        </w:tc>
      </w:tr>
    </w:tbl>
    <w:p>
      <w:pPr>
        <w:keepNext w:val="0"/>
        <w:keepLines w:val="0"/>
        <w:widowControl/>
        <w:suppressLineNumbers w:val="0"/>
        <w:jc w:val="center"/>
        <w:textAlignment w:val="center"/>
        <w:rPr>
          <w:rFonts w:hint="eastAsia" w:ascii="Times New Roman" w:hAnsi="Times New Roman" w:cs="Times New Roman" w:eastAsiaTheme="minorEastAsia"/>
          <w:i w:val="0"/>
          <w:iCs w:val="0"/>
          <w:color w:val="000000"/>
          <w:kern w:val="0"/>
          <w:sz w:val="21"/>
          <w:szCs w:val="21"/>
          <w:u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0" w:lineRule="exact"/>
        <w:ind w:right="0" w:firstLine="6080" w:firstLineChars="1900"/>
        <w:jc w:val="left"/>
        <w:textAlignment w:val="auto"/>
        <w:rPr>
          <w:rFonts w:hint="eastAsia" w:ascii="Times New Roman" w:hAnsi="Times New Roman" w:eastAsia="方正仿宋_GBK" w:cs="Times New Roman"/>
          <w:sz w:val="32"/>
          <w:szCs w:val="32"/>
          <w:lang w:val="en-US" w:eastAsia="zh-CN" w:bidi="ar"/>
        </w:rPr>
      </w:pP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Njg5MDcyNDNiYmM3NjJiZTUxN2IxNzY0NWU5MDkifQ=="/>
  </w:docVars>
  <w:rsids>
    <w:rsidRoot w:val="307A7648"/>
    <w:rsid w:val="2B8D29EE"/>
    <w:rsid w:val="307A7648"/>
    <w:rsid w:val="51AB6D00"/>
    <w:rsid w:val="74F50ACA"/>
    <w:rsid w:val="79B619AC"/>
    <w:rsid w:val="7B1579FD"/>
    <w:rsid w:val="AFA7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6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1268</Words>
  <Characters>1352</Characters>
  <Lines>0</Lines>
  <Paragraphs>0</Paragraphs>
  <TotalTime>4</TotalTime>
  <ScaleCrop>false</ScaleCrop>
  <LinksUpToDate>false</LinksUpToDate>
  <CharactersWithSpaces>1443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2022-11-03T16:40:00Z</dcterms:created>
  <dc:creator>路恒</dc:creator>
  <cp:lastModifiedBy>朱骁</cp:lastModifiedBy>
  <dcterms:modified xsi:type="dcterms:W3CDTF">2022-11-04T09:04:50Z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C69F644BD8A94CE49F724975567BF219</vt:lpwstr>
  </property>
</Properties>
</file>