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center"/>
        <w:rPr>
          <w:rFonts w:ascii="Times New Roman" w:hAnsi="Times New Roman" w:eastAsia="方正小标宋_GBK" w:cs="Times New Roman"/>
          <w:color w:val="000000" w:themeColor="text1"/>
          <w:sz w:val="44"/>
          <w:szCs w:val="44"/>
          <w:lang w:val="zh-CN"/>
          <w14:textFill>
            <w14:solidFill>
              <w14:schemeClr w14:val="tx1"/>
            </w14:solidFill>
          </w14:textFill>
        </w:rPr>
      </w:pPr>
      <w:bookmarkStart w:id="2" w:name="_GoBack"/>
      <w:bookmarkEnd w:id="2"/>
      <w:bookmarkStart w:id="0" w:name="Content"/>
      <w:r>
        <w:rPr>
          <w:rFonts w:hint="eastAsia" w:ascii="Times New Roman" w:hAnsi="Times New Roman" w:eastAsia="方正小标宋_GBK" w:cs="Times New Roman"/>
          <w:b/>
          <w:color w:val="000000" w:themeColor="text1"/>
          <w:sz w:val="44"/>
          <w:szCs w:val="44"/>
          <w:lang w:val="zh-CN"/>
          <w14:textFill>
            <w14:solidFill>
              <w14:schemeClr w14:val="tx1"/>
            </w14:solidFill>
          </w14:textFill>
        </w:rPr>
        <w:t>“</w:t>
      </w:r>
      <w:r>
        <w:rPr>
          <w:rFonts w:ascii="Times New Roman" w:hAnsi="Times New Roman" w:eastAsia="方正小标宋_GBK" w:cs="Times New Roman"/>
          <w:color w:val="000000" w:themeColor="text1"/>
          <w:sz w:val="44"/>
          <w:szCs w:val="44"/>
          <w:lang w:val="zh-CN"/>
          <w14:textFill>
            <w14:solidFill>
              <w14:schemeClr w14:val="tx1"/>
            </w14:solidFill>
          </w14:textFill>
        </w:rPr>
        <w:t>苏信贷</w:t>
      </w:r>
      <w:r>
        <w:rPr>
          <w:rFonts w:hint="eastAsia" w:ascii="Times New Roman" w:hAnsi="Times New Roman" w:eastAsia="方正小标宋_GBK" w:cs="Times New Roman"/>
          <w:color w:val="000000" w:themeColor="text1"/>
          <w:sz w:val="44"/>
          <w:szCs w:val="44"/>
          <w:lang w:val="zh-CN"/>
          <w14:textFill>
            <w14:solidFill>
              <w14:schemeClr w14:val="tx1"/>
            </w14:solidFill>
          </w14:textFill>
        </w:rPr>
        <w:t>”</w:t>
      </w:r>
      <w:r>
        <w:rPr>
          <w:rFonts w:ascii="Times New Roman" w:hAnsi="Times New Roman" w:eastAsia="方正小标宋_GBK" w:cs="Times New Roman"/>
          <w:color w:val="000000" w:themeColor="text1"/>
          <w:sz w:val="44"/>
          <w:szCs w:val="44"/>
          <w:lang w:val="zh-CN"/>
          <w14:textFill>
            <w14:solidFill>
              <w14:schemeClr w14:val="tx1"/>
            </w14:solidFill>
          </w14:textFill>
        </w:rPr>
        <w:t>软件和信息技术服务业企业</w:t>
      </w:r>
    </w:p>
    <w:p>
      <w:pPr>
        <w:spacing w:line="590" w:lineRule="exact"/>
        <w:ind w:firstLine="0" w:firstLineChars="0"/>
        <w:jc w:val="center"/>
        <w:rPr>
          <w:rFonts w:ascii="Times New Roman" w:hAnsi="Times New Roman" w:eastAsia="黑体" w:cs="Times New Roman"/>
          <w:b/>
          <w:color w:val="000000" w:themeColor="text1"/>
          <w:sz w:val="44"/>
          <w:szCs w:val="44"/>
          <w:lang w:val="zh-CN"/>
          <w14:textFill>
            <w14:solidFill>
              <w14:schemeClr w14:val="tx1"/>
            </w14:solidFill>
          </w14:textFill>
        </w:rPr>
      </w:pPr>
      <w:r>
        <w:rPr>
          <w:rFonts w:ascii="Times New Roman" w:hAnsi="Times New Roman" w:eastAsia="方正小标宋_GBK" w:cs="Times New Roman"/>
          <w:color w:val="000000" w:themeColor="text1"/>
          <w:sz w:val="44"/>
          <w:szCs w:val="44"/>
          <w:lang w:val="zh-CN"/>
          <w14:textFill>
            <w14:solidFill>
              <w14:schemeClr w14:val="tx1"/>
            </w14:solidFill>
          </w14:textFill>
        </w:rPr>
        <w:t>白名单入库管理办法（试行）</w:t>
      </w:r>
    </w:p>
    <w:p>
      <w:pPr>
        <w:spacing w:line="590" w:lineRule="exact"/>
        <w:jc w:val="center"/>
        <w:rPr>
          <w:rFonts w:ascii="Times New Roman" w:hAnsi="Times New Roman" w:eastAsia="黑体" w:cs="Times New Roman"/>
          <w:b/>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总则</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为规范化开展“苏信贷”软件和信息技术服务业企业白名单入库管理工作，实现低门槛、低成本的软件企业信贷服务，</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根据</w:t>
      </w:r>
      <w:r>
        <w:rPr>
          <w:rFonts w:ascii="Times New Roman" w:hAnsi="Times New Roman" w:eastAsia="方正仿宋_GBK" w:cs="Times New Roman"/>
          <w:bCs/>
          <w:color w:val="000000" w:themeColor="text1"/>
          <w:sz w:val="32"/>
          <w:szCs w:val="32"/>
          <w:lang w:val="zh-CN"/>
          <w14:textFill>
            <w14:solidFill>
              <w14:schemeClr w14:val="tx1"/>
            </w14:solidFill>
          </w14:textFill>
        </w:rPr>
        <w:t>省财政厅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、省</w:t>
      </w:r>
      <w:r>
        <w:rPr>
          <w:rFonts w:ascii="Times New Roman" w:hAnsi="Times New Roman" w:eastAsia="方正仿宋_GBK" w:cs="Times New Roman"/>
          <w:bCs/>
          <w:color w:val="000000" w:themeColor="text1"/>
          <w:sz w:val="32"/>
          <w:szCs w:val="32"/>
          <w:lang w:val="zh-CN"/>
          <w14:textFill>
            <w14:solidFill>
              <w14:schemeClr w14:val="tx1"/>
            </w14:solidFill>
          </w14:textFill>
        </w:rPr>
        <w:t>工业和信息化厅《关于印发江苏省普惠金融发展风险补偿基金项下苏信贷产品工作方案的通知》（苏财金〔2021〕47号），制定本办法。</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本办法涉及“苏信贷”申请入库的</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企业仅限于在江苏省行政区域内注册、从事软件和信息技术服务业、符合国家划型标准的中型、小型、微型企业。 </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“苏信贷”软件和信息技术服务业企业白名单入库评估，由省</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工业和信息化</w:t>
      </w:r>
      <w:r>
        <w:rPr>
          <w:rFonts w:ascii="Times New Roman" w:hAnsi="Times New Roman" w:eastAsia="方正仿宋_GBK" w:cs="Times New Roman"/>
          <w:bCs/>
          <w:color w:val="000000" w:themeColor="text1"/>
          <w:sz w:val="32"/>
          <w:szCs w:val="32"/>
          <w:lang w:val="zh-CN"/>
          <w14:textFill>
            <w14:solidFill>
              <w14:schemeClr w14:val="tx1"/>
            </w14:solidFill>
          </w14:textFill>
        </w:rPr>
        <w:t>厅统一管理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构建有效的评估机制，实行全省统一标准，省与市、县共同建设，并且实现与省普惠基金专版对接，形成“苏信贷”的特色品牌。</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黑体" w:cs="Times New Roman"/>
          <w:color w:val="000000" w:themeColor="text1"/>
          <w:sz w:val="32"/>
          <w:szCs w:val="32"/>
          <w:lang w:val="zh-CN"/>
          <w14:textFill>
            <w14:solidFill>
              <w14:schemeClr w14:val="tx1"/>
            </w14:solidFill>
          </w14:textFill>
        </w:rPr>
      </w:pPr>
      <w:r>
        <w:rPr>
          <w:rFonts w:ascii="Times New Roman" w:hAnsi="Times New Roman" w:eastAsia="黑体" w:cs="Times New Roman"/>
          <w:color w:val="000000" w:themeColor="text1"/>
          <w:sz w:val="32"/>
          <w:szCs w:val="32"/>
          <w:lang w:val="zh-CN"/>
          <w14:textFill>
            <w14:solidFill>
              <w14:schemeClr w14:val="tx1"/>
            </w14:solidFill>
          </w14:textFill>
        </w:rPr>
        <w:t>申报与入库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bookmarkStart w:id="1" w:name="_Hlk87682549"/>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企业遵循自愿申请的原则，按要求及时报送相关材料，并对材料和数据的真实性负主体责任。</w:t>
      </w:r>
    </w:p>
    <w:p>
      <w:pPr>
        <w:pStyle w:val="9"/>
        <w:numPr>
          <w:ilvl w:val="0"/>
          <w:numId w:val="2"/>
        </w:numPr>
        <w:spacing w:line="590" w:lineRule="exact"/>
        <w:ind w:left="0" w:firstLine="643"/>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申请入库企业</w:t>
      </w:r>
      <w:bookmarkEnd w:id="1"/>
      <w:r>
        <w:rPr>
          <w:rFonts w:ascii="Times New Roman" w:hAnsi="Times New Roman" w:eastAsia="方正仿宋_GBK" w:cs="Times New Roman"/>
          <w:bCs/>
          <w:color w:val="000000" w:themeColor="text1"/>
          <w:sz w:val="32"/>
          <w:szCs w:val="32"/>
          <w:lang w:val="zh-CN"/>
          <w14:textFill>
            <w14:solidFill>
              <w14:schemeClr w14:val="tx1"/>
            </w14:solidFill>
          </w14:textFill>
        </w:rPr>
        <w:t>应具备以下基本条件：</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（一）企业主营业务领域属于工业软件、基础软件、安全软件、新兴平台软件、重点行业应用软件</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和信息技术服务</w:t>
      </w:r>
      <w:r>
        <w:rPr>
          <w:rFonts w:ascii="Times New Roman" w:hAnsi="Times New Roman" w:eastAsia="方正仿宋_GBK" w:cs="Times New Roman"/>
          <w:bCs/>
          <w:color w:val="000000" w:themeColor="text1"/>
          <w:sz w:val="32"/>
          <w:szCs w:val="32"/>
          <w:lang w:val="zh-CN"/>
          <w14:textFill>
            <w14:solidFill>
              <w14:schemeClr w14:val="tx1"/>
            </w14:solidFill>
          </w14:textFill>
        </w:rPr>
        <w:t>的范围</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，且企业符合国家中小微企业划型标准</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（二）企业在申请受理截止日期前连续经营2年</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（含）</w:t>
      </w:r>
      <w:r>
        <w:rPr>
          <w:rFonts w:ascii="Times New Roman" w:hAnsi="Times New Roman" w:eastAsia="方正仿宋_GBK" w:cs="Times New Roman"/>
          <w:bCs/>
          <w:color w:val="000000" w:themeColor="text1"/>
          <w:sz w:val="32"/>
          <w:szCs w:val="32"/>
          <w:lang w:val="zh-CN"/>
          <w14:textFill>
            <w14:solidFill>
              <w14:schemeClr w14:val="tx1"/>
            </w14:solidFill>
          </w14:textFill>
        </w:rPr>
        <w:t>以上，近两年未发生重大</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（含）以上</w:t>
      </w:r>
      <w:r>
        <w:rPr>
          <w:rFonts w:ascii="Times New Roman" w:hAnsi="Times New Roman" w:eastAsia="方正仿宋_GBK" w:cs="Times New Roman"/>
          <w:bCs/>
          <w:color w:val="000000" w:themeColor="text1"/>
          <w:sz w:val="32"/>
          <w:szCs w:val="32"/>
          <w:lang w:val="zh-CN"/>
          <w14:textFill>
            <w14:solidFill>
              <w14:schemeClr w14:val="tx1"/>
            </w14:solidFill>
          </w14:textFill>
        </w:rPr>
        <w:t>安全事故（含重大网络安全事故）、严重违法行为等情况；</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（三）企业及其实际控制人当期没有未偿还的逾期贷款、没有被列入人民法院失信被执行人名单；</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（四）企业纳税信用评级为C级（含）以上。</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“苏信贷”软件和信息技术服务业企业白名单入库评估工作在每年的</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3到12月之间每月</w:t>
      </w:r>
      <w:r>
        <w:rPr>
          <w:rFonts w:ascii="Times New Roman" w:hAnsi="Times New Roman" w:eastAsia="方正仿宋_GBK" w:cs="Times New Roman"/>
          <w:bCs/>
          <w:color w:val="000000" w:themeColor="text1"/>
          <w:sz w:val="32"/>
          <w:szCs w:val="32"/>
          <w:lang w:val="zh-CN"/>
          <w14:textFill>
            <w14:solidFill>
              <w14:schemeClr w14:val="tx1"/>
            </w14:solidFill>
          </w14:textFill>
        </w:rPr>
        <w:t>组织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一</w:t>
      </w:r>
      <w:r>
        <w:rPr>
          <w:rFonts w:ascii="Times New Roman" w:hAnsi="Times New Roman" w:eastAsia="方正仿宋_GBK" w:cs="Times New Roman"/>
          <w:bCs/>
          <w:color w:val="000000" w:themeColor="text1"/>
          <w:sz w:val="32"/>
          <w:szCs w:val="32"/>
          <w:lang w:val="zh-CN"/>
          <w14:textFill>
            <w14:solidFill>
              <w14:schemeClr w14:val="tx1"/>
            </w14:solidFill>
          </w14:textFill>
        </w:rPr>
        <w:t>次，按照“申报、初审、评估、审核、入库”的流程开展。受理入库申请事项依据当年省工业和信息化厅发布的通知要求办理。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各设区市</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工业和信息化局</w:t>
      </w:r>
      <w:r>
        <w:rPr>
          <w:rFonts w:ascii="Times New Roman" w:hAnsi="Times New Roman" w:eastAsia="方正仿宋_GBK" w:cs="Times New Roman"/>
          <w:bCs/>
          <w:color w:val="000000" w:themeColor="text1"/>
          <w:sz w:val="32"/>
          <w:szCs w:val="32"/>
          <w:lang w:val="zh-CN"/>
          <w14:textFill>
            <w14:solidFill>
              <w14:schemeClr w14:val="tx1"/>
            </w14:solidFill>
          </w14:textFill>
        </w:rPr>
        <w:t>根据当年省工业和信息化厅发布的通知要求，对企业提交的申请材料进行</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资格审查</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，向省工业和信息化厅推荐符合条件的软件和信息技术服务业企业。 </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申请材料主要包括</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企业白名单入库申请书</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及必要的证明材料等。</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可以</w:t>
      </w:r>
      <w:r>
        <w:rPr>
          <w:rFonts w:ascii="Times New Roman" w:hAnsi="Times New Roman" w:eastAsia="方正仿宋_GBK" w:cs="Times New Roman"/>
          <w:bCs/>
          <w:color w:val="000000" w:themeColor="text1"/>
          <w:sz w:val="32"/>
          <w:szCs w:val="32"/>
          <w:lang w:val="zh-CN"/>
          <w14:textFill>
            <w14:solidFill>
              <w14:schemeClr w14:val="tx1"/>
            </w14:solidFill>
          </w14:textFill>
        </w:rPr>
        <w:t>委托第三方机构对企业申请材料进行审查，并依据</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企业白名单入库评估指标体系进行评估。</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省工业和信息化厅对审查结果进行审核后，确认入库企业名单，通过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服务</w:t>
      </w:r>
      <w:r>
        <w:rPr>
          <w:rFonts w:ascii="Times New Roman" w:hAnsi="Times New Roman" w:eastAsia="方正仿宋_GBK" w:cs="Times New Roman"/>
          <w:bCs/>
          <w:color w:val="000000" w:themeColor="text1"/>
          <w:sz w:val="32"/>
          <w:szCs w:val="32"/>
          <w:lang w:val="zh-CN"/>
          <w14:textFill>
            <w14:solidFill>
              <w14:schemeClr w14:val="tx1"/>
            </w14:solidFill>
          </w14:textFill>
        </w:rPr>
        <w:t>平台</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提供</w:t>
      </w:r>
      <w:r>
        <w:rPr>
          <w:rFonts w:ascii="Times New Roman" w:hAnsi="Times New Roman" w:eastAsia="方正仿宋_GBK" w:cs="Times New Roman"/>
          <w:bCs/>
          <w:color w:val="000000" w:themeColor="text1"/>
          <w:sz w:val="32"/>
          <w:szCs w:val="32"/>
          <w:lang w:val="zh-CN"/>
          <w14:textFill>
            <w14:solidFill>
              <w14:schemeClr w14:val="tx1"/>
            </w14:solidFill>
          </w14:textFill>
        </w:rPr>
        <w:t>入库结果查询。</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评估与星级</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根据客观性、公开性、公正性、科学性的原则，设定企业白名单入库评估指标体系，从申报主体的基本条件、经营能力、创新能力、成长性、企业诚信等方面开展评估。 </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w:t>
      </w:r>
      <w:r>
        <w:rPr>
          <w:rFonts w:ascii="Times New Roman" w:hAnsi="Times New Roman" w:eastAsia="方正仿宋_GBK" w:cs="Times New Roman"/>
          <w:bCs/>
          <w:color w:val="000000" w:themeColor="text1"/>
          <w:sz w:val="32"/>
          <w:szCs w:val="32"/>
          <w:lang w:val="zh-CN"/>
          <w14:textFill>
            <w14:solidFill>
              <w14:schemeClr w14:val="tx1"/>
            </w14:solidFill>
          </w14:textFill>
        </w:rPr>
        <w:t>入库评估指标满分100分、加分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项20</w:t>
      </w:r>
      <w:r>
        <w:rPr>
          <w:rFonts w:ascii="Times New Roman" w:hAnsi="Times New Roman" w:eastAsia="方正仿宋_GBK" w:cs="Times New Roman"/>
          <w:bCs/>
          <w:color w:val="000000" w:themeColor="text1"/>
          <w:sz w:val="32"/>
          <w:szCs w:val="32"/>
          <w:lang w:val="zh-CN"/>
          <w14:textFill>
            <w14:solidFill>
              <w14:schemeClr w14:val="tx1"/>
            </w14:solidFill>
          </w14:textFill>
        </w:rPr>
        <w:t>分，总分为</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根据企业类别使用不同的评估标准：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（一）A类企业评估标准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A类企业指通过《软件企业评估标准》(标准号T/SIA002-2017)和《软件产品评估标准》(标准号T/SIA003-2017)，具有有效软件企业评估证书和软件产品评估证书的软件企业。</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A类企业基础得分为70分，设评价指标项4项、分值为30分；设加分指标项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4</w:t>
      </w:r>
      <w:r>
        <w:rPr>
          <w:rFonts w:ascii="Times New Roman" w:hAnsi="Times New Roman" w:eastAsia="方正仿宋_GBK" w:cs="Times New Roman"/>
          <w:bCs/>
          <w:color w:val="000000" w:themeColor="text1"/>
          <w:sz w:val="32"/>
          <w:szCs w:val="32"/>
          <w:lang w:val="zh-CN"/>
          <w14:textFill>
            <w14:solidFill>
              <w14:schemeClr w14:val="tx1"/>
            </w14:solidFill>
          </w14:textFill>
        </w:rPr>
        <w:t>项、分值</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（二）B类企业评估标准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B类企业指未</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通过</w:t>
      </w:r>
      <w:r>
        <w:rPr>
          <w:rFonts w:ascii="Times New Roman" w:hAnsi="Times New Roman" w:eastAsia="方正仿宋_GBK" w:cs="Times New Roman"/>
          <w:bCs/>
          <w:color w:val="000000" w:themeColor="text1"/>
          <w:sz w:val="32"/>
          <w:szCs w:val="32"/>
          <w:lang w:val="zh-CN"/>
          <w14:textFill>
            <w14:solidFill>
              <w14:schemeClr w14:val="tx1"/>
            </w14:solidFill>
          </w14:textFill>
        </w:rPr>
        <w:t>《软件企业评估标准》(标准号T/SIA002-2017)和《软件产品评估标准》(标准号T/SIA003-2017)</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符合</w:t>
      </w:r>
      <w:r>
        <w:rPr>
          <w:rFonts w:ascii="Times New Roman" w:hAnsi="Times New Roman" w:eastAsia="方正仿宋_GBK" w:cs="Times New Roman"/>
          <w:bCs/>
          <w:color w:val="000000" w:themeColor="text1"/>
          <w:sz w:val="32"/>
          <w:szCs w:val="32"/>
          <w:lang w:val="zh-CN"/>
          <w14:textFill>
            <w14:solidFill>
              <w14:schemeClr w14:val="tx1"/>
            </w14:solidFill>
          </w14:textFill>
        </w:rPr>
        <w:t>性评估的软件企业。</w:t>
      </w:r>
    </w:p>
    <w:p>
      <w:pPr>
        <w:spacing w:line="590" w:lineRule="exact"/>
        <w:ind w:firstLine="640" w:firstLineChars="200"/>
        <w:rPr>
          <w:rFonts w:ascii="Times New Roman" w:hAnsi="Times New Roman" w:eastAsia="仿宋"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B类企业设评价指标项14项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分值为100分；设加分指标项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4</w:t>
      </w:r>
      <w:r>
        <w:rPr>
          <w:rFonts w:ascii="Times New Roman" w:hAnsi="Times New Roman" w:eastAsia="方正仿宋_GBK" w:cs="Times New Roman"/>
          <w:bCs/>
          <w:color w:val="000000" w:themeColor="text1"/>
          <w:sz w:val="32"/>
          <w:szCs w:val="32"/>
          <w:lang w:val="zh-CN"/>
          <w14:textFill>
            <w14:solidFill>
              <w14:schemeClr w14:val="tx1"/>
            </w14:solidFill>
          </w14:textFill>
        </w:rPr>
        <w:t>项、分值</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评估结果按照得分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情况分</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为5个等级： </w:t>
      </w:r>
    </w:p>
    <w:p>
      <w:pPr>
        <w:spacing w:line="590" w:lineRule="exact"/>
        <w:ind w:firstLine="640" w:firstLineChars="200"/>
        <w:rPr>
          <w:rFonts w:ascii="Times New Roman" w:hAnsi="Times New Roman" w:eastAsia="方正仿宋_GBK" w:cs="Times New Roman"/>
          <w:b/>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100</w:t>
      </w:r>
      <w:r>
        <w:rPr>
          <w:rFonts w:ascii="Times New Roman" w:hAnsi="Times New Roman" w:eastAsia="方正仿宋_GBK" w:cs="Times New Roman"/>
          <w:bCs/>
          <w:color w:val="000000" w:themeColor="text1"/>
          <w:sz w:val="32"/>
          <w:szCs w:val="32"/>
          <w:lang w:val="zh-CN"/>
          <w14:textFill>
            <w14:solidFill>
              <w14:schemeClr w14:val="tx1"/>
            </w14:solidFill>
          </w14:textFill>
        </w:rPr>
        <w:t>分以上为5星级；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90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100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分（不含）为4星级；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（三）评估得分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80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90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分（不含）为3星级；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（四）评估得分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70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80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分（不含）为2星级；</w:t>
      </w:r>
    </w:p>
    <w:p>
      <w:pPr>
        <w:spacing w:line="590" w:lineRule="exact"/>
        <w:ind w:firstLine="640" w:firstLineChars="200"/>
        <w:rPr>
          <w:rFonts w:ascii="Times New Roman" w:hAnsi="Times New Roman" w:eastAsia="仿宋"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（五）评估得分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60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70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分（不含）为1星级。</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评估结果为1星级及以上星级的企业，视为“通过”评估，进入“苏信贷”软件和信息技术服务业企业白名单库。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企业星级评估结果供信贷银行参考。</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白名单库管理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对依据本办法进入白名单库的企业，建立入库企业信用承诺、信息更新和不良信用退出等机制，加强入库企业管理。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可以</w:t>
      </w:r>
      <w:r>
        <w:rPr>
          <w:rFonts w:ascii="Times New Roman" w:hAnsi="Times New Roman" w:eastAsia="方正仿宋_GBK" w:cs="Times New Roman"/>
          <w:bCs/>
          <w:color w:val="000000" w:themeColor="text1"/>
          <w:sz w:val="32"/>
          <w:szCs w:val="32"/>
          <w:lang w:val="zh-CN"/>
          <w14:textFill>
            <w14:solidFill>
              <w14:schemeClr w14:val="tx1"/>
            </w14:solidFill>
          </w14:textFill>
        </w:rPr>
        <w:t>委托第三方机构对白名单库里的企业进行复核，原则上每两年组织一次，复核流程比照申报流程，省工业和信息化厅于复核年度下发复核工作通知。</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年度</w:t>
      </w:r>
      <w:r>
        <w:rPr>
          <w:rFonts w:ascii="Times New Roman" w:hAnsi="Times New Roman" w:eastAsia="方正仿宋_GBK" w:cs="Times New Roman"/>
          <w:bCs/>
          <w:color w:val="000000" w:themeColor="text1"/>
          <w:sz w:val="32"/>
          <w:szCs w:val="32"/>
          <w:lang w:val="zh-CN"/>
          <w14:textFill>
            <w14:solidFill>
              <w14:schemeClr w14:val="tx1"/>
            </w14:solidFill>
          </w14:textFill>
        </w:rPr>
        <w:t>复核标准仍依据</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企业白名单入库评估指标体系，根据年度复核结果，对库内企业星级进行调整，无星级企业将被移出白名单库。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被有关部门认定存在严重失信行为的企业，将被实时移出白名单库</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。待企业修复信用后，可以依据本办法重新申请入库</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附  则</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“苏信贷”软件和信息技术服务业企业白名单入库申报材料具体要求、评估指标体系等内容，由省工业和信息化厅另行发布。</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依据《中华人民共和国政府信息公开条例》，“苏信贷”软件和信息技术服务业企业白名单入库的有关信息向社会公开。</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企业白名单入库、复核、查询等</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将</w:t>
      </w:r>
      <w:r>
        <w:rPr>
          <w:rFonts w:ascii="Times New Roman" w:hAnsi="Times New Roman" w:eastAsia="方正仿宋_GBK" w:cs="Times New Roman"/>
          <w:bCs/>
          <w:color w:val="000000" w:themeColor="text1"/>
          <w:sz w:val="32"/>
          <w:szCs w:val="32"/>
          <w:lang w:val="zh-CN"/>
          <w14:textFill>
            <w14:solidFill>
              <w14:schemeClr w14:val="tx1"/>
            </w14:solidFill>
          </w14:textFill>
        </w:rPr>
        <w:t>通过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服务</w:t>
      </w:r>
      <w:r>
        <w:rPr>
          <w:rFonts w:ascii="Times New Roman" w:hAnsi="Times New Roman" w:eastAsia="方正仿宋_GBK" w:cs="Times New Roman"/>
          <w:bCs/>
          <w:color w:val="000000" w:themeColor="text1"/>
          <w:sz w:val="32"/>
          <w:szCs w:val="32"/>
          <w:lang w:val="zh-CN"/>
          <w14:textFill>
            <w14:solidFill>
              <w14:schemeClr w14:val="tx1"/>
            </w14:solidFill>
          </w14:textFill>
        </w:rPr>
        <w:t>平台实现网上办理。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本办法由省工业和信息化厅负责解释，</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自</w:t>
      </w:r>
      <w:r>
        <w:rPr>
          <w:rFonts w:ascii="Times New Roman" w:hAnsi="Times New Roman" w:eastAsia="方正仿宋_GBK" w:cs="Times New Roman"/>
          <w:bCs/>
          <w:color w:val="000000" w:themeColor="text1"/>
          <w:sz w:val="32"/>
          <w:szCs w:val="32"/>
          <w:lang w:val="zh-CN"/>
          <w14:textFill>
            <w14:solidFill>
              <w14:schemeClr w14:val="tx1"/>
            </w14:solidFill>
          </w14:textFill>
        </w:rPr>
        <w:t>2022年1</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lang w:val="zh-CN"/>
          <w14:textFill>
            <w14:solidFill>
              <w14:schemeClr w14:val="tx1"/>
            </w14:solidFill>
          </w14:textFill>
        </w:rPr>
        <w:t>月</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val="zh-CN"/>
          <w14:textFill>
            <w14:solidFill>
              <w14:schemeClr w14:val="tx1"/>
            </w14:solidFill>
          </w14:textFill>
        </w:rPr>
        <w:t>日起施行</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，有效期至</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2024年11月30日</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spacing w:line="590" w:lineRule="exact"/>
        <w:jc w:val="left"/>
        <w:rPr>
          <w:rFonts w:ascii="Times New Roman" w:hAnsi="Times New Roman" w:eastAsia="仿宋" w:cs="Times New Roman"/>
          <w:b/>
          <w:color w:val="000000" w:themeColor="text1"/>
          <w:sz w:val="32"/>
          <w:szCs w:val="32"/>
          <w:lang w:val="zh-CN"/>
          <w14:textFill>
            <w14:solidFill>
              <w14:schemeClr w14:val="tx1"/>
            </w14:solidFill>
          </w14:textFill>
        </w:rPr>
      </w:pPr>
    </w:p>
    <w:p>
      <w:pPr>
        <w:spacing w:line="590" w:lineRule="exact"/>
        <w:jc w:val="left"/>
        <w:rPr>
          <w:rFonts w:ascii="Times New Roman" w:hAnsi="Times New Roman" w:eastAsia="仿宋" w:cs="Times New Roman"/>
          <w:color w:val="000000" w:themeColor="text1"/>
          <w:sz w:val="32"/>
          <w:szCs w:val="32"/>
          <w14:textFill>
            <w14:solidFill>
              <w14:schemeClr w14:val="tx1"/>
            </w14:solidFill>
          </w14:textFill>
        </w:rPr>
      </w:pPr>
    </w:p>
    <w:bookmarkEnd w:id="0"/>
    <w:p>
      <w:pPr>
        <w:spacing w:line="590" w:lineRule="exact"/>
        <w:jc w:val="left"/>
        <w:rPr>
          <w:rFonts w:ascii="Times New Roman" w:hAnsi="Times New Roman" w:eastAsia="仿宋" w:cs="Times New Roman"/>
          <w:color w:val="000000" w:themeColor="text1"/>
          <w:sz w:val="32"/>
          <w:szCs w:val="32"/>
          <w14:textFill>
            <w14:solidFill>
              <w14:schemeClr w14:val="tx1"/>
            </w14:solidFill>
          </w14:textFill>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294" w:firstLineChars="105"/>
        <w:outlineLvl w:val="0"/>
        <w:rPr>
          <w:rFonts w:ascii="Times New Roman" w:hAnsi="Times New Roman"/>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margin">
                  <wp:posOffset>-8255</wp:posOffset>
                </wp:positionH>
                <wp:positionV relativeFrom="paragraph">
                  <wp:posOffset>22860</wp:posOffset>
                </wp:positionV>
                <wp:extent cx="5659120" cy="34290"/>
                <wp:effectExtent l="0" t="6350" r="17780" b="1651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58929" cy="3450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5pt;margin-top:1.8pt;height:2.7pt;width:445.6pt;mso-position-horizontal-relative:margin;z-index:251662336;mso-width-relative:page;mso-height-relative:page;" filled="f" stroked="t" coordsize="21600,21600" o:gfxdata="UEsDBAoAAAAAAIdO4kAAAAAAAAAAAAAAAAAEAAAAZHJzL1BLAwQUAAAACACHTuJAgFKjvtYAAAAG&#10;AQAADwAAAGRycy9kb3ducmV2LnhtbE2OTU/DMBBE70j8B2uRuLW2qShJyKYHPiQkFFUULr258ZJE&#10;xOsodtPy7zEnOI5m9OaVm7MbxExT6D0j6KUCQdx423OL8PH+vMhAhGjYmsEzIXxTgE11eVGawvoT&#10;v9G8i61IEA6FQehiHAspQ9ORM2HpR+LUffrJmZji1Eo7mVOCu0HeKLWWzvScHjoz0kNHzdfu6BBm&#10;XfP25WnvH19N3d7q2u6bu4h4faXVPYhI5/g3hl/9pA5Vcjr4I9sgBoSFXqUlwmoNItVZlucgDgi5&#10;AlmV8r9+9QNQSwMEFAAAAAgAh07iQGlxciTUAQAAawMAAA4AAABkcnMvZTJvRG9jLnhtbK1TwW4T&#10;MRC9I/EPlu9kNyEp7SqbHlKVS4FIbbk7tnfXwvZYtpPd/AQ/gMQNTj1y528on9GxE1IKN8QeRmvP&#10;zJs3b8bz88FospU+KLA1HY9KSqTlIJRta3p7c/nilJIQmRVMg5U13clAzxfPn817V8kJdKCF9ARB&#10;bKh6V9MuRlcVReCdNCyMwEmLzga8YRGPvi2EZz2iG11MyvKk6MEL54HLEPD2Yu+ki4zfNJLHd00T&#10;ZCS6psgtZuuzXSdbLOasaj1zneIHGuwfWBimLBY9Ql2wyMjGq7+gjOIeAjRxxMEU0DSKy9wDdjMu&#10;/+jmumNO5l5QnOCOMoX/B8vfbleeKFHTKSWWGRzR/advPz5++fn9M9r7u69kmkTqXagwdmlXPrXJ&#10;B3vtroB/CMTCsmO2lZnszc4hwjhlFE9S0iE4LLXu34DAGLaJkBUbGm9Io5V7nxITOKpChjyi3XFE&#10;coiE4+XsZHZ6NjmjhKPv5XRWznItViWYlOx8iK8lGJJ+aqqVTQqyim2vQky0HkPStYVLpXXeAm1J&#10;jxQmr8oyZwTQSiRvigu+XS+1J1uWFil/h8JPwjxsrNhX0fagQWp7L+AaxG7lf2mDE810DtuXVub3&#10;c85+fCO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So77WAAAABgEAAA8AAAAAAAAAAQAgAAAA&#10;IgAAAGRycy9kb3ducmV2LnhtbFBLAQIUABQAAAAIAIdO4kBpcXIk1AEAAGsDAAAOAAAAAAAAAAEA&#10;IAAAACUBAABkcnMvZTJvRG9jLnhtbFBLBQYAAAAABgAGAFkBAABrBQAA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 xml:space="preserve">江苏省工信厅办公室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2022年11月1日</w:t>
      </w:r>
      <w:r>
        <w:rPr>
          <w:rFonts w:ascii="Times New Roman" w:hAnsi="Times New Roman" w:eastAsia="方正仿宋_GBK"/>
          <w:sz w:val="28"/>
          <w:szCs w:val="28"/>
        </w:rPr>
        <w:t>印发</w: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432435</wp:posOffset>
                </wp:positionV>
                <wp:extent cx="5660390" cy="26035"/>
                <wp:effectExtent l="0" t="6350" r="16510" b="247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60534" cy="26251"/>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pt;margin-top:34.05pt;height:2.05pt;width:445.7pt;mso-position-horizontal-relative:margin;z-index:251660288;mso-width-relative:page;mso-height-relative:page;" filled="f" stroked="t" coordsize="21600,21600" o:gfxdata="UEsDBAoAAAAAAIdO4kAAAAAAAAAAAAAAAAAEAAAAZHJzL1BLAwQUAAAACACHTuJAm9CrqtgAAAAI&#10;AQAADwAAAGRycy9kb3ducmV2LnhtbE2PzU7DMBCE70i8g7VI3FrbkWjTNE4P/EhIKEIULr258ZJE&#10;xOsodtPy9iwnOM7OaObbcnfxg5hxin0gA3qpQCA1wfXUGvh4f1rkIGKy5OwQCA18Y4RddX1V2sKF&#10;M73hvE+t4BKKhTXQpTQWUsamQ2/jMoxI7H2GydvEcmqlm+yZy/0gM6VW0tueeKGzI9532HztT97A&#10;rGt6fX48hIcXW7d3unaHZp2Mub3Ragsi4SX9heEXn9GhYqZjOJGLYjCw0BknDaxyDYL9fKP4cDSw&#10;zjKQVSn/P1D9AFBLAwQUAAAACACHTuJAQQOG8dQBAABrAwAADgAAAGRycy9lMm9Eb2MueG1srVPB&#10;jtMwEL0j8Q+W7zRpoGUVNd1DV8tlgUq7y921ncTC9li226Q/wQ8gcYMTx73zNyyfwdgt3QVuiBxG&#10;sWfmzbw348X5aDTZSR8U2IZOJyUl0nIQynYNvb25fHZGSYjMCqbByobuZaDny6dPFoOrZQU9aCE9&#10;QRAb6sE1tI/R1UUReC8NCxNw0qKzBW9YxKPvCuHZgOhGF1VZzosBvHAeuAwBby8OTrrM+G0reXzb&#10;tkFGohuKvcVsfbabZIvlgtWdZ65X/NgG+4cuDFMWi56gLlhkZOvVX1BGcQ8B2jjhYApoW8Vl5oBs&#10;puUfbK575mTmguIEd5Ip/D9Y/ma39kSJhlaUWGZwRPcf775/+Pzj2ye091+/kCqJNLhQY+zKrn2i&#10;yUd77a6Avw/EwqpntpO52Zu9Q4Rpyih+S0mH4LDUZngNAmPYNkJWbGy9Ia1W7l1KTOCoChnziPan&#10;EckxEo6Xs/m8nD1/QQlHXzWvZodarE4wKdn5EF9JMCT9NFQrmxRkNdtdhZjaeghJ1xYuldZ5C7Ql&#10;A7ZQvSzLnBFAK5G8KS74brPSnuxYWqT8ZZLoeRzmYWvFoYq2Rw0S7YOAGxD7tf+lDU40t3PcvrQy&#10;j885++GNL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9CrqtgAAAAIAQAADwAAAAAAAAABACAA&#10;AAAiAAAAZHJzL2Rvd25yZXYueG1sUEsBAhQAFAAAAAgAh07iQEEDhvHUAQAAawMAAA4AAAAAAAAA&#10;AQAgAAAAJwEAAGRycy9lMm9Eb2MueG1sUEsFBgAAAAAGAAYAWQEAAG0FAAAAAA==&#10;">
                <v:fill on="f" focussize="0,0"/>
                <v:stroke weight="1pt" color="#000000" joinstyle="round"/>
                <v:imagedata o:title=""/>
                <o:lock v:ext="edit" aspectratio="f"/>
              </v:line>
            </w:pict>
          </mc:Fallback>
        </mc:AlternateContent>
      </w:r>
    </w:p>
    <w:p/>
    <w:sectPr>
      <w:headerReference r:id="rId5" w:type="first"/>
      <w:footerReference r:id="rId8" w:type="first"/>
      <w:headerReference r:id="rId3" w:type="default"/>
      <w:footerReference r:id="rId6" w:type="default"/>
      <w:headerReference r:id="rId4" w:type="even"/>
      <w:footerReference r:id="rId7" w:type="even"/>
      <w:pgSz w:w="11906" w:h="16838"/>
      <w:pgMar w:top="2001" w:right="1474" w:bottom="1984" w:left="1474"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A1F01"/>
    <w:multiLevelType w:val="multilevel"/>
    <w:tmpl w:val="5E8A1F01"/>
    <w:lvl w:ilvl="0" w:tentative="0">
      <w:start w:val="1"/>
      <w:numFmt w:val="japaneseCounting"/>
      <w:lvlText w:val="第%1条"/>
      <w:lvlJc w:val="left"/>
      <w:pPr>
        <w:ind w:left="1973" w:hanging="980"/>
      </w:pPr>
      <w:rPr>
        <w:rFonts w:hint="eastAsia" w:ascii="方正黑体_GBK" w:hAnsi="黑体" w:eastAsia="方正黑体_GBK"/>
        <w:b w:val="0"/>
        <w:bCs w:val="0"/>
        <w:i w:val="0"/>
        <w:iCs w:val="0"/>
        <w:color w:val="000000" w:themeColor="text1"/>
        <w14:textFill>
          <w14:solidFill>
            <w14:schemeClr w14:val="tx1"/>
          </w14:solidFill>
        </w14:textFill>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
    <w:nsid w:val="68263520"/>
    <w:multiLevelType w:val="multilevel"/>
    <w:tmpl w:val="68263520"/>
    <w:lvl w:ilvl="0" w:tentative="0">
      <w:start w:val="1"/>
      <w:numFmt w:val="japaneseCounting"/>
      <w:lvlText w:val="第%1章"/>
      <w:lvlJc w:val="left"/>
      <w:pPr>
        <w:ind w:left="1125" w:hanging="1550"/>
      </w:pPr>
      <w:rPr>
        <w:rFonts w:hint="default"/>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1B7A7DB5"/>
    <w:rsid w:val="397FC26D"/>
    <w:rsid w:val="3F77053A"/>
    <w:rsid w:val="4D567DD7"/>
    <w:rsid w:val="5BDE1071"/>
    <w:rsid w:val="5DF7442D"/>
    <w:rsid w:val="676F0B23"/>
    <w:rsid w:val="6DC7C7C3"/>
    <w:rsid w:val="6DDF4948"/>
    <w:rsid w:val="6F89C071"/>
    <w:rsid w:val="72BF7A14"/>
    <w:rsid w:val="73CE9428"/>
    <w:rsid w:val="76BBA362"/>
    <w:rsid w:val="7EDA770B"/>
    <w:rsid w:val="7EFEF736"/>
    <w:rsid w:val="7FBFCCF8"/>
    <w:rsid w:val="AF5B2EC6"/>
    <w:rsid w:val="AFBB000F"/>
    <w:rsid w:val="C6F23BAB"/>
    <w:rsid w:val="CCF776A4"/>
    <w:rsid w:val="ED30244B"/>
    <w:rsid w:val="F6A7AFBA"/>
    <w:rsid w:val="F7EF24A5"/>
    <w:rsid w:val="FA7D7CD0"/>
    <w:rsid w:val="FD3F3FB3"/>
    <w:rsid w:val="FF356F1B"/>
    <w:rsid w:val="FFA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imes New Roman" w:hAnsi="Times New Roman" w:eastAsia="仿宋_GB2312" w:cstheme="minorBidi"/>
      <w:sz w:val="18"/>
      <w:szCs w:val="18"/>
    </w:rPr>
  </w:style>
  <w:style w:type="paragraph" w:styleId="9">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661</Words>
  <Characters>3770</Characters>
  <Lines>31</Lines>
  <Paragraphs>8</Paragraphs>
  <TotalTime>1</TotalTime>
  <ScaleCrop>false</ScaleCrop>
  <LinksUpToDate>false</LinksUpToDate>
  <CharactersWithSpaces>4423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2022-10-02T09:46:00Z</dcterms:created>
  <dc:creator>PC</dc:creator>
  <cp:lastModifiedBy>泠.酒祈</cp:lastModifiedBy>
  <cp:lastPrinted>2022-11-03T17:58:00Z</cp:lastPrinted>
  <dcterms:modified xsi:type="dcterms:W3CDTF">2022-11-07T09:18:50Z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