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0"/>
        <w:jc w:val="center"/>
        <w:rPr>
          <w:rFonts w:ascii="Calibri" w:hAnsi="Calibri" w:cs="Calibri"/>
          <w:i w:val="0"/>
          <w:caps w:val="0"/>
          <w:color w:val="333333"/>
          <w:spacing w:val="0"/>
          <w:sz w:val="14"/>
          <w:szCs w:val="14"/>
        </w:rPr>
      </w:pPr>
      <w:r>
        <w:rPr>
          <w:rFonts w:ascii="方正小标宋简体" w:hAnsi="方正小标宋简体" w:eastAsia="方正小标宋简体" w:cs="方正小标宋简体"/>
          <w:i w:val="0"/>
          <w:caps w:val="0"/>
          <w:color w:val="000000"/>
          <w:spacing w:val="0"/>
          <w:kern w:val="0"/>
          <w:sz w:val="44"/>
          <w:szCs w:val="44"/>
          <w:bdr w:val="none" w:color="auto" w:sz="0" w:space="0"/>
          <w:shd w:val="clear" w:fill="FFFFFF"/>
          <w:lang w:val="en-US" w:eastAsia="zh-CN" w:bidi="ar"/>
        </w:rPr>
        <w:t>进一步</w:t>
      </w:r>
      <w:r>
        <w:rPr>
          <w:rFonts w:hint="eastAsia" w:ascii="方正小标宋简体" w:hAnsi="方正小标宋简体" w:eastAsia="方正小标宋简体" w:cs="方正小标宋简体"/>
          <w:i w:val="0"/>
          <w:caps w:val="0"/>
          <w:color w:val="000000"/>
          <w:spacing w:val="0"/>
          <w:kern w:val="0"/>
          <w:sz w:val="44"/>
          <w:szCs w:val="44"/>
          <w:bdr w:val="none" w:color="auto" w:sz="0" w:space="0"/>
          <w:shd w:val="clear" w:fill="FFFFFF"/>
          <w:lang w:val="en-US" w:eastAsia="zh-CN" w:bidi="ar"/>
        </w:rPr>
        <w:t>提高产品、工程和服务质量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0"/>
        <w:jc w:val="center"/>
        <w:rPr>
          <w:rFonts w:hint="default" w:ascii="Calibri" w:hAnsi="Calibri" w:cs="Calibri"/>
          <w:i w:val="0"/>
          <w:caps w:val="0"/>
          <w:color w:val="333333"/>
          <w:spacing w:val="0"/>
          <w:sz w:val="14"/>
          <w:szCs w:val="14"/>
        </w:rPr>
      </w:pPr>
      <w:r>
        <w:rPr>
          <w:rFonts w:hint="eastAsia" w:ascii="方正小标宋简体" w:hAnsi="方正小标宋简体" w:eastAsia="方正小标宋简体" w:cs="方正小标宋简体"/>
          <w:i w:val="0"/>
          <w:caps w:val="0"/>
          <w:color w:val="000000"/>
          <w:spacing w:val="0"/>
          <w:kern w:val="0"/>
          <w:sz w:val="44"/>
          <w:szCs w:val="44"/>
          <w:bdr w:val="none" w:color="auto" w:sz="0" w:space="0"/>
          <w:shd w:val="clear" w:fill="FFFFFF"/>
          <w:lang w:val="en-US" w:eastAsia="zh-CN" w:bidi="ar"/>
        </w:rPr>
        <w:t>行动方案（</w:t>
      </w:r>
      <w:r>
        <w:rPr>
          <w:rFonts w:hint="default" w:ascii="Times New Roman" w:hAnsi="Times New Roman" w:cs="Times New Roman" w:eastAsiaTheme="minorEastAsia"/>
          <w:i w:val="0"/>
          <w:caps w:val="0"/>
          <w:color w:val="000000"/>
          <w:spacing w:val="0"/>
          <w:kern w:val="0"/>
          <w:sz w:val="44"/>
          <w:szCs w:val="44"/>
          <w:bdr w:val="none" w:color="auto" w:sz="0" w:space="0"/>
          <w:shd w:val="clear" w:fill="FFFFFF"/>
          <w:lang w:val="en-US" w:eastAsia="zh-CN" w:bidi="ar"/>
        </w:rPr>
        <w:t>2022—2025</w:t>
      </w:r>
      <w:r>
        <w:rPr>
          <w:rFonts w:hint="eastAsia" w:ascii="方正小标宋简体" w:hAnsi="方正小标宋简体" w:eastAsia="方正小标宋简体" w:cs="方正小标宋简体"/>
          <w:i w:val="0"/>
          <w:caps w:val="0"/>
          <w:color w:val="000000"/>
          <w:spacing w:val="0"/>
          <w:kern w:val="0"/>
          <w:sz w:val="44"/>
          <w:szCs w:val="44"/>
          <w:bdr w:val="none" w:color="auto" w:sz="0" w:space="0"/>
          <w:shd w:val="clear" w:fill="FFFFFF"/>
          <w:lang w:val="en-US" w:eastAsia="zh-CN" w:bidi="ar"/>
        </w:rPr>
        <w:t>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0"/>
        <w:jc w:val="center"/>
        <w:rPr>
          <w:rFonts w:hint="default" w:ascii="Calibri" w:hAnsi="Calibri" w:cs="Calibri"/>
          <w:i w:val="0"/>
          <w:caps w:val="0"/>
          <w:color w:val="333333"/>
          <w:spacing w:val="0"/>
          <w:sz w:val="24"/>
          <w:szCs w:val="24"/>
        </w:rPr>
      </w:pPr>
      <w:r>
        <w:rPr>
          <w:rFonts w:ascii="楷体_GB2312" w:hAnsi="Calibri" w:eastAsia="楷体_GB2312" w:cs="楷体_GB2312"/>
          <w:i w:val="0"/>
          <w:caps w:val="0"/>
          <w:color w:val="000000"/>
          <w:spacing w:val="-11"/>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28"/>
        <w:jc w:val="both"/>
        <w:rPr>
          <w:rFonts w:hint="default" w:ascii="Calibri" w:hAnsi="Calibri" w:cs="Calibri"/>
          <w:i w:val="0"/>
          <w:caps w:val="0"/>
          <w:color w:val="333333"/>
          <w:spacing w:val="0"/>
          <w:sz w:val="24"/>
          <w:szCs w:val="24"/>
        </w:rPr>
      </w:pPr>
      <w:r>
        <w:rPr>
          <w:rFonts w:ascii="仿宋_GB2312" w:hAnsi="Calibri" w:eastAsia="仿宋_GB2312" w:cs="仿宋_GB2312"/>
          <w:i w:val="0"/>
          <w:caps w:val="0"/>
          <w:color w:val="000000"/>
          <w:spacing w:val="0"/>
          <w:sz w:val="32"/>
          <w:szCs w:val="32"/>
          <w:bdr w:val="none" w:color="auto" w:sz="0" w:space="0"/>
          <w:shd w:val="clear" w:fill="FFFFFF"/>
        </w:rPr>
        <w:t>为贯彻落实党中央、国务院关于</w:t>
      </w:r>
      <w:r>
        <w:rPr>
          <w:rFonts w:hint="default" w:ascii="仿宋_GB2312" w:hAnsi="Calibri" w:eastAsia="仿宋_GB2312" w:cs="仿宋_GB2312"/>
          <w:i w:val="0"/>
          <w:caps w:val="0"/>
          <w:color w:val="000000"/>
          <w:spacing w:val="0"/>
          <w:sz w:val="32"/>
          <w:szCs w:val="32"/>
          <w:bdr w:val="none" w:color="auto" w:sz="0" w:space="0"/>
          <w:shd w:val="clear" w:fill="FFFFFF"/>
        </w:rPr>
        <w:t>加快建设质量强国的决策部署，深入实施质量提升行动，进一步提高产品、工程和服务质量，经国务院同意，制定本方案。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28"/>
        <w:jc w:val="left"/>
        <w:rPr>
          <w:rFonts w:hint="eastAsia" w:ascii="宋体" w:hAnsi="宋体" w:eastAsia="宋体" w:cs="宋体"/>
          <w:b/>
          <w:i w:val="0"/>
          <w:caps w:val="0"/>
          <w:color w:val="333333"/>
          <w:spacing w:val="0"/>
          <w:sz w:val="48"/>
          <w:szCs w:val="48"/>
        </w:rPr>
      </w:pPr>
      <w:r>
        <w:rPr>
          <w:rFonts w:ascii="黑体" w:hAnsi="宋体" w:eastAsia="黑体" w:cs="黑体"/>
          <w:b w:val="0"/>
          <w:i w:val="0"/>
          <w:caps w:val="0"/>
          <w:color w:val="333333"/>
          <w:spacing w:val="0"/>
          <w:sz w:val="32"/>
          <w:szCs w:val="32"/>
          <w:bdr w:val="none" w:color="auto" w:sz="0" w:space="0"/>
          <w:shd w:val="clear" w:fill="FFFFFF"/>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28"/>
        <w:jc w:val="both"/>
        <w:rPr>
          <w:rFonts w:hint="default" w:ascii="Calibri" w:hAnsi="Calibri" w:cs="Calibri"/>
          <w:i w:val="0"/>
          <w:caps w:val="0"/>
          <w:color w:val="333333"/>
          <w:spacing w:val="0"/>
          <w:sz w:val="24"/>
          <w:szCs w:val="24"/>
        </w:rPr>
      </w:pPr>
      <w:r>
        <w:rPr>
          <w:rFonts w:hint="default" w:ascii="仿宋_GB2312" w:hAnsi="Calibri" w:eastAsia="仿宋_GB2312" w:cs="仿宋_GB2312"/>
          <w:i w:val="0"/>
          <w:caps w:val="0"/>
          <w:color w:val="000000"/>
          <w:spacing w:val="0"/>
          <w:sz w:val="32"/>
          <w:szCs w:val="32"/>
          <w:bdr w:val="none" w:color="auto" w:sz="0" w:space="0"/>
          <w:shd w:val="clear" w:fill="FFFFFF"/>
        </w:rPr>
        <w:t>以</w:t>
      </w:r>
      <w:r>
        <w:rPr>
          <w:rFonts w:hint="default" w:ascii="仿宋_GB2312" w:hAnsi="Calibri" w:eastAsia="仿宋_GB2312" w:cs="仿宋_GB2312"/>
          <w:i w:val="0"/>
          <w:caps w:val="0"/>
          <w:color w:val="000000"/>
          <w:spacing w:val="-6"/>
          <w:sz w:val="32"/>
          <w:szCs w:val="32"/>
          <w:bdr w:val="none" w:color="auto" w:sz="0" w:space="0"/>
          <w:shd w:val="clear" w:fill="FFFFFF"/>
        </w:rPr>
        <w:t>习近平新时代中国特色社会主义思想为指导，全面贯彻党的二十大精神，立足新发展阶段，完整、准确、全面贯彻新发展理念，构建新发展格局，推动高质量发展，</w:t>
      </w:r>
      <w:r>
        <w:rPr>
          <w:rFonts w:hint="default" w:ascii="仿宋_GB2312" w:hAnsi="Times New Roman" w:eastAsia="仿宋_GB2312" w:cs="仿宋_GB2312"/>
          <w:i w:val="0"/>
          <w:caps w:val="0"/>
          <w:color w:val="000000"/>
          <w:spacing w:val="-6"/>
          <w:sz w:val="32"/>
          <w:szCs w:val="32"/>
          <w:bdr w:val="none" w:color="auto" w:sz="0" w:space="0"/>
          <w:shd w:val="clear" w:fill="FFFFFF"/>
        </w:rPr>
        <w:t>树立质量第一的强烈意识</w:t>
      </w:r>
      <w:r>
        <w:rPr>
          <w:rFonts w:hint="default" w:ascii="仿宋_GB2312" w:hAnsi="Calibri" w:eastAsia="仿宋_GB2312" w:cs="仿宋_GB2312"/>
          <w:i w:val="0"/>
          <w:caps w:val="0"/>
          <w:color w:val="000000"/>
          <w:spacing w:val="-6"/>
          <w:sz w:val="32"/>
          <w:szCs w:val="32"/>
          <w:bdr w:val="none" w:color="auto" w:sz="0" w:space="0"/>
          <w:shd w:val="clear" w:fill="FFFFFF"/>
        </w:rPr>
        <w:t>，围绕提高供给体系质量，直面市场需求和群众关切，聚焦突出问题、明显短板和发展关键，坚持一个一个行业抓、一类一类产品抓，着力打通一批产业链供应链质量堵点，攻克一批关键核心技术质量难点，化解一批民生消费领域质量痛点，更好支撑现代产业体系优化升级，更大力度保障优质产品、工程和服务有效供给，不断增强人民群众获得感、幸福感、安全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28"/>
        <w:jc w:val="both"/>
        <w:rPr>
          <w:rFonts w:hint="default" w:ascii="Calibri" w:hAnsi="Calibri" w:cs="Calibri"/>
          <w:i w:val="0"/>
          <w:caps w:val="0"/>
          <w:color w:val="333333"/>
          <w:spacing w:val="0"/>
          <w:sz w:val="24"/>
          <w:szCs w:val="24"/>
        </w:rPr>
      </w:pPr>
      <w:r>
        <w:rPr>
          <w:rFonts w:hint="default" w:ascii="仿宋_GB2312" w:hAnsi="Calibri" w:eastAsia="仿宋_GB2312" w:cs="仿宋_GB2312"/>
          <w:i w:val="0"/>
          <w:caps w:val="0"/>
          <w:color w:val="000000"/>
          <w:spacing w:val="0"/>
          <w:sz w:val="32"/>
          <w:szCs w:val="32"/>
          <w:bdr w:val="none" w:color="auto" w:sz="0" w:space="0"/>
          <w:shd w:val="clear" w:fill="FFFFFF"/>
        </w:rPr>
        <w:t>到</w:t>
      </w:r>
      <w:r>
        <w:rPr>
          <w:rFonts w:hint="default" w:ascii="Times New Roman" w:hAnsi="Times New Roman" w:eastAsia="仿宋_GB2312" w:cs="Times New Roman"/>
          <w:i w:val="0"/>
          <w:caps w:val="0"/>
          <w:color w:val="000000"/>
          <w:spacing w:val="0"/>
          <w:sz w:val="32"/>
          <w:szCs w:val="32"/>
          <w:bdr w:val="none" w:color="auto" w:sz="0" w:space="0"/>
          <w:shd w:val="clear" w:fill="FFFFFF"/>
        </w:rPr>
        <w:t>2025</w:t>
      </w:r>
      <w:r>
        <w:rPr>
          <w:rFonts w:hint="default" w:ascii="仿宋_GB2312" w:hAnsi="Calibri" w:eastAsia="仿宋_GB2312" w:cs="仿宋_GB2312"/>
          <w:i w:val="0"/>
          <w:caps w:val="0"/>
          <w:color w:val="000000"/>
          <w:spacing w:val="0"/>
          <w:sz w:val="32"/>
          <w:szCs w:val="32"/>
          <w:bdr w:val="none" w:color="auto" w:sz="0" w:space="0"/>
          <w:shd w:val="clear" w:fill="FFFFFF"/>
        </w:rPr>
        <w:t>年，质量供给与需求更加适配，农产品食品合格率进一步提高，消费品优质供给能力明显增强，工业品质量稳步向中高端迈进，建筑品质和使用功能不断提高；生产性服务加快向专业化和价值链高端延伸，生活性服务可及性、便利性和公共服务质量满意度全面提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28"/>
        <w:jc w:val="both"/>
        <w:rPr>
          <w:rFonts w:hint="default" w:ascii="Calibri" w:hAnsi="Calibri" w:cs="Calibri"/>
          <w:i w:val="0"/>
          <w:caps w:val="0"/>
          <w:color w:val="333333"/>
          <w:spacing w:val="0"/>
          <w:sz w:val="14"/>
          <w:szCs w:val="14"/>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二、推动民生消费质量升级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28"/>
        <w:jc w:val="both"/>
        <w:rPr>
          <w:rFonts w:hint="default" w:ascii="Calibri" w:hAnsi="Calibri" w:cs="Calibri"/>
          <w:i w:val="0"/>
          <w:caps w:val="0"/>
          <w:color w:val="333333"/>
          <w:spacing w:val="0"/>
          <w:sz w:val="14"/>
          <w:szCs w:val="14"/>
        </w:rPr>
      </w:pPr>
      <w:r>
        <w:rPr>
          <w:rFonts w:hint="default" w:ascii="楷体_GB2312" w:hAnsi="Calibri" w:eastAsia="楷体_GB2312" w:cs="楷体_GB2312"/>
          <w:b w:val="0"/>
          <w:i w:val="0"/>
          <w:caps w:val="0"/>
          <w:color w:val="333333"/>
          <w:spacing w:val="0"/>
          <w:kern w:val="0"/>
          <w:sz w:val="32"/>
          <w:szCs w:val="32"/>
          <w:bdr w:val="none" w:color="auto" w:sz="0" w:space="0"/>
          <w:shd w:val="clear" w:fill="FFFFFF"/>
          <w:lang w:val="en-US" w:eastAsia="zh-CN" w:bidi="ar"/>
        </w:rPr>
        <w:t>（一）扩大安全优质农产品食品供给</w:t>
      </w:r>
      <w:r>
        <w:rPr>
          <w:rFonts w:hint="default" w:ascii="楷体_GB2312" w:hAnsi="Calibri" w:eastAsia="楷体_GB2312" w:cs="楷体_GB2312"/>
          <w:i w:val="0"/>
          <w:caps w:val="0"/>
          <w:color w:val="000000"/>
          <w:spacing w:val="0"/>
          <w:kern w:val="0"/>
          <w:sz w:val="32"/>
          <w:szCs w:val="32"/>
          <w:bdr w:val="none" w:color="auto" w:sz="0" w:space="0"/>
          <w:shd w:val="clear" w:fill="FFFFFF"/>
          <w:lang w:val="en-US" w:eastAsia="zh-CN" w:bidi="ar"/>
        </w:rPr>
        <w:t>。</w:t>
      </w:r>
      <w:r>
        <w:rPr>
          <w:rFonts w:hint="default" w:ascii="仿宋_GB2312" w:hAnsi="Calibri" w:eastAsia="仿宋_GB2312" w:cs="仿宋_GB2312"/>
          <w:i w:val="0"/>
          <w:caps w:val="0"/>
          <w:color w:val="000000"/>
          <w:spacing w:val="0"/>
          <w:kern w:val="0"/>
          <w:sz w:val="32"/>
          <w:szCs w:val="32"/>
          <w:bdr w:val="none" w:color="auto" w:sz="0" w:space="0"/>
          <w:shd w:val="clear" w:fill="FFFFFF"/>
          <w:lang w:val="en-US" w:eastAsia="zh-CN" w:bidi="ar"/>
        </w:rPr>
        <w:t>强化农业投入品质量安全风险评估，推广应用缓释肥、有机肥和高效低风险农药。完善农业全产业链标准体系，强化米面油等大宗粮油产品和蔬菜、果品、木本油料质量保障。着力提高乳制品质量安全水平，增强国产婴幼儿配方乳粉竞争力。加强冷链食品监管，严格排查管控涉疫食品，防止脱冷变质的冷藏冷冻食品流入市场。</w:t>
      </w:r>
      <w:r>
        <w:rPr>
          <w:rFonts w:hint="default" w:ascii="仿宋_GB2312" w:hAnsi="Calibri" w:eastAsia="仿宋_GB2312" w:cs="仿宋_GB2312"/>
          <w:i w:val="0"/>
          <w:caps w:val="0"/>
          <w:color w:val="333333"/>
          <w:spacing w:val="0"/>
          <w:kern w:val="0"/>
          <w:sz w:val="32"/>
          <w:szCs w:val="32"/>
          <w:bdr w:val="none" w:color="auto" w:sz="0" w:space="0"/>
          <w:shd w:val="clear" w:fill="FFFFFF"/>
          <w:lang w:val="en-US" w:eastAsia="zh-CN" w:bidi="ar"/>
        </w:rPr>
        <w:t>加快推进食品安全追溯体系建设</w:t>
      </w:r>
      <w:r>
        <w:rPr>
          <w:rFonts w:hint="default" w:ascii="仿宋_GB2312" w:hAnsi="Calibri" w:eastAsia="仿宋_GB2312" w:cs="仿宋_GB2312"/>
          <w:i w:val="0"/>
          <w:caps w:val="0"/>
          <w:color w:val="000000"/>
          <w:spacing w:val="0"/>
          <w:kern w:val="0"/>
          <w:sz w:val="32"/>
          <w:szCs w:val="32"/>
          <w:bdr w:val="none" w:color="auto" w:sz="0" w:space="0"/>
          <w:shd w:val="clear" w:fill="FFFFFF"/>
          <w:lang w:val="en-US" w:eastAsia="zh-CN" w:bidi="ar"/>
        </w:rPr>
        <w:t>，严控农药兽药残留、重金属、食品污染物等安全风险</w:t>
      </w:r>
      <w:r>
        <w:rPr>
          <w:rFonts w:hint="default" w:ascii="仿宋_GB2312" w:hAnsi="Calibri" w:eastAsia="仿宋_GB2312" w:cs="仿宋_GB2312"/>
          <w:i w:val="0"/>
          <w:caps w:val="0"/>
          <w:color w:val="333333"/>
          <w:spacing w:val="0"/>
          <w:kern w:val="0"/>
          <w:sz w:val="32"/>
          <w:szCs w:val="32"/>
          <w:bdr w:val="none" w:color="auto" w:sz="0" w:space="0"/>
          <w:shd w:val="clear" w:fill="FFFFFF"/>
          <w:lang w:val="en-US" w:eastAsia="zh-CN" w:bidi="ar"/>
        </w:rPr>
        <w:t>。完善食品质量标准体系。</w:t>
      </w:r>
      <w:r>
        <w:rPr>
          <w:rFonts w:hint="default" w:ascii="仿宋_GB2312" w:hAnsi="Calibri" w:eastAsia="仿宋_GB2312" w:cs="仿宋_GB2312"/>
          <w:i w:val="0"/>
          <w:caps w:val="0"/>
          <w:color w:val="000000"/>
          <w:spacing w:val="0"/>
          <w:kern w:val="0"/>
          <w:sz w:val="32"/>
          <w:szCs w:val="32"/>
          <w:bdr w:val="none" w:color="auto" w:sz="0" w:space="0"/>
          <w:shd w:val="clear" w:fill="FFFFFF"/>
          <w:lang w:val="en-US" w:eastAsia="zh-CN" w:bidi="ar"/>
        </w:rPr>
        <w:t>推进绿色、有机、地理标志和达标合格农产品（农产品“三品一标”）发展以及优质农产品基地建设，开展地理标志助力乡村振兴行动，推进地方特色产品标准化、品牌化，继续实施地理标志农产品保护工程。</w:t>
      </w:r>
      <w:r>
        <w:rPr>
          <w:rFonts w:hint="default" w:ascii="仿宋_GB2312" w:hAnsi="Calibri" w:eastAsia="仿宋_GB2312" w:cs="仿宋_GB2312"/>
          <w:i w:val="0"/>
          <w:caps w:val="0"/>
          <w:color w:val="333333"/>
          <w:spacing w:val="0"/>
          <w:kern w:val="0"/>
          <w:sz w:val="32"/>
          <w:szCs w:val="32"/>
          <w:bdr w:val="none" w:color="auto" w:sz="0" w:space="0"/>
          <w:shd w:val="clear" w:fill="FFFFFF"/>
          <w:lang w:val="en-US" w:eastAsia="zh-CN" w:bidi="ar"/>
        </w:rPr>
        <w:t>（</w:t>
      </w:r>
      <w:r>
        <w:rPr>
          <w:rFonts w:hint="default" w:ascii="楷体_GB2312" w:hAnsi="Calibri" w:eastAsia="楷体_GB2312" w:cs="楷体_GB2312"/>
          <w:i w:val="0"/>
          <w:caps w:val="0"/>
          <w:color w:val="000000"/>
          <w:spacing w:val="0"/>
          <w:kern w:val="0"/>
          <w:sz w:val="32"/>
          <w:szCs w:val="32"/>
          <w:bdr w:val="none" w:color="auto" w:sz="0" w:space="0"/>
          <w:shd w:val="clear" w:fill="FFFFFF"/>
          <w:lang w:val="en-US" w:eastAsia="zh-CN" w:bidi="ar"/>
        </w:rPr>
        <w:t>农业农村部、国家粮食和储备局、国家林草局、国家卫生健康委、市场监管总局、海关总署、工业和信息化部、供销合作总社、国家知识产权局等部门及地方各级人民政府负责落实。以下均需地方各级人民政府落实，不再列出</w:t>
      </w:r>
      <w:r>
        <w:rPr>
          <w:rFonts w:ascii="楷体" w:hAnsi="楷体" w:eastAsia="楷体" w:cs="楷体"/>
          <w:i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28"/>
        <w:jc w:val="both"/>
        <w:rPr>
          <w:rFonts w:hint="default" w:ascii="Calibri" w:hAnsi="Calibri" w:cs="Calibri"/>
          <w:i w:val="0"/>
          <w:caps w:val="0"/>
          <w:color w:val="333333"/>
          <w:spacing w:val="0"/>
          <w:sz w:val="14"/>
          <w:szCs w:val="14"/>
        </w:rPr>
      </w:pPr>
      <w:r>
        <w:rPr>
          <w:rFonts w:hint="default" w:ascii="楷体_GB2312" w:hAnsi="Calibri" w:eastAsia="楷体_GB2312" w:cs="楷体_GB2312"/>
          <w:b w:val="0"/>
          <w:i w:val="0"/>
          <w:caps w:val="0"/>
          <w:color w:val="333333"/>
          <w:spacing w:val="0"/>
          <w:kern w:val="0"/>
          <w:sz w:val="32"/>
          <w:szCs w:val="32"/>
          <w:bdr w:val="none" w:color="auto" w:sz="0" w:space="0"/>
          <w:shd w:val="clear" w:fill="FFFFFF"/>
          <w:lang w:val="en-US" w:eastAsia="zh-CN" w:bidi="ar"/>
        </w:rPr>
        <w:t>（二）增强</w:t>
      </w:r>
      <w:r>
        <w:rPr>
          <w:rFonts w:hint="default" w:ascii="楷体_GB2312" w:hAnsi="Calibri" w:eastAsia="楷体_GB2312" w:cs="楷体_GB2312"/>
          <w:b w:val="0"/>
          <w:i w:val="0"/>
          <w:caps w:val="0"/>
          <w:color w:val="333333"/>
          <w:spacing w:val="-6"/>
          <w:kern w:val="0"/>
          <w:sz w:val="32"/>
          <w:szCs w:val="32"/>
          <w:bdr w:val="none" w:color="auto" w:sz="0" w:space="0"/>
          <w:shd w:val="clear" w:fill="FFFFFF"/>
          <w:lang w:val="en-US" w:eastAsia="zh-CN" w:bidi="ar"/>
        </w:rPr>
        <w:t>儿童老年人残疾人用品适用性</w:t>
      </w:r>
      <w:r>
        <w:rPr>
          <w:rFonts w:hint="default" w:ascii="楷体_GB2312" w:hAnsi="Calibri" w:eastAsia="楷体_GB2312" w:cs="楷体_GB2312"/>
          <w:i w:val="0"/>
          <w:caps w:val="0"/>
          <w:color w:val="000000"/>
          <w:spacing w:val="-6"/>
          <w:kern w:val="0"/>
          <w:sz w:val="32"/>
          <w:szCs w:val="32"/>
          <w:bdr w:val="none" w:color="auto" w:sz="0" w:space="0"/>
          <w:shd w:val="clear" w:fill="FFFFFF"/>
          <w:lang w:val="en-US" w:eastAsia="zh-CN" w:bidi="ar"/>
        </w:rPr>
        <w:t>。</w:t>
      </w:r>
      <w:r>
        <w:rPr>
          <w:rFonts w:hint="default" w:ascii="仿宋_GB2312" w:hAnsi="Calibri" w:eastAsia="仿宋_GB2312" w:cs="仿宋_GB2312"/>
          <w:i w:val="0"/>
          <w:caps w:val="0"/>
          <w:color w:val="000000"/>
          <w:spacing w:val="-6"/>
          <w:kern w:val="0"/>
          <w:sz w:val="32"/>
          <w:szCs w:val="32"/>
          <w:bdr w:val="none" w:color="auto" w:sz="0" w:space="0"/>
          <w:shd w:val="clear" w:fill="FFFFFF"/>
          <w:lang w:val="en-US" w:eastAsia="zh-CN" w:bidi="ar"/>
        </w:rPr>
        <w:t>围绕特殊人群消费品发展需求，加大人体工效基础研究、技术研发和标准制定力度。深入推进儿童和学生用品安全守护行动，提高校服、玩具、文具和婴童用居家防护、运动防护、助行骑乘等产品质量安全水平。建立老年用品产业标准体系，推动适老化产品发展和智能应用及终端产品适老化改造。提高轮椅、助行机器人等康复辅助器具智能化程度，丰富助视、助听和辅助阅读类产品供给。</w:t>
      </w:r>
      <w:r>
        <w:rPr>
          <w:rFonts w:hint="default" w:ascii="楷体_GB2312" w:hAnsi="Calibri" w:eastAsia="楷体_GB2312" w:cs="楷体_GB2312"/>
          <w:i w:val="0"/>
          <w:caps w:val="0"/>
          <w:color w:val="000000"/>
          <w:spacing w:val="-6"/>
          <w:kern w:val="0"/>
          <w:sz w:val="32"/>
          <w:szCs w:val="32"/>
          <w:bdr w:val="none" w:color="auto" w:sz="0" w:space="0"/>
          <w:shd w:val="clear" w:fill="FFFFFF"/>
          <w:lang w:val="en-US" w:eastAsia="zh-CN" w:bidi="ar"/>
        </w:rPr>
        <w:t>（工业和信息化部、市场</w:t>
      </w:r>
      <w:r>
        <w:rPr>
          <w:rFonts w:hint="default" w:ascii="楷体_GB2312" w:hAnsi="Calibri" w:eastAsia="楷体_GB2312" w:cs="楷体_GB2312"/>
          <w:i w:val="0"/>
          <w:caps w:val="0"/>
          <w:color w:val="000000"/>
          <w:spacing w:val="0"/>
          <w:kern w:val="0"/>
          <w:sz w:val="32"/>
          <w:szCs w:val="32"/>
          <w:bdr w:val="none" w:color="auto" w:sz="0" w:space="0"/>
          <w:shd w:val="clear" w:fill="FFFFFF"/>
          <w:lang w:val="en-US" w:eastAsia="zh-CN" w:bidi="ar"/>
        </w:rPr>
        <w:t>监管总局、国家卫生健康委、民政部、国家药监局</w:t>
      </w:r>
      <w:r>
        <w:rPr>
          <w:rFonts w:hint="default" w:ascii="楷体_GB2312" w:hAnsi="Calibri" w:eastAsia="楷体_GB2312" w:cs="楷体_GB2312"/>
          <w:i w:val="0"/>
          <w:caps w:val="0"/>
          <w:color w:val="333333"/>
          <w:spacing w:val="0"/>
          <w:kern w:val="0"/>
          <w:sz w:val="32"/>
          <w:szCs w:val="32"/>
          <w:bdr w:val="none" w:color="auto" w:sz="0" w:space="0"/>
          <w:shd w:val="clear" w:fill="FFFFFF"/>
          <w:lang w:val="en-US" w:eastAsia="zh-CN" w:bidi="ar"/>
        </w:rPr>
        <w:t>等</w:t>
      </w:r>
      <w:r>
        <w:rPr>
          <w:rFonts w:hint="default" w:ascii="楷体_GB2312" w:hAnsi="Calibri" w:eastAsia="楷体_GB2312" w:cs="楷体_GB2312"/>
          <w:i w:val="0"/>
          <w:caps w:val="0"/>
          <w:color w:val="000000"/>
          <w:spacing w:val="0"/>
          <w:kern w:val="0"/>
          <w:sz w:val="32"/>
          <w:szCs w:val="32"/>
          <w:bdr w:val="none" w:color="auto" w:sz="0" w:space="0"/>
          <w:shd w:val="clear" w:fill="FFFFFF"/>
          <w:lang w:val="en-US" w:eastAsia="zh-CN" w:bidi="ar"/>
        </w:rPr>
        <w:t>按职责分工负责）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28"/>
        <w:jc w:val="both"/>
        <w:rPr>
          <w:rFonts w:hint="default" w:ascii="Calibri" w:hAnsi="Calibri" w:cs="Calibri"/>
          <w:i w:val="0"/>
          <w:caps w:val="0"/>
          <w:color w:val="333333"/>
          <w:spacing w:val="0"/>
          <w:sz w:val="14"/>
          <w:szCs w:val="14"/>
        </w:rPr>
      </w:pPr>
      <w:r>
        <w:rPr>
          <w:rFonts w:hint="default" w:ascii="楷体_GB2312" w:hAnsi="Calibri" w:eastAsia="楷体_GB2312" w:cs="楷体_GB2312"/>
          <w:b w:val="0"/>
          <w:i w:val="0"/>
          <w:caps w:val="0"/>
          <w:color w:val="333333"/>
          <w:spacing w:val="0"/>
          <w:kern w:val="0"/>
          <w:sz w:val="32"/>
          <w:szCs w:val="32"/>
          <w:bdr w:val="none" w:color="auto" w:sz="0" w:space="0"/>
          <w:shd w:val="clear" w:fill="FFFFFF"/>
          <w:lang w:val="en-US" w:eastAsia="zh-CN" w:bidi="ar"/>
        </w:rPr>
        <w:t>（三）促进日用消费品升级迭代和文体用品创新发展</w:t>
      </w:r>
      <w:r>
        <w:rPr>
          <w:rFonts w:hint="default" w:ascii="楷体_GB2312" w:hAnsi="Calibri" w:eastAsia="楷体_GB2312" w:cs="楷体_GB2312"/>
          <w:i w:val="0"/>
          <w:caps w:val="0"/>
          <w:color w:val="000000"/>
          <w:spacing w:val="0"/>
          <w:kern w:val="0"/>
          <w:sz w:val="32"/>
          <w:szCs w:val="32"/>
          <w:bdr w:val="none" w:color="auto" w:sz="0" w:space="0"/>
          <w:shd w:val="clear" w:fill="FFFFFF"/>
          <w:lang w:val="en-US" w:eastAsia="zh-CN" w:bidi="ar"/>
        </w:rPr>
        <w:t>。</w:t>
      </w:r>
      <w:r>
        <w:rPr>
          <w:rFonts w:hint="default" w:ascii="仿宋_GB2312" w:hAnsi="Calibri" w:eastAsia="仿宋_GB2312" w:cs="仿宋_GB2312"/>
          <w:i w:val="0"/>
          <w:caps w:val="0"/>
          <w:color w:val="000000"/>
          <w:spacing w:val="0"/>
          <w:kern w:val="0"/>
          <w:sz w:val="32"/>
          <w:szCs w:val="32"/>
          <w:bdr w:val="none" w:color="auto" w:sz="0" w:space="0"/>
          <w:shd w:val="clear" w:fill="FFFFFF"/>
          <w:lang w:val="en-US" w:eastAsia="zh-CN" w:bidi="ar"/>
        </w:rPr>
        <w:t>加强数字化试衣、智能服装等新技术新产品研发，大力推动服装、鞋类产品、羽绒制品等领域产品质量分级。提高清洁类家电产品的消毒除菌、清洁净化性能，提升厨房电器一体化、智能化和能效水平，发展便携式小家电。严格家居装饰装修产品有毒有害物质限量要求，提升厨卫五金、人造板等零部件及材料质量。提高口罩、消毒液等防疫用品和应急物资质量水平。推进商品包装和流通环节包装减量化、标准化、循环化。</w:t>
      </w:r>
      <w:r>
        <w:rPr>
          <w:rFonts w:hint="default" w:ascii="仿宋_GB2312" w:hAnsi="Calibri" w:eastAsia="仿宋_GB2312" w:cs="仿宋_GB2312"/>
          <w:i w:val="0"/>
          <w:caps w:val="0"/>
          <w:color w:val="333333"/>
          <w:spacing w:val="0"/>
          <w:kern w:val="0"/>
          <w:sz w:val="32"/>
          <w:szCs w:val="32"/>
          <w:bdr w:val="none" w:color="auto" w:sz="0" w:space="0"/>
          <w:shd w:val="clear" w:fill="FFFFFF"/>
          <w:lang w:val="en-US" w:eastAsia="zh-CN" w:bidi="ar"/>
        </w:rPr>
        <w:t>加大健身器材和运动用品优质供给，提升音乐、舞蹈、美术用品质量水平。提高首饰、艺术陶瓷等工艺美术产品和丝绸刺绣、文房四宝等传统文化产品创作设计水平。</w:t>
      </w:r>
      <w:r>
        <w:rPr>
          <w:rFonts w:hint="default" w:ascii="楷体_GB2312" w:hAnsi="Calibri" w:eastAsia="楷体_GB2312" w:cs="楷体_GB2312"/>
          <w:i w:val="0"/>
          <w:caps w:val="0"/>
          <w:color w:val="000000"/>
          <w:spacing w:val="0"/>
          <w:kern w:val="0"/>
          <w:sz w:val="32"/>
          <w:szCs w:val="32"/>
          <w:bdr w:val="none" w:color="auto" w:sz="0" w:space="0"/>
          <w:shd w:val="clear" w:fill="FFFFFF"/>
          <w:lang w:val="en-US" w:eastAsia="zh-CN" w:bidi="ar"/>
        </w:rPr>
        <w:t>（工业和信息化部、市场监管总局、国家林草局、国家卫生健康委、国家药监局、体育总局、文化和旅游部</w:t>
      </w:r>
      <w:r>
        <w:rPr>
          <w:rFonts w:hint="default" w:ascii="楷体_GB2312" w:hAnsi="Calibri" w:eastAsia="楷体_GB2312" w:cs="楷体_GB2312"/>
          <w:i w:val="0"/>
          <w:caps w:val="0"/>
          <w:color w:val="333333"/>
          <w:spacing w:val="0"/>
          <w:kern w:val="0"/>
          <w:sz w:val="32"/>
          <w:szCs w:val="32"/>
          <w:bdr w:val="none" w:color="auto" w:sz="0" w:space="0"/>
          <w:shd w:val="clear" w:fill="FFFFFF"/>
          <w:lang w:val="en-US" w:eastAsia="zh-CN" w:bidi="ar"/>
        </w:rPr>
        <w:t>等</w:t>
      </w:r>
      <w:r>
        <w:rPr>
          <w:rFonts w:hint="default" w:ascii="楷体_GB2312" w:hAnsi="Calibri" w:eastAsia="楷体_GB2312" w:cs="楷体_GB2312"/>
          <w:i w:val="0"/>
          <w:caps w:val="0"/>
          <w:color w:val="000000"/>
          <w:spacing w:val="0"/>
          <w:kern w:val="0"/>
          <w:sz w:val="32"/>
          <w:szCs w:val="32"/>
          <w:bdr w:val="none" w:color="auto" w:sz="0" w:space="0"/>
          <w:shd w:val="clear" w:fill="FFFFFF"/>
          <w:lang w:val="en-US" w:eastAsia="zh-CN" w:bidi="ar"/>
        </w:rPr>
        <w:t>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27"/>
        <w:jc w:val="both"/>
        <w:rPr>
          <w:rFonts w:hint="eastAsia" w:ascii="宋体" w:hAnsi="宋体" w:eastAsia="宋体" w:cs="宋体"/>
          <w:i w:val="0"/>
          <w:caps w:val="0"/>
          <w:color w:val="333333"/>
          <w:spacing w:val="0"/>
          <w:sz w:val="14"/>
          <w:szCs w:val="14"/>
        </w:rPr>
      </w:pPr>
      <w:r>
        <w:rPr>
          <w:rFonts w:hint="default" w:ascii="楷体_GB2312" w:hAnsi="宋体" w:eastAsia="楷体_GB2312" w:cs="楷体_GB2312"/>
          <w:b w:val="0"/>
          <w:i w:val="0"/>
          <w:caps w:val="0"/>
          <w:color w:val="333333"/>
          <w:spacing w:val="0"/>
          <w:sz w:val="32"/>
          <w:szCs w:val="32"/>
          <w:bdr w:val="none" w:color="auto" w:sz="0" w:space="0"/>
          <w:shd w:val="clear" w:fill="FFFFFF"/>
        </w:rPr>
        <w:t>（四）推动建筑工程品质提升</w:t>
      </w:r>
      <w:r>
        <w:rPr>
          <w:rFonts w:hint="default" w:ascii="仿宋_GB2312" w:hAnsi="宋体" w:eastAsia="仿宋_GB2312" w:cs="仿宋_GB2312"/>
          <w:i w:val="0"/>
          <w:caps w:val="0"/>
          <w:color w:val="333333"/>
          <w:spacing w:val="0"/>
          <w:sz w:val="32"/>
          <w:szCs w:val="32"/>
          <w:bdr w:val="none" w:color="auto" w:sz="0" w:space="0"/>
          <w:shd w:val="clear" w:fill="FFFFFF"/>
        </w:rPr>
        <w:t>。进一步完善建筑性能标准，合理确定节能、无障碍、适老化等建筑性能指标。探索建立建筑工程质量评价制度，鼓励通过政府购买服务等方式，对地区工程质量状况进行评估。加快推进工程质量管理标准化建设，推动落实工程质量安全手册制度。强化住宅工程质量管理，探索推进住宅工程质量信息公示。开展预拌混凝土质量专项抽查和工程质量检测专项治理行动，依法严厉查处质量不合格和检测数据造假等违法违规行为。加强绿色建材推广应用，开展绿色建材下乡活动。</w:t>
      </w:r>
      <w:r>
        <w:rPr>
          <w:rFonts w:hint="default" w:ascii="楷体_GB2312" w:hAnsi="宋体" w:eastAsia="楷体_GB2312" w:cs="楷体_GB2312"/>
          <w:i w:val="0"/>
          <w:caps w:val="0"/>
          <w:color w:val="333333"/>
          <w:spacing w:val="0"/>
          <w:sz w:val="32"/>
          <w:szCs w:val="32"/>
          <w:bdr w:val="none" w:color="auto" w:sz="0" w:space="0"/>
          <w:shd w:val="clear" w:fill="FFFFFF"/>
        </w:rPr>
        <w:t>（住房城乡建设部、工业和信息化部、财政部等</w:t>
      </w:r>
      <w:r>
        <w:rPr>
          <w:rFonts w:hint="default" w:ascii="楷体_GB2312" w:hAnsi="宋体" w:eastAsia="楷体_GB2312" w:cs="楷体_GB2312"/>
          <w:i w:val="0"/>
          <w:caps w:val="0"/>
          <w:color w:val="000000"/>
          <w:spacing w:val="0"/>
          <w:sz w:val="32"/>
          <w:szCs w:val="32"/>
          <w:bdr w:val="none" w:color="auto" w:sz="0" w:space="0"/>
          <w:shd w:val="clear" w:fill="FFFFFF"/>
        </w:rPr>
        <w:t>按职责分工负责</w:t>
      </w:r>
      <w:r>
        <w:rPr>
          <w:rFonts w:hint="default" w:ascii="楷体_GB2312" w:hAnsi="宋体" w:eastAsia="楷体_GB2312" w:cs="楷体_GB2312"/>
          <w:i w:val="0"/>
          <w:caps w:val="0"/>
          <w:color w:val="333333"/>
          <w:spacing w:val="0"/>
          <w:sz w:val="32"/>
          <w:szCs w:val="32"/>
          <w:bdr w:val="none" w:color="auto" w:sz="0" w:space="0"/>
          <w:shd w:val="clear" w:fill="FFFFFF"/>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28"/>
        <w:jc w:val="both"/>
        <w:rPr>
          <w:rFonts w:hint="default" w:ascii="Calibri" w:hAnsi="Calibri" w:cs="Calibri"/>
          <w:i w:val="0"/>
          <w:caps w:val="0"/>
          <w:color w:val="333333"/>
          <w:spacing w:val="0"/>
          <w:sz w:val="14"/>
          <w:szCs w:val="14"/>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三、增强产业基础质量竞争力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28"/>
        <w:jc w:val="both"/>
        <w:rPr>
          <w:rFonts w:hint="default" w:ascii="Calibri" w:hAnsi="Calibri" w:cs="Calibri"/>
          <w:i w:val="0"/>
          <w:caps w:val="0"/>
          <w:color w:val="333333"/>
          <w:spacing w:val="0"/>
          <w:sz w:val="14"/>
          <w:szCs w:val="14"/>
        </w:rPr>
      </w:pPr>
      <w:r>
        <w:rPr>
          <w:rFonts w:hint="default" w:ascii="楷体_GB2312" w:hAnsi="Calibri" w:eastAsia="楷体_GB2312" w:cs="楷体_GB2312"/>
          <w:b w:val="0"/>
          <w:i w:val="0"/>
          <w:caps w:val="0"/>
          <w:color w:val="333333"/>
          <w:spacing w:val="0"/>
          <w:kern w:val="0"/>
          <w:sz w:val="32"/>
          <w:szCs w:val="32"/>
          <w:bdr w:val="none" w:color="auto" w:sz="0" w:space="0"/>
          <w:shd w:val="clear" w:fill="FFFFFF"/>
          <w:lang w:val="en-US" w:eastAsia="zh-CN" w:bidi="ar"/>
        </w:rPr>
        <w:t>（五）提高基础件通用件质量性能</w:t>
      </w:r>
      <w:r>
        <w:rPr>
          <w:rFonts w:hint="default" w:ascii="楷体_GB2312" w:hAnsi="Calibri" w:eastAsia="楷体_GB2312" w:cs="楷体_GB2312"/>
          <w:i w:val="0"/>
          <w:caps w:val="0"/>
          <w:color w:val="000000"/>
          <w:spacing w:val="0"/>
          <w:kern w:val="0"/>
          <w:sz w:val="32"/>
          <w:szCs w:val="32"/>
          <w:bdr w:val="none" w:color="auto" w:sz="0" w:space="0"/>
          <w:shd w:val="clear" w:fill="FFFFFF"/>
          <w:lang w:val="en-US" w:eastAsia="zh-CN" w:bidi="ar"/>
        </w:rPr>
        <w:t>。</w:t>
      </w:r>
      <w:r>
        <w:rPr>
          <w:rFonts w:hint="default" w:ascii="仿宋_GB2312" w:hAnsi="Calibri" w:eastAsia="仿宋_GB2312" w:cs="仿宋_GB2312"/>
          <w:i w:val="0"/>
          <w:caps w:val="0"/>
          <w:color w:val="333333"/>
          <w:spacing w:val="0"/>
          <w:kern w:val="0"/>
          <w:sz w:val="32"/>
          <w:szCs w:val="32"/>
          <w:bdr w:val="none" w:color="auto" w:sz="0" w:space="0"/>
          <w:shd w:val="clear" w:fill="FFFFFF"/>
          <w:lang w:val="en-US" w:eastAsia="zh-CN" w:bidi="ar"/>
        </w:rPr>
        <w:t>加强基础共性技术研究，提升轴承、齿轮、紧固件、液气密件、液压件、泵阀、模具、传感器等核心基础零部件（元器件）可靠性、稳定性，延长使用寿命。加快设计、制造工艺软件国产化应用，推进电子设计自动化参考架构标准化，研发高端芯片关键装备和仪器。加强高端仪器仪表计量测试技术研究和应用，提高设备精度、稳定性和标校技术水平。</w:t>
      </w:r>
      <w:r>
        <w:rPr>
          <w:rFonts w:hint="default" w:ascii="楷体_GB2312" w:hAnsi="Calibri" w:eastAsia="楷体_GB2312" w:cs="楷体_GB2312"/>
          <w:i w:val="0"/>
          <w:caps w:val="0"/>
          <w:color w:val="000000"/>
          <w:spacing w:val="0"/>
          <w:kern w:val="0"/>
          <w:sz w:val="32"/>
          <w:szCs w:val="32"/>
          <w:bdr w:val="none" w:color="auto" w:sz="0" w:space="0"/>
          <w:shd w:val="clear" w:fill="FFFFFF"/>
          <w:lang w:val="en-US" w:eastAsia="zh-CN" w:bidi="ar"/>
        </w:rPr>
        <w:t>（科技部、工业和信息化部、国家国防科工局、市场监管总局等按职责分工负责）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28"/>
        <w:jc w:val="both"/>
        <w:rPr>
          <w:rFonts w:hint="default" w:ascii="Calibri" w:hAnsi="Calibri" w:cs="Calibri"/>
          <w:i w:val="0"/>
          <w:caps w:val="0"/>
          <w:color w:val="333333"/>
          <w:spacing w:val="0"/>
          <w:sz w:val="14"/>
          <w:szCs w:val="14"/>
        </w:rPr>
      </w:pPr>
      <w:r>
        <w:rPr>
          <w:rFonts w:hint="default" w:ascii="楷体_GB2312" w:hAnsi="Calibri" w:eastAsia="楷体_GB2312" w:cs="楷体_GB2312"/>
          <w:b w:val="0"/>
          <w:i w:val="0"/>
          <w:caps w:val="0"/>
          <w:color w:val="333333"/>
          <w:spacing w:val="0"/>
          <w:kern w:val="0"/>
          <w:sz w:val="32"/>
          <w:szCs w:val="32"/>
          <w:bdr w:val="none" w:color="auto" w:sz="0" w:space="0"/>
          <w:shd w:val="clear" w:fill="FFFFFF"/>
          <w:lang w:val="en-US" w:eastAsia="zh-CN" w:bidi="ar"/>
        </w:rPr>
        <w:t>（六）强化材料质量保障能力</w:t>
      </w:r>
      <w:r>
        <w:rPr>
          <w:rFonts w:hint="default" w:ascii="楷体_GB2312" w:hAnsi="Calibri" w:eastAsia="楷体_GB2312" w:cs="楷体_GB2312"/>
          <w:i w:val="0"/>
          <w:caps w:val="0"/>
          <w:color w:val="000000"/>
          <w:spacing w:val="0"/>
          <w:kern w:val="0"/>
          <w:sz w:val="32"/>
          <w:szCs w:val="32"/>
          <w:bdr w:val="none" w:color="auto" w:sz="0" w:space="0"/>
          <w:shd w:val="clear" w:fill="FFFFFF"/>
          <w:lang w:val="en-US" w:eastAsia="zh-CN" w:bidi="ar"/>
        </w:rPr>
        <w:t>。</w:t>
      </w:r>
      <w:r>
        <w:rPr>
          <w:rFonts w:hint="default" w:ascii="仿宋_GB2312" w:hAnsi="Calibri" w:eastAsia="仿宋_GB2312" w:cs="仿宋_GB2312"/>
          <w:i w:val="0"/>
          <w:caps w:val="0"/>
          <w:color w:val="333333"/>
          <w:spacing w:val="0"/>
          <w:kern w:val="0"/>
          <w:sz w:val="32"/>
          <w:szCs w:val="32"/>
          <w:bdr w:val="none" w:color="auto" w:sz="0" w:space="0"/>
          <w:shd w:val="clear" w:fill="FFFFFF"/>
          <w:lang w:val="en-US" w:eastAsia="zh-CN" w:bidi="ar"/>
        </w:rPr>
        <w:t>提高通用钢材、航空铝材、基础化工原料、水泥、平板玻璃等质量稳定性、可靠性和耐久性。加快冶金、化工、纺织、建材、林产工业等行业标准制修订工作。加强在一定条件下具有易燃危险性的工业原材料出厂质量安全控制和抽检。实施新材料标准领航行动和计量测试能力提升工程，提升稀土、石墨烯、特种合金、精细陶瓷、液态金属等质量性能，加快先进半导体材料和碳纤维及其复合材料的标准研制，加强新材料制备关键技术攻关和设备研发。</w:t>
      </w:r>
      <w:r>
        <w:rPr>
          <w:rFonts w:hint="default" w:ascii="楷体_GB2312" w:hAnsi="Calibri" w:eastAsia="楷体_GB2312" w:cs="楷体_GB2312"/>
          <w:i w:val="0"/>
          <w:caps w:val="0"/>
          <w:color w:val="333333"/>
          <w:spacing w:val="0"/>
          <w:kern w:val="0"/>
          <w:sz w:val="32"/>
          <w:szCs w:val="32"/>
          <w:bdr w:val="none" w:color="auto" w:sz="0" w:space="0"/>
          <w:shd w:val="clear" w:fill="FFFFFF"/>
          <w:lang w:val="en-US" w:eastAsia="zh-CN" w:bidi="ar"/>
        </w:rPr>
        <w:t>（工业和信息化部、国家国防科工局、国家林草局、</w:t>
      </w:r>
      <w:r>
        <w:rPr>
          <w:rFonts w:hint="default" w:ascii="楷体_GB2312" w:hAnsi="Calibri" w:eastAsia="楷体_GB2312" w:cs="楷体_GB2312"/>
          <w:i w:val="0"/>
          <w:caps w:val="0"/>
          <w:color w:val="000000"/>
          <w:spacing w:val="0"/>
          <w:kern w:val="0"/>
          <w:sz w:val="32"/>
          <w:szCs w:val="32"/>
          <w:bdr w:val="none" w:color="auto" w:sz="0" w:space="0"/>
          <w:shd w:val="clear" w:fill="FFFFFF"/>
          <w:lang w:val="en-US" w:eastAsia="zh-CN" w:bidi="ar"/>
        </w:rPr>
        <w:t>国家发展改革委、</w:t>
      </w:r>
      <w:r>
        <w:rPr>
          <w:rFonts w:hint="default" w:ascii="楷体_GB2312" w:hAnsi="Calibri" w:eastAsia="楷体_GB2312" w:cs="楷体_GB2312"/>
          <w:i w:val="0"/>
          <w:caps w:val="0"/>
          <w:color w:val="333333"/>
          <w:spacing w:val="0"/>
          <w:kern w:val="0"/>
          <w:sz w:val="32"/>
          <w:szCs w:val="32"/>
          <w:bdr w:val="none" w:color="auto" w:sz="0" w:space="0"/>
          <w:shd w:val="clear" w:fill="FFFFFF"/>
          <w:lang w:val="en-US" w:eastAsia="zh-CN" w:bidi="ar"/>
        </w:rPr>
        <w:t>中科院、市场监管总局、科技部等</w:t>
      </w:r>
      <w:r>
        <w:rPr>
          <w:rFonts w:hint="default" w:ascii="楷体_GB2312" w:hAnsi="Calibri" w:eastAsia="楷体_GB2312" w:cs="楷体_GB2312"/>
          <w:i w:val="0"/>
          <w:caps w:val="0"/>
          <w:color w:val="000000"/>
          <w:spacing w:val="0"/>
          <w:kern w:val="0"/>
          <w:sz w:val="32"/>
          <w:szCs w:val="32"/>
          <w:bdr w:val="none" w:color="auto" w:sz="0" w:space="0"/>
          <w:shd w:val="clear" w:fill="FFFFFF"/>
          <w:lang w:val="en-US" w:eastAsia="zh-CN" w:bidi="ar"/>
        </w:rPr>
        <w:t>按职责分工负责</w:t>
      </w:r>
      <w:r>
        <w:rPr>
          <w:rFonts w:hint="default" w:ascii="楷体_GB2312" w:hAnsi="Calibri" w:eastAsia="楷体_GB2312" w:cs="楷体_GB2312"/>
          <w:i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28"/>
        <w:jc w:val="both"/>
        <w:rPr>
          <w:rFonts w:hint="default" w:ascii="Calibri" w:hAnsi="Calibri" w:cs="Calibri"/>
          <w:i w:val="0"/>
          <w:caps w:val="0"/>
          <w:color w:val="333333"/>
          <w:spacing w:val="0"/>
          <w:sz w:val="14"/>
          <w:szCs w:val="14"/>
        </w:rPr>
      </w:pPr>
      <w:r>
        <w:rPr>
          <w:rFonts w:hint="default" w:ascii="楷体_GB2312" w:hAnsi="Calibri" w:eastAsia="楷体_GB2312" w:cs="楷体_GB2312"/>
          <w:b w:val="0"/>
          <w:i w:val="0"/>
          <w:caps w:val="0"/>
          <w:color w:val="333333"/>
          <w:spacing w:val="0"/>
          <w:kern w:val="0"/>
          <w:sz w:val="32"/>
          <w:szCs w:val="32"/>
          <w:bdr w:val="none" w:color="auto" w:sz="0" w:space="0"/>
          <w:shd w:val="clear" w:fill="FFFFFF"/>
          <w:lang w:val="en-US" w:eastAsia="zh-CN" w:bidi="ar"/>
        </w:rPr>
        <w:t>（七）提升装备产品质量可靠性</w:t>
      </w:r>
      <w:r>
        <w:rPr>
          <w:rFonts w:hint="default" w:ascii="楷体_GB2312" w:hAnsi="Calibri" w:eastAsia="楷体_GB2312" w:cs="楷体_GB2312"/>
          <w:i w:val="0"/>
          <w:caps w:val="0"/>
          <w:color w:val="000000"/>
          <w:spacing w:val="0"/>
          <w:kern w:val="0"/>
          <w:sz w:val="32"/>
          <w:szCs w:val="32"/>
          <w:bdr w:val="none" w:color="auto" w:sz="0" w:space="0"/>
          <w:shd w:val="clear" w:fill="FFFFFF"/>
          <w:lang w:val="en-US" w:eastAsia="zh-CN" w:bidi="ar"/>
        </w:rPr>
        <w:t>。</w:t>
      </w:r>
      <w:r>
        <w:rPr>
          <w:rFonts w:hint="default" w:ascii="仿宋_GB2312" w:hAnsi="Calibri" w:eastAsia="仿宋_GB2312" w:cs="仿宋_GB2312"/>
          <w:i w:val="0"/>
          <w:caps w:val="0"/>
          <w:color w:val="333333"/>
          <w:spacing w:val="0"/>
          <w:kern w:val="0"/>
          <w:sz w:val="32"/>
          <w:szCs w:val="32"/>
          <w:bdr w:val="none" w:color="auto" w:sz="0" w:space="0"/>
          <w:shd w:val="clear" w:fill="FFFFFF"/>
          <w:lang w:val="en-US" w:eastAsia="zh-CN" w:bidi="ar"/>
        </w:rPr>
        <w:t>提升电子装备、数控机床和工业机器人的安全性和可靠性水平，加快数控系统、关键功能部件、整机、系统集成方案升级和推广应用。加快标准升级迭代，主粮作物收获机械、拖拉机平均故障间隔时间指标分别提高到</w:t>
      </w:r>
      <w:r>
        <w:rPr>
          <w:rFonts w:hint="default" w:ascii="Times New Roman" w:hAnsi="Times New Roman" w:cs="Times New Roman" w:eastAsiaTheme="minorEastAsia"/>
          <w:i w:val="0"/>
          <w:caps w:val="0"/>
          <w:color w:val="333333"/>
          <w:spacing w:val="0"/>
          <w:kern w:val="0"/>
          <w:sz w:val="32"/>
          <w:szCs w:val="32"/>
          <w:bdr w:val="none" w:color="auto" w:sz="0" w:space="0"/>
          <w:shd w:val="clear" w:fill="FFFFFF"/>
          <w:lang w:val="en-US" w:eastAsia="zh-CN" w:bidi="ar"/>
        </w:rPr>
        <w:t>80</w:t>
      </w:r>
      <w:r>
        <w:rPr>
          <w:rFonts w:hint="default" w:ascii="仿宋_GB2312" w:hAnsi="Calibri" w:eastAsia="仿宋_GB2312" w:cs="仿宋_GB2312"/>
          <w:i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250</w:t>
      </w:r>
      <w:r>
        <w:rPr>
          <w:rFonts w:hint="default" w:ascii="仿宋_GB2312" w:hAnsi="Calibri" w:eastAsia="仿宋_GB2312" w:cs="仿宋_GB2312"/>
          <w:i w:val="0"/>
          <w:caps w:val="0"/>
          <w:color w:val="333333"/>
          <w:spacing w:val="0"/>
          <w:kern w:val="0"/>
          <w:sz w:val="32"/>
          <w:szCs w:val="32"/>
          <w:bdr w:val="none" w:color="auto" w:sz="0" w:space="0"/>
          <w:shd w:val="clear" w:fill="FFFFFF"/>
          <w:lang w:val="en-US" w:eastAsia="zh-CN" w:bidi="ar"/>
        </w:rPr>
        <w:t>小时以上。突破工程机械稳定性设计、控制和传动系统关键零部件制造工艺技术，推动挖掘机、装载机、推土机和非公路自卸车等平均失效间隔时间比现行国家标准提高</w:t>
      </w:r>
      <w:r>
        <w:rPr>
          <w:rFonts w:hint="default" w:ascii="Times New Roman" w:hAnsi="Times New Roman" w:cs="Times New Roman" w:eastAsiaTheme="minorEastAsia"/>
          <w:i w:val="0"/>
          <w:caps w:val="0"/>
          <w:color w:val="333333"/>
          <w:spacing w:val="0"/>
          <w:kern w:val="0"/>
          <w:sz w:val="32"/>
          <w:szCs w:val="32"/>
          <w:bdr w:val="none" w:color="auto" w:sz="0" w:space="0"/>
          <w:shd w:val="clear" w:fill="FFFFFF"/>
          <w:lang w:val="en-US" w:eastAsia="zh-CN" w:bidi="ar"/>
        </w:rPr>
        <w:t>60%</w:t>
      </w:r>
      <w:r>
        <w:rPr>
          <w:rFonts w:hint="default" w:ascii="仿宋_GB2312" w:hAnsi="Calibri" w:eastAsia="仿宋_GB2312" w:cs="仿宋_GB2312"/>
          <w:i w:val="0"/>
          <w:caps w:val="0"/>
          <w:color w:val="333333"/>
          <w:spacing w:val="0"/>
          <w:kern w:val="0"/>
          <w:sz w:val="32"/>
          <w:szCs w:val="32"/>
          <w:bdr w:val="none" w:color="auto" w:sz="0" w:space="0"/>
          <w:shd w:val="clear" w:fill="FFFFFF"/>
          <w:lang w:val="en-US" w:eastAsia="zh-CN" w:bidi="ar"/>
        </w:rPr>
        <w:t>以上。提升电动交通工具和电池驱动非道路移动机械等的安全可靠性。完善起重机械安全技术规范，推动桥式、门式起重机设置不同形式高度限位装置。加强重大工程设备监理。</w:t>
      </w:r>
      <w:r>
        <w:rPr>
          <w:rFonts w:hint="default" w:ascii="楷体_GB2312" w:hAnsi="Calibri" w:eastAsia="楷体_GB2312" w:cs="楷体_GB2312"/>
          <w:i w:val="0"/>
          <w:caps w:val="0"/>
          <w:color w:val="333333"/>
          <w:spacing w:val="0"/>
          <w:kern w:val="0"/>
          <w:sz w:val="32"/>
          <w:szCs w:val="32"/>
          <w:bdr w:val="none" w:color="auto" w:sz="0" w:space="0"/>
          <w:shd w:val="clear" w:fill="FFFFFF"/>
          <w:lang w:val="en-US" w:eastAsia="zh-CN" w:bidi="ar"/>
        </w:rPr>
        <w:t>（工业和信息化部、国家国防科工局、农业农村部、市场监管总局等</w:t>
      </w:r>
      <w:r>
        <w:rPr>
          <w:rFonts w:hint="default" w:ascii="楷体_GB2312" w:hAnsi="Calibri" w:eastAsia="楷体_GB2312" w:cs="楷体_GB2312"/>
          <w:i w:val="0"/>
          <w:caps w:val="0"/>
          <w:color w:val="000000"/>
          <w:spacing w:val="0"/>
          <w:kern w:val="0"/>
          <w:sz w:val="32"/>
          <w:szCs w:val="32"/>
          <w:bdr w:val="none" w:color="auto" w:sz="0" w:space="0"/>
          <w:shd w:val="clear" w:fill="FFFFFF"/>
          <w:lang w:val="en-US" w:eastAsia="zh-CN" w:bidi="ar"/>
        </w:rPr>
        <w:t>按职责分工负责</w:t>
      </w:r>
      <w:r>
        <w:rPr>
          <w:rFonts w:hint="default" w:ascii="楷体_GB2312" w:hAnsi="Calibri" w:eastAsia="楷体_GB2312" w:cs="楷体_GB2312"/>
          <w:i w:val="0"/>
          <w:caps w:val="0"/>
          <w:color w:val="333333"/>
          <w:spacing w:val="0"/>
          <w:kern w:val="0"/>
          <w:sz w:val="32"/>
          <w:szCs w:val="32"/>
          <w:bdr w:val="none" w:color="auto" w:sz="0" w:space="0"/>
          <w:shd w:val="clear" w:fill="FFFFFF"/>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28"/>
        <w:jc w:val="both"/>
        <w:rPr>
          <w:rFonts w:hint="eastAsia" w:ascii="宋体" w:hAnsi="宋体" w:eastAsia="宋体" w:cs="宋体"/>
          <w:i w:val="0"/>
          <w:caps w:val="0"/>
          <w:color w:val="333333"/>
          <w:spacing w:val="0"/>
          <w:sz w:val="14"/>
          <w:szCs w:val="14"/>
        </w:rPr>
      </w:pPr>
      <w:r>
        <w:rPr>
          <w:rFonts w:hint="eastAsia" w:ascii="黑体" w:hAnsi="宋体" w:eastAsia="黑体" w:cs="黑体"/>
          <w:i w:val="0"/>
          <w:caps w:val="0"/>
          <w:color w:val="333333"/>
          <w:spacing w:val="0"/>
          <w:sz w:val="32"/>
          <w:szCs w:val="32"/>
          <w:bdr w:val="none" w:color="auto" w:sz="0" w:space="0"/>
          <w:shd w:val="clear" w:fill="FFFFFF"/>
        </w:rPr>
        <w:t>四、引导新技术新产品新业态优质发展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28"/>
        <w:jc w:val="both"/>
        <w:rPr>
          <w:rFonts w:hint="default" w:ascii="Calibri" w:hAnsi="Calibri" w:cs="Calibri"/>
          <w:i w:val="0"/>
          <w:caps w:val="0"/>
          <w:color w:val="333333"/>
          <w:spacing w:val="0"/>
          <w:sz w:val="14"/>
          <w:szCs w:val="14"/>
        </w:rPr>
      </w:pPr>
      <w:r>
        <w:rPr>
          <w:rFonts w:hint="default" w:ascii="楷体_GB2312" w:hAnsi="Calibri" w:eastAsia="楷体_GB2312" w:cs="楷体_GB2312"/>
          <w:b w:val="0"/>
          <w:i w:val="0"/>
          <w:caps w:val="0"/>
          <w:color w:val="333333"/>
          <w:spacing w:val="0"/>
          <w:kern w:val="0"/>
          <w:sz w:val="32"/>
          <w:szCs w:val="32"/>
          <w:bdr w:val="none" w:color="auto" w:sz="0" w:space="0"/>
          <w:shd w:val="clear" w:fill="FFFFFF"/>
          <w:lang w:val="en-US" w:eastAsia="zh-CN" w:bidi="ar"/>
        </w:rPr>
        <w:t>（八）提升新一代信息技术产品质量</w:t>
      </w:r>
      <w:r>
        <w:rPr>
          <w:rFonts w:hint="default" w:ascii="楷体_GB2312" w:hAnsi="Calibri" w:eastAsia="楷体_GB2312" w:cs="楷体_GB2312"/>
          <w:i w:val="0"/>
          <w:caps w:val="0"/>
          <w:color w:val="000000"/>
          <w:spacing w:val="0"/>
          <w:kern w:val="0"/>
          <w:sz w:val="32"/>
          <w:szCs w:val="32"/>
          <w:bdr w:val="none" w:color="auto" w:sz="0" w:space="0"/>
          <w:shd w:val="clear" w:fill="FFFFFF"/>
          <w:lang w:val="en-US" w:eastAsia="zh-CN" w:bidi="ar"/>
        </w:rPr>
        <w:t>。</w:t>
      </w:r>
      <w:r>
        <w:rPr>
          <w:rFonts w:hint="default" w:ascii="仿宋_GB2312" w:hAnsi="Calibri" w:eastAsia="仿宋_GB2312" w:cs="仿宋_GB2312"/>
          <w:i w:val="0"/>
          <w:caps w:val="0"/>
          <w:color w:val="333333"/>
          <w:spacing w:val="0"/>
          <w:kern w:val="0"/>
          <w:sz w:val="32"/>
          <w:szCs w:val="32"/>
          <w:bdr w:val="none" w:color="auto" w:sz="0" w:space="0"/>
          <w:shd w:val="clear" w:fill="FFFFFF"/>
          <w:lang w:val="en-US" w:eastAsia="zh-CN" w:bidi="ar"/>
        </w:rPr>
        <w:t>提高移动通信终端、可穿戴设备、超高清视频终端等数字产品智能化水平和消费体验。建立实施数据安全管理认证制度，提升企业数据安全和个人信息保护能力。提高</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5G</w:t>
      </w:r>
      <w:r>
        <w:rPr>
          <w:rFonts w:hint="default" w:ascii="仿宋_GB2312" w:hAnsi="Calibri" w:eastAsia="仿宋_GB2312" w:cs="仿宋_GB2312"/>
          <w:i w:val="0"/>
          <w:caps w:val="0"/>
          <w:color w:val="333333"/>
          <w:spacing w:val="0"/>
          <w:kern w:val="0"/>
          <w:sz w:val="32"/>
          <w:szCs w:val="32"/>
          <w:bdr w:val="none" w:color="auto" w:sz="0" w:space="0"/>
          <w:shd w:val="clear" w:fill="FFFFFF"/>
          <w:lang w:val="en-US" w:eastAsia="zh-CN" w:bidi="ar"/>
        </w:rPr>
        <w:t>网络、数据中心、物联网等新型基础设施建设质量要求，强化</w:t>
      </w:r>
      <w:r>
        <w:rPr>
          <w:rFonts w:hint="default" w:ascii="Times New Roman" w:hAnsi="Times New Roman" w:cs="Times New Roman" w:eastAsiaTheme="minorEastAsia"/>
          <w:i w:val="0"/>
          <w:caps w:val="0"/>
          <w:color w:val="333333"/>
          <w:spacing w:val="0"/>
          <w:kern w:val="0"/>
          <w:sz w:val="32"/>
          <w:szCs w:val="32"/>
          <w:bdr w:val="none" w:color="auto" w:sz="0" w:space="0"/>
          <w:shd w:val="clear" w:fill="FFFFFF"/>
          <w:lang w:val="en-US" w:eastAsia="zh-CN" w:bidi="ar"/>
        </w:rPr>
        <w:t>IPv6</w:t>
      </w:r>
      <w:r>
        <w:rPr>
          <w:rFonts w:hint="default" w:ascii="仿宋_GB2312" w:hAnsi="Calibri" w:eastAsia="仿宋_GB2312" w:cs="仿宋_GB2312"/>
          <w:i w:val="0"/>
          <w:caps w:val="0"/>
          <w:color w:val="333333"/>
          <w:spacing w:val="0"/>
          <w:kern w:val="0"/>
          <w:sz w:val="32"/>
          <w:szCs w:val="32"/>
          <w:bdr w:val="none" w:color="auto" w:sz="0" w:space="0"/>
          <w:shd w:val="clear" w:fill="FFFFFF"/>
          <w:lang w:val="en-US" w:eastAsia="zh-CN" w:bidi="ar"/>
        </w:rPr>
        <w:t>在物联网产品和系统的部署应用。构建云基准测评体系和云服务能力评估体系，提升云计算产品质量和服务能力。</w:t>
      </w:r>
      <w:r>
        <w:rPr>
          <w:rFonts w:hint="default" w:ascii="楷体_GB2312" w:hAnsi="Calibri" w:eastAsia="楷体_GB2312" w:cs="楷体_GB2312"/>
          <w:i w:val="0"/>
          <w:caps w:val="0"/>
          <w:color w:val="333333"/>
          <w:spacing w:val="0"/>
          <w:kern w:val="0"/>
          <w:sz w:val="32"/>
          <w:szCs w:val="32"/>
          <w:bdr w:val="none" w:color="auto" w:sz="0" w:space="0"/>
          <w:shd w:val="clear" w:fill="FFFFFF"/>
          <w:lang w:val="en-US" w:eastAsia="zh-CN" w:bidi="ar"/>
        </w:rPr>
        <w:t>（中央网信办、工业和信息化部、市场监管总局等</w:t>
      </w:r>
      <w:r>
        <w:rPr>
          <w:rFonts w:hint="default" w:ascii="楷体_GB2312" w:hAnsi="Calibri" w:eastAsia="楷体_GB2312" w:cs="楷体_GB2312"/>
          <w:i w:val="0"/>
          <w:caps w:val="0"/>
          <w:color w:val="000000"/>
          <w:spacing w:val="0"/>
          <w:kern w:val="0"/>
          <w:sz w:val="32"/>
          <w:szCs w:val="32"/>
          <w:bdr w:val="none" w:color="auto" w:sz="0" w:space="0"/>
          <w:shd w:val="clear" w:fill="FFFFFF"/>
          <w:lang w:val="en-US" w:eastAsia="zh-CN" w:bidi="ar"/>
        </w:rPr>
        <w:t>按职责分工负责</w:t>
      </w:r>
      <w:r>
        <w:rPr>
          <w:rFonts w:hint="default" w:ascii="楷体_GB2312" w:hAnsi="Calibri" w:eastAsia="楷体_GB2312" w:cs="楷体_GB2312"/>
          <w:i w:val="0"/>
          <w:caps w:val="0"/>
          <w:color w:val="333333"/>
          <w:spacing w:val="0"/>
          <w:kern w:val="0"/>
          <w:sz w:val="32"/>
          <w:szCs w:val="32"/>
          <w:bdr w:val="none" w:color="auto" w:sz="0" w:space="0"/>
          <w:shd w:val="clear" w:fill="FFFFFF"/>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28"/>
        <w:jc w:val="both"/>
        <w:rPr>
          <w:rFonts w:hint="eastAsia" w:ascii="宋体" w:hAnsi="宋体" w:eastAsia="宋体" w:cs="宋体"/>
          <w:i w:val="0"/>
          <w:caps w:val="0"/>
          <w:color w:val="333333"/>
          <w:spacing w:val="0"/>
          <w:sz w:val="14"/>
          <w:szCs w:val="14"/>
        </w:rPr>
      </w:pPr>
      <w:r>
        <w:rPr>
          <w:rFonts w:hint="default" w:ascii="楷体_GB2312" w:hAnsi="宋体" w:eastAsia="楷体_GB2312" w:cs="楷体_GB2312"/>
          <w:b w:val="0"/>
          <w:i w:val="0"/>
          <w:caps w:val="0"/>
          <w:color w:val="333333"/>
          <w:spacing w:val="0"/>
          <w:sz w:val="32"/>
          <w:szCs w:val="32"/>
          <w:bdr w:val="none" w:color="auto" w:sz="0" w:space="0"/>
          <w:shd w:val="clear" w:fill="FFFFFF"/>
        </w:rPr>
        <w:t>（九）推动新技术与产业深度融合</w:t>
      </w:r>
      <w:r>
        <w:rPr>
          <w:rFonts w:hint="default" w:ascii="楷体_GB2312" w:hAnsi="宋体" w:eastAsia="楷体_GB2312" w:cs="楷体_GB2312"/>
          <w:i w:val="0"/>
          <w:caps w:val="0"/>
          <w:color w:val="000000"/>
          <w:spacing w:val="0"/>
          <w:sz w:val="32"/>
          <w:szCs w:val="32"/>
          <w:bdr w:val="none" w:color="auto" w:sz="0" w:space="0"/>
          <w:shd w:val="clear" w:fill="FFFFFF"/>
        </w:rPr>
        <w:t>。</w:t>
      </w:r>
      <w:r>
        <w:rPr>
          <w:rFonts w:hint="default" w:ascii="仿宋_GB2312" w:hAnsi="宋体" w:eastAsia="仿宋_GB2312" w:cs="仿宋_GB2312"/>
          <w:i w:val="0"/>
          <w:caps w:val="0"/>
          <w:color w:val="333333"/>
          <w:spacing w:val="0"/>
          <w:sz w:val="32"/>
          <w:szCs w:val="32"/>
          <w:bdr w:val="none" w:color="auto" w:sz="0" w:space="0"/>
          <w:shd w:val="clear" w:fill="FFFFFF"/>
        </w:rPr>
        <w:t>推动</w:t>
      </w:r>
      <w:r>
        <w:rPr>
          <w:rFonts w:hint="default" w:ascii="仿宋_GB2312" w:hAnsi="Times New Roman" w:eastAsia="仿宋_GB2312" w:cs="仿宋_GB2312"/>
          <w:i w:val="0"/>
          <w:caps w:val="0"/>
          <w:color w:val="333333"/>
          <w:spacing w:val="0"/>
          <w:sz w:val="32"/>
          <w:szCs w:val="32"/>
          <w:bdr w:val="none" w:color="auto" w:sz="0" w:space="0"/>
          <w:shd w:val="clear" w:fill="FFFFFF"/>
        </w:rPr>
        <w:t>利用人工智能、大数据、</w:t>
      </w:r>
      <w:r>
        <w:rPr>
          <w:rFonts w:hint="default" w:ascii="仿宋_GB2312" w:hAnsi="宋体" w:eastAsia="仿宋_GB2312" w:cs="仿宋_GB2312"/>
          <w:i w:val="0"/>
          <w:caps w:val="0"/>
          <w:color w:val="333333"/>
          <w:spacing w:val="0"/>
          <w:sz w:val="32"/>
          <w:szCs w:val="32"/>
          <w:bdr w:val="none" w:color="auto" w:sz="0" w:space="0"/>
          <w:shd w:val="clear" w:fill="FFFFFF"/>
        </w:rPr>
        <w:t>区块链、云计算、</w:t>
      </w:r>
      <w:r>
        <w:rPr>
          <w:rFonts w:hint="default" w:ascii="Times New Roman" w:hAnsi="Times New Roman" w:eastAsia="仿宋_GB2312" w:cs="Times New Roman"/>
          <w:i w:val="0"/>
          <w:caps w:val="0"/>
          <w:color w:val="333333"/>
          <w:spacing w:val="0"/>
          <w:sz w:val="32"/>
          <w:szCs w:val="32"/>
          <w:bdr w:val="none" w:color="auto" w:sz="0" w:space="0"/>
          <w:shd w:val="clear" w:fill="FFFFFF"/>
        </w:rPr>
        <w:t>5G</w:t>
      </w:r>
      <w:r>
        <w:rPr>
          <w:rFonts w:hint="default" w:ascii="仿宋_GB2312" w:hAnsi="宋体" w:eastAsia="仿宋_GB2312" w:cs="仿宋_GB2312"/>
          <w:i w:val="0"/>
          <w:caps w:val="0"/>
          <w:color w:val="333333"/>
          <w:spacing w:val="0"/>
          <w:sz w:val="32"/>
          <w:szCs w:val="32"/>
          <w:bdr w:val="none" w:color="auto" w:sz="0" w:space="0"/>
          <w:shd w:val="clear" w:fill="FFFFFF"/>
        </w:rPr>
        <w:t>等技术</w:t>
      </w:r>
      <w:r>
        <w:rPr>
          <w:rFonts w:hint="default" w:ascii="仿宋_GB2312" w:hAnsi="Times New Roman" w:eastAsia="仿宋_GB2312" w:cs="仿宋_GB2312"/>
          <w:i w:val="0"/>
          <w:caps w:val="0"/>
          <w:color w:val="333333"/>
          <w:spacing w:val="0"/>
          <w:sz w:val="32"/>
          <w:szCs w:val="32"/>
          <w:bdr w:val="none" w:color="auto" w:sz="0" w:space="0"/>
          <w:shd w:val="clear" w:fill="FFFFFF"/>
        </w:rPr>
        <w:t>对</w:t>
      </w:r>
      <w:r>
        <w:rPr>
          <w:rFonts w:hint="default" w:ascii="仿宋_GB2312" w:hAnsi="宋体" w:eastAsia="仿宋_GB2312" w:cs="仿宋_GB2312"/>
          <w:i w:val="0"/>
          <w:caps w:val="0"/>
          <w:color w:val="333333"/>
          <w:spacing w:val="0"/>
          <w:sz w:val="32"/>
          <w:szCs w:val="32"/>
          <w:bdr w:val="none" w:color="auto" w:sz="0" w:space="0"/>
          <w:shd w:val="clear" w:fill="FFFFFF"/>
        </w:rPr>
        <w:t>传统</w:t>
      </w:r>
      <w:r>
        <w:rPr>
          <w:rFonts w:hint="default" w:ascii="仿宋_GB2312" w:hAnsi="Times New Roman" w:eastAsia="仿宋_GB2312" w:cs="仿宋_GB2312"/>
          <w:i w:val="0"/>
          <w:caps w:val="0"/>
          <w:color w:val="333333"/>
          <w:spacing w:val="0"/>
          <w:sz w:val="32"/>
          <w:szCs w:val="32"/>
          <w:bdr w:val="none" w:color="auto" w:sz="0" w:space="0"/>
          <w:shd w:val="clear" w:fill="FFFFFF"/>
        </w:rPr>
        <w:t>产业进行全链条改造</w:t>
      </w:r>
      <w:r>
        <w:rPr>
          <w:rFonts w:hint="default" w:ascii="仿宋_GB2312" w:hAnsi="宋体" w:eastAsia="仿宋_GB2312" w:cs="仿宋_GB2312"/>
          <w:i w:val="0"/>
          <w:caps w:val="0"/>
          <w:color w:val="333333"/>
          <w:spacing w:val="0"/>
          <w:sz w:val="32"/>
          <w:szCs w:val="32"/>
          <w:bdr w:val="none" w:color="auto" w:sz="0" w:space="0"/>
          <w:shd w:val="clear" w:fill="FFFFFF"/>
        </w:rPr>
        <w:t>，</w:t>
      </w:r>
      <w:r>
        <w:rPr>
          <w:rFonts w:hint="default" w:ascii="仿宋_GB2312" w:hAnsi="Times New Roman" w:eastAsia="仿宋_GB2312" w:cs="仿宋_GB2312"/>
          <w:i w:val="0"/>
          <w:caps w:val="0"/>
          <w:color w:val="333333"/>
          <w:spacing w:val="0"/>
          <w:sz w:val="32"/>
          <w:szCs w:val="32"/>
          <w:bdr w:val="none" w:color="auto" w:sz="0" w:space="0"/>
          <w:shd w:val="clear" w:fill="FFFFFF"/>
        </w:rPr>
        <w:t>鼓励企业</w:t>
      </w:r>
      <w:r>
        <w:rPr>
          <w:rFonts w:hint="default" w:ascii="仿宋_GB2312" w:hAnsi="宋体" w:eastAsia="仿宋_GB2312" w:cs="仿宋_GB2312"/>
          <w:i w:val="0"/>
          <w:caps w:val="0"/>
          <w:color w:val="333333"/>
          <w:spacing w:val="0"/>
          <w:sz w:val="32"/>
          <w:szCs w:val="32"/>
          <w:bdr w:val="none" w:color="auto" w:sz="0" w:space="0"/>
          <w:shd w:val="clear" w:fill="FFFFFF"/>
        </w:rPr>
        <w:t>发展</w:t>
      </w:r>
      <w:r>
        <w:rPr>
          <w:rFonts w:hint="default" w:ascii="仿宋_GB2312" w:hAnsi="Times New Roman" w:eastAsia="仿宋_GB2312" w:cs="仿宋_GB2312"/>
          <w:i w:val="0"/>
          <w:caps w:val="0"/>
          <w:color w:val="333333"/>
          <w:spacing w:val="0"/>
          <w:sz w:val="32"/>
          <w:szCs w:val="32"/>
          <w:bdr w:val="none" w:color="auto" w:sz="0" w:space="0"/>
          <w:shd w:val="clear" w:fill="FFFFFF"/>
        </w:rPr>
        <w:t>个性化定制、网络化协同、共享化生产等新模式。实施新产业标准化领航工程，围绕</w:t>
      </w:r>
      <w:r>
        <w:rPr>
          <w:rFonts w:hint="default" w:ascii="仿宋_GB2312" w:hAnsi="宋体" w:eastAsia="仿宋_GB2312" w:cs="仿宋_GB2312"/>
          <w:i w:val="0"/>
          <w:caps w:val="0"/>
          <w:color w:val="333333"/>
          <w:spacing w:val="0"/>
          <w:sz w:val="32"/>
          <w:szCs w:val="32"/>
          <w:bdr w:val="none" w:color="auto" w:sz="0" w:space="0"/>
          <w:shd w:val="clear" w:fill="FFFFFF"/>
        </w:rPr>
        <w:t>新材料、生物技术、医疗器械、数字技术等</w:t>
      </w:r>
      <w:r>
        <w:rPr>
          <w:rFonts w:hint="default" w:ascii="仿宋_GB2312" w:hAnsi="Times New Roman" w:eastAsia="仿宋_GB2312" w:cs="仿宋_GB2312"/>
          <w:i w:val="0"/>
          <w:caps w:val="0"/>
          <w:color w:val="333333"/>
          <w:spacing w:val="0"/>
          <w:sz w:val="32"/>
          <w:szCs w:val="32"/>
          <w:bdr w:val="none" w:color="auto" w:sz="0" w:space="0"/>
          <w:shd w:val="clear" w:fill="FFFFFF"/>
        </w:rPr>
        <w:t>前沿</w:t>
      </w:r>
      <w:r>
        <w:rPr>
          <w:rFonts w:hint="default" w:ascii="仿宋_GB2312" w:hAnsi="宋体" w:eastAsia="仿宋_GB2312" w:cs="仿宋_GB2312"/>
          <w:i w:val="0"/>
          <w:caps w:val="0"/>
          <w:color w:val="333333"/>
          <w:spacing w:val="0"/>
          <w:sz w:val="32"/>
          <w:szCs w:val="32"/>
          <w:bdr w:val="none" w:color="auto" w:sz="0" w:space="0"/>
          <w:shd w:val="clear" w:fill="FFFFFF"/>
        </w:rPr>
        <w:t>领域</w:t>
      </w:r>
      <w:r>
        <w:rPr>
          <w:rFonts w:hint="default" w:ascii="仿宋_GB2312" w:hAnsi="Times New Roman" w:eastAsia="仿宋_GB2312" w:cs="仿宋_GB2312"/>
          <w:i w:val="0"/>
          <w:caps w:val="0"/>
          <w:color w:val="333333"/>
          <w:spacing w:val="0"/>
          <w:sz w:val="32"/>
          <w:szCs w:val="32"/>
          <w:bdr w:val="none" w:color="auto" w:sz="0" w:space="0"/>
          <w:shd w:val="clear" w:fill="FFFFFF"/>
        </w:rPr>
        <w:t>开展标准研究和验证。</w:t>
      </w:r>
      <w:r>
        <w:rPr>
          <w:rFonts w:hint="default" w:ascii="仿宋_GB2312" w:hAnsi="宋体" w:eastAsia="仿宋_GB2312" w:cs="仿宋_GB2312"/>
          <w:i w:val="0"/>
          <w:caps w:val="0"/>
          <w:color w:val="333333"/>
          <w:spacing w:val="0"/>
          <w:sz w:val="32"/>
          <w:szCs w:val="32"/>
          <w:bdr w:val="none" w:color="auto" w:sz="0" w:space="0"/>
          <w:shd w:val="clear" w:fill="FFFFFF"/>
        </w:rPr>
        <w:t>加强</w:t>
      </w:r>
      <w:r>
        <w:rPr>
          <w:rFonts w:hint="default" w:ascii="仿宋_GB2312" w:hAnsi="Times New Roman" w:eastAsia="仿宋_GB2312" w:cs="仿宋_GB2312"/>
          <w:i w:val="0"/>
          <w:caps w:val="0"/>
          <w:color w:val="333333"/>
          <w:spacing w:val="0"/>
          <w:sz w:val="32"/>
          <w:szCs w:val="32"/>
          <w:bdr w:val="none" w:color="auto" w:sz="0" w:space="0"/>
          <w:shd w:val="clear" w:fill="FFFFFF"/>
        </w:rPr>
        <w:t>系统融合、时间同步、仿真计量测试技术研究，提升智能网联汽车的环境感知、决策和安全性能。</w:t>
      </w:r>
      <w:r>
        <w:rPr>
          <w:rFonts w:hint="default" w:ascii="楷体_GB2312" w:hAnsi="宋体" w:eastAsia="楷体_GB2312" w:cs="楷体_GB2312"/>
          <w:i w:val="0"/>
          <w:caps w:val="0"/>
          <w:color w:val="333333"/>
          <w:spacing w:val="0"/>
          <w:sz w:val="32"/>
          <w:szCs w:val="32"/>
          <w:bdr w:val="none" w:color="auto" w:sz="0" w:space="0"/>
          <w:shd w:val="clear" w:fill="FFFFFF"/>
        </w:rPr>
        <w:t>（国家发展改革委、工业和信息化部、中央网信办、市场监管总局等</w:t>
      </w:r>
      <w:r>
        <w:rPr>
          <w:rFonts w:hint="default" w:ascii="楷体_GB2312" w:hAnsi="宋体" w:eastAsia="楷体_GB2312" w:cs="楷体_GB2312"/>
          <w:i w:val="0"/>
          <w:caps w:val="0"/>
          <w:color w:val="000000"/>
          <w:spacing w:val="0"/>
          <w:sz w:val="32"/>
          <w:szCs w:val="32"/>
          <w:bdr w:val="none" w:color="auto" w:sz="0" w:space="0"/>
          <w:shd w:val="clear" w:fill="FFFFFF"/>
        </w:rPr>
        <w:t>按职责分工负责</w:t>
      </w:r>
      <w:r>
        <w:rPr>
          <w:rFonts w:hint="default" w:ascii="楷体_GB2312" w:hAnsi="宋体" w:eastAsia="楷体_GB2312" w:cs="楷体_GB2312"/>
          <w:i w:val="0"/>
          <w:caps w:val="0"/>
          <w:color w:val="333333"/>
          <w:spacing w:val="0"/>
          <w:sz w:val="32"/>
          <w:szCs w:val="32"/>
          <w:bdr w:val="none" w:color="auto" w:sz="0" w:space="0"/>
          <w:shd w:val="clear" w:fill="FFFFFF"/>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28"/>
        <w:jc w:val="both"/>
        <w:rPr>
          <w:rFonts w:hint="default" w:ascii="Calibri" w:hAnsi="Calibri" w:cs="Calibri"/>
          <w:i w:val="0"/>
          <w:caps w:val="0"/>
          <w:color w:val="333333"/>
          <w:spacing w:val="0"/>
          <w:sz w:val="14"/>
          <w:szCs w:val="14"/>
        </w:rPr>
      </w:pPr>
      <w:r>
        <w:rPr>
          <w:rFonts w:hint="default" w:ascii="楷体_GB2312" w:hAnsi="Calibri" w:eastAsia="楷体_GB2312" w:cs="楷体_GB2312"/>
          <w:b w:val="0"/>
          <w:i w:val="0"/>
          <w:caps w:val="0"/>
          <w:color w:val="333333"/>
          <w:spacing w:val="0"/>
          <w:kern w:val="0"/>
          <w:sz w:val="32"/>
          <w:szCs w:val="32"/>
          <w:bdr w:val="none" w:color="auto" w:sz="0" w:space="0"/>
          <w:shd w:val="clear" w:fill="FFFFFF"/>
          <w:lang w:val="en-US" w:eastAsia="zh-CN" w:bidi="ar"/>
        </w:rPr>
        <w:t>（十）促进平台企业提供优质产品和服务</w:t>
      </w:r>
      <w:r>
        <w:rPr>
          <w:rFonts w:hint="default" w:ascii="楷体_GB2312" w:hAnsi="Calibri" w:eastAsia="楷体_GB2312" w:cs="楷体_GB2312"/>
          <w:i w:val="0"/>
          <w:caps w:val="0"/>
          <w:color w:val="000000"/>
          <w:spacing w:val="0"/>
          <w:kern w:val="0"/>
          <w:sz w:val="32"/>
          <w:szCs w:val="32"/>
          <w:bdr w:val="none" w:color="auto" w:sz="0" w:space="0"/>
          <w:shd w:val="clear" w:fill="FFFFFF"/>
          <w:lang w:val="en-US" w:eastAsia="zh-CN" w:bidi="ar"/>
        </w:rPr>
        <w:t>。</w:t>
      </w:r>
      <w:r>
        <w:rPr>
          <w:rFonts w:hint="default" w:ascii="仿宋_GB2312" w:hAnsi="Calibri" w:eastAsia="仿宋_GB2312" w:cs="仿宋_GB2312"/>
          <w:i w:val="0"/>
          <w:caps w:val="0"/>
          <w:color w:val="000000"/>
          <w:spacing w:val="0"/>
          <w:kern w:val="0"/>
          <w:sz w:val="32"/>
          <w:szCs w:val="32"/>
          <w:bdr w:val="none" w:color="auto" w:sz="0" w:space="0"/>
          <w:shd w:val="clear" w:fill="FFFFFF"/>
          <w:lang w:val="en-US" w:eastAsia="zh-CN" w:bidi="ar"/>
        </w:rPr>
        <w:t>支持企业构建形式多样的线上消费场景,探索人机互动新模式,提升网络消费体验。</w:t>
      </w:r>
      <w:r>
        <w:rPr>
          <w:rFonts w:hint="default" w:ascii="仿宋_GB2312" w:hAnsi="Calibri" w:eastAsia="仿宋_GB2312" w:cs="仿宋_GB2312"/>
          <w:i w:val="0"/>
          <w:caps w:val="0"/>
          <w:color w:val="333333"/>
          <w:spacing w:val="0"/>
          <w:kern w:val="0"/>
          <w:sz w:val="32"/>
          <w:szCs w:val="32"/>
          <w:bdr w:val="none" w:color="auto" w:sz="0" w:space="0"/>
          <w:shd w:val="clear" w:fill="FFFFFF"/>
          <w:lang w:val="en-US" w:eastAsia="zh-CN" w:bidi="ar"/>
        </w:rPr>
        <w:t>督促平台企业</w:t>
      </w:r>
      <w:r>
        <w:rPr>
          <w:rFonts w:hint="default" w:ascii="仿宋_GB2312" w:hAnsi="Calibri" w:eastAsia="仿宋_GB2312" w:cs="仿宋_GB2312"/>
          <w:i w:val="0"/>
          <w:caps w:val="0"/>
          <w:color w:val="000000"/>
          <w:spacing w:val="0"/>
          <w:kern w:val="0"/>
          <w:sz w:val="32"/>
          <w:szCs w:val="32"/>
          <w:bdr w:val="none" w:color="auto" w:sz="0" w:space="0"/>
          <w:shd w:val="clear" w:fill="FFFFFF"/>
          <w:lang w:val="en-US" w:eastAsia="zh-CN" w:bidi="ar"/>
        </w:rPr>
        <w:t>强化平台销售和直播带货产品的质量管控和追溯，</w:t>
      </w:r>
      <w:r>
        <w:rPr>
          <w:rFonts w:hint="default" w:ascii="仿宋_GB2312" w:hAnsi="Calibri" w:eastAsia="仿宋_GB2312" w:cs="仿宋_GB2312"/>
          <w:i w:val="0"/>
          <w:caps w:val="0"/>
          <w:color w:val="333333"/>
          <w:spacing w:val="0"/>
          <w:kern w:val="0"/>
          <w:sz w:val="32"/>
          <w:szCs w:val="32"/>
          <w:bdr w:val="none" w:color="auto" w:sz="0" w:space="0"/>
          <w:shd w:val="clear" w:fill="FFFFFF"/>
          <w:lang w:val="en-US" w:eastAsia="zh-CN" w:bidi="ar"/>
        </w:rPr>
        <w:t>依法承担商品和服务质量保证、食品安全保障等责任</w:t>
      </w:r>
      <w:r>
        <w:rPr>
          <w:rFonts w:hint="default" w:ascii="仿宋_GB2312" w:hAnsi="Calibri" w:eastAsia="仿宋_GB2312" w:cs="仿宋_GB2312"/>
          <w:i w:val="0"/>
          <w:caps w:val="0"/>
          <w:color w:val="000000"/>
          <w:spacing w:val="0"/>
          <w:kern w:val="0"/>
          <w:sz w:val="32"/>
          <w:szCs w:val="32"/>
          <w:bdr w:val="none" w:color="auto" w:sz="0" w:space="0"/>
          <w:shd w:val="clear" w:fill="FFFFFF"/>
          <w:lang w:val="en-US" w:eastAsia="zh-CN" w:bidi="ar"/>
        </w:rPr>
        <w:t>，切实维护用户个人信息权益及隐私权</w:t>
      </w:r>
      <w:r>
        <w:rPr>
          <w:rFonts w:hint="default" w:ascii="仿宋_GB2312" w:hAnsi="Calibri" w:eastAsia="仿宋_GB2312" w:cs="仿宋_GB2312"/>
          <w:i w:val="0"/>
          <w:caps w:val="0"/>
          <w:color w:val="333333"/>
          <w:spacing w:val="0"/>
          <w:kern w:val="0"/>
          <w:sz w:val="32"/>
          <w:szCs w:val="32"/>
          <w:bdr w:val="none" w:color="auto" w:sz="0" w:space="0"/>
          <w:shd w:val="clear" w:fill="FFFFFF"/>
          <w:lang w:val="en-US" w:eastAsia="zh-CN" w:bidi="ar"/>
        </w:rPr>
        <w:t>。</w:t>
      </w:r>
      <w:r>
        <w:rPr>
          <w:rFonts w:hint="default" w:ascii="仿宋_GB2312" w:hAnsi="Calibri" w:eastAsia="仿宋_GB2312" w:cs="仿宋_GB2312"/>
          <w:i w:val="0"/>
          <w:caps w:val="0"/>
          <w:color w:val="000000"/>
          <w:spacing w:val="0"/>
          <w:kern w:val="0"/>
          <w:sz w:val="32"/>
          <w:szCs w:val="32"/>
          <w:bdr w:val="none" w:color="auto" w:sz="0" w:space="0"/>
          <w:shd w:val="clear" w:fill="FFFFFF"/>
          <w:lang w:val="en-US" w:eastAsia="zh-CN" w:bidi="ar"/>
        </w:rPr>
        <w:t>深入推进农产品出村进城和“数商兴农”。推动出行服务领域平台企业持续改善用户体验。深入开展国家电子商务示范基地和示范企业创建。</w:t>
      </w:r>
      <w:r>
        <w:rPr>
          <w:rFonts w:hint="default" w:ascii="楷体_GB2312" w:hAnsi="Calibri" w:eastAsia="楷体_GB2312" w:cs="楷体_GB2312"/>
          <w:i w:val="0"/>
          <w:caps w:val="0"/>
          <w:color w:val="000000"/>
          <w:spacing w:val="0"/>
          <w:kern w:val="0"/>
          <w:sz w:val="32"/>
          <w:szCs w:val="32"/>
          <w:bdr w:val="none" w:color="auto" w:sz="0" w:space="0"/>
          <w:shd w:val="clear" w:fill="FFFFFF"/>
          <w:lang w:val="en-US" w:eastAsia="zh-CN" w:bidi="ar"/>
        </w:rPr>
        <w:t>（商务部、中央网信办、市场监管总局、工业和信息化部、交通运输部等按职责分工负责）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27"/>
        <w:jc w:val="both"/>
        <w:rPr>
          <w:rFonts w:hint="eastAsia" w:ascii="宋体" w:hAnsi="宋体" w:eastAsia="宋体" w:cs="宋体"/>
          <w:i w:val="0"/>
          <w:caps w:val="0"/>
          <w:color w:val="333333"/>
          <w:spacing w:val="0"/>
          <w:sz w:val="14"/>
          <w:szCs w:val="14"/>
        </w:rPr>
      </w:pPr>
      <w:r>
        <w:rPr>
          <w:rFonts w:hint="eastAsia" w:ascii="黑体" w:hAnsi="宋体" w:eastAsia="黑体" w:cs="黑体"/>
          <w:i w:val="0"/>
          <w:caps w:val="0"/>
          <w:color w:val="333333"/>
          <w:spacing w:val="0"/>
          <w:sz w:val="32"/>
          <w:szCs w:val="32"/>
          <w:bdr w:val="none" w:color="auto" w:sz="0" w:space="0"/>
          <w:shd w:val="clear" w:fill="FFFFFF"/>
        </w:rPr>
        <w:t>五、促进服务品质大幅提升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27"/>
        <w:jc w:val="both"/>
        <w:rPr>
          <w:rFonts w:hint="eastAsia" w:ascii="宋体" w:hAnsi="宋体" w:eastAsia="宋体" w:cs="宋体"/>
          <w:i w:val="0"/>
          <w:caps w:val="0"/>
          <w:color w:val="333333"/>
          <w:spacing w:val="0"/>
          <w:sz w:val="14"/>
          <w:szCs w:val="14"/>
        </w:rPr>
      </w:pPr>
      <w:r>
        <w:rPr>
          <w:rFonts w:hint="default" w:ascii="楷体_GB2312" w:hAnsi="宋体" w:eastAsia="楷体_GB2312" w:cs="楷体_GB2312"/>
          <w:b w:val="0"/>
          <w:i w:val="0"/>
          <w:caps w:val="0"/>
          <w:color w:val="333333"/>
          <w:spacing w:val="0"/>
          <w:sz w:val="32"/>
          <w:szCs w:val="32"/>
          <w:bdr w:val="none" w:color="auto" w:sz="0" w:space="0"/>
          <w:shd w:val="clear" w:fill="FFFFFF"/>
        </w:rPr>
        <w:t>（十一）引导居民生活服务高品质发展</w:t>
      </w:r>
      <w:r>
        <w:rPr>
          <w:rFonts w:hint="default" w:ascii="仿宋_GB2312" w:hAnsi="宋体" w:eastAsia="仿宋_GB2312" w:cs="仿宋_GB2312"/>
          <w:i w:val="0"/>
          <w:caps w:val="0"/>
          <w:color w:val="000000"/>
          <w:spacing w:val="0"/>
          <w:sz w:val="32"/>
          <w:szCs w:val="32"/>
          <w:bdr w:val="none" w:color="auto" w:sz="0" w:space="0"/>
          <w:shd w:val="clear" w:fill="FFFFFF"/>
        </w:rPr>
        <w:t>。结合城市更新行动，推进完整社区、活力街区建设。加强家政服务规范化、职业化建设，完善母婴护理、家政培训标准，推动发展员工制家政企业，大力推进家政进社区，实施“家政兴农”行动。提升物业服务质量，健全物业服务标准体系，推广电梯“全包维保”、“物联网</w:t>
      </w:r>
      <w:r>
        <w:rPr>
          <w:rFonts w:hint="default" w:ascii="Times New Roman" w:hAnsi="Times New Roman" w:eastAsia="宋体" w:cs="Times New Roman"/>
          <w:i w:val="0"/>
          <w:caps w:val="0"/>
          <w:color w:val="000000"/>
          <w:spacing w:val="0"/>
          <w:sz w:val="32"/>
          <w:szCs w:val="32"/>
          <w:bdr w:val="none" w:color="auto" w:sz="0" w:space="0"/>
          <w:shd w:val="clear" w:fill="FFFFFF"/>
        </w:rPr>
        <w:t>+</w:t>
      </w:r>
      <w:r>
        <w:rPr>
          <w:rFonts w:hint="default" w:ascii="仿宋_GB2312" w:hAnsi="宋体" w:eastAsia="仿宋_GB2312" w:cs="仿宋_GB2312"/>
          <w:i w:val="0"/>
          <w:caps w:val="0"/>
          <w:color w:val="000000"/>
          <w:spacing w:val="0"/>
          <w:sz w:val="32"/>
          <w:szCs w:val="32"/>
          <w:bdr w:val="none" w:color="auto" w:sz="0" w:space="0"/>
          <w:shd w:val="clear" w:fill="FFFFFF"/>
        </w:rPr>
        <w:t>维保”。规范家居服务市场，提升家装服务标准化水平。持续推进快递绿色包装标准体系建设。提升快递“最后一公里”投递服务能力。提振餐饮消费，坚决制止餐饮浪费，鼓励餐饮企业丰富提升菜品、提高服务水平、创新经营模式。发展多样化、优质化旅游产品和服务，大力整治“不合理低价游”，持续完善旅游服务质量评价体系。</w:t>
      </w:r>
      <w:r>
        <w:rPr>
          <w:rFonts w:hint="default" w:ascii="楷体_GB2312" w:hAnsi="宋体" w:eastAsia="楷体_GB2312" w:cs="楷体_GB2312"/>
          <w:i w:val="0"/>
          <w:caps w:val="0"/>
          <w:color w:val="000000"/>
          <w:spacing w:val="0"/>
          <w:sz w:val="32"/>
          <w:szCs w:val="32"/>
          <w:bdr w:val="none" w:color="auto" w:sz="0" w:space="0"/>
          <w:shd w:val="clear" w:fill="FFFFFF"/>
        </w:rPr>
        <w:t>（住房城乡建设部、国家发展改革委、商务部、国家卫生健康委、市场监管总局、国家邮政局、文化和旅游部</w:t>
      </w:r>
      <w:r>
        <w:rPr>
          <w:rFonts w:hint="default" w:ascii="楷体_GB2312" w:hAnsi="宋体" w:eastAsia="楷体_GB2312" w:cs="楷体_GB2312"/>
          <w:i w:val="0"/>
          <w:caps w:val="0"/>
          <w:color w:val="333333"/>
          <w:spacing w:val="0"/>
          <w:sz w:val="32"/>
          <w:szCs w:val="32"/>
          <w:bdr w:val="none" w:color="auto" w:sz="0" w:space="0"/>
          <w:shd w:val="clear" w:fill="FFFFFF"/>
        </w:rPr>
        <w:t>等</w:t>
      </w:r>
      <w:r>
        <w:rPr>
          <w:rFonts w:hint="default" w:ascii="楷体_GB2312" w:hAnsi="宋体" w:eastAsia="楷体_GB2312" w:cs="楷体_GB2312"/>
          <w:i w:val="0"/>
          <w:caps w:val="0"/>
          <w:color w:val="000000"/>
          <w:spacing w:val="0"/>
          <w:sz w:val="32"/>
          <w:szCs w:val="32"/>
          <w:bdr w:val="none" w:color="auto" w:sz="0" w:space="0"/>
          <w:shd w:val="clear" w:fill="FFFFFF"/>
        </w:rPr>
        <w:t>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27"/>
        <w:jc w:val="both"/>
        <w:rPr>
          <w:rFonts w:hint="eastAsia" w:ascii="宋体" w:hAnsi="宋体" w:eastAsia="宋体" w:cs="宋体"/>
          <w:i w:val="0"/>
          <w:caps w:val="0"/>
          <w:color w:val="333333"/>
          <w:spacing w:val="0"/>
          <w:sz w:val="14"/>
          <w:szCs w:val="14"/>
        </w:rPr>
      </w:pPr>
      <w:r>
        <w:rPr>
          <w:rFonts w:hint="default" w:ascii="楷体_GB2312" w:hAnsi="宋体" w:eastAsia="楷体_GB2312" w:cs="楷体_GB2312"/>
          <w:b w:val="0"/>
          <w:i w:val="0"/>
          <w:caps w:val="0"/>
          <w:color w:val="333333"/>
          <w:spacing w:val="0"/>
          <w:sz w:val="32"/>
          <w:szCs w:val="32"/>
          <w:bdr w:val="none" w:color="auto" w:sz="0" w:space="0"/>
          <w:shd w:val="clear" w:fill="FFFFFF"/>
        </w:rPr>
        <w:t>（十二）提高生产流通服务专业化融合化水平</w:t>
      </w:r>
      <w:r>
        <w:rPr>
          <w:rFonts w:hint="default" w:ascii="楷体_GB2312" w:hAnsi="宋体" w:eastAsia="楷体_GB2312" w:cs="楷体_GB2312"/>
          <w:i w:val="0"/>
          <w:caps w:val="0"/>
          <w:color w:val="000000"/>
          <w:spacing w:val="0"/>
          <w:sz w:val="32"/>
          <w:szCs w:val="32"/>
          <w:bdr w:val="none" w:color="auto" w:sz="0" w:space="0"/>
          <w:shd w:val="clear" w:fill="FFFFFF"/>
        </w:rPr>
        <w:t>。</w:t>
      </w:r>
      <w:r>
        <w:rPr>
          <w:rFonts w:hint="default" w:ascii="仿宋_GB2312" w:hAnsi="宋体" w:eastAsia="仿宋_GB2312" w:cs="仿宋_GB2312"/>
          <w:i w:val="0"/>
          <w:caps w:val="0"/>
          <w:color w:val="000000"/>
          <w:spacing w:val="0"/>
          <w:sz w:val="32"/>
          <w:szCs w:val="32"/>
          <w:bdr w:val="none" w:color="auto" w:sz="0" w:space="0"/>
          <w:shd w:val="clear" w:fill="FFFFFF"/>
        </w:rPr>
        <w:t>加大涉农金融服务供给，积极支持符合条件的农业企业上市融资。完善绿色金融标准体系。发展绿色直接融资，持续支持绿色债券发行。加强数字技术在普惠金融领域中的依法合规和标准化应用。推动物流网络化一体化发展，加快城市配送绿色货运、冷链物流发展，完善农村物流服务体系，推广标准化、集装化、单元化物流装载器具和包装基础模数。培育一批制造服务业新型产业服务平台或社会组织，鼓励其开展协同研发、资源共享和成果推广应用等活动。提升专利商标审查质量和效率，完善知识产权公共服务体系。</w:t>
      </w:r>
      <w:r>
        <w:rPr>
          <w:rFonts w:hint="default" w:ascii="楷体_GB2312" w:hAnsi="宋体" w:eastAsia="楷体_GB2312" w:cs="楷体_GB2312"/>
          <w:i w:val="0"/>
          <w:caps w:val="0"/>
          <w:color w:val="000000"/>
          <w:spacing w:val="0"/>
          <w:sz w:val="32"/>
          <w:szCs w:val="32"/>
          <w:bdr w:val="none" w:color="auto" w:sz="0" w:space="0"/>
          <w:shd w:val="clear" w:fill="FFFFFF"/>
        </w:rPr>
        <w:t>（人民银行、银保监会、证监会、市场监管总局、国家发展改革委、商务部、交通运输部、农业农村部、供销合作总社、国家邮政局、工业和信息化部、国家知识产权局</w:t>
      </w:r>
      <w:r>
        <w:rPr>
          <w:rFonts w:hint="default" w:ascii="楷体_GB2312" w:hAnsi="宋体" w:eastAsia="楷体_GB2312" w:cs="楷体_GB2312"/>
          <w:i w:val="0"/>
          <w:caps w:val="0"/>
          <w:color w:val="333333"/>
          <w:spacing w:val="0"/>
          <w:sz w:val="32"/>
          <w:szCs w:val="32"/>
          <w:bdr w:val="none" w:color="auto" w:sz="0" w:space="0"/>
          <w:shd w:val="clear" w:fill="FFFFFF"/>
        </w:rPr>
        <w:t>等</w:t>
      </w:r>
      <w:r>
        <w:rPr>
          <w:rFonts w:hint="default" w:ascii="楷体_GB2312" w:hAnsi="宋体" w:eastAsia="楷体_GB2312" w:cs="楷体_GB2312"/>
          <w:i w:val="0"/>
          <w:caps w:val="0"/>
          <w:color w:val="000000"/>
          <w:spacing w:val="0"/>
          <w:sz w:val="32"/>
          <w:szCs w:val="32"/>
          <w:bdr w:val="none" w:color="auto" w:sz="0" w:space="0"/>
          <w:shd w:val="clear" w:fill="FFFFFF"/>
        </w:rPr>
        <w:t>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27"/>
        <w:jc w:val="both"/>
        <w:rPr>
          <w:rFonts w:hint="eastAsia" w:ascii="宋体" w:hAnsi="宋体" w:eastAsia="宋体" w:cs="宋体"/>
          <w:i w:val="0"/>
          <w:caps w:val="0"/>
          <w:color w:val="333333"/>
          <w:spacing w:val="0"/>
          <w:sz w:val="14"/>
          <w:szCs w:val="14"/>
        </w:rPr>
      </w:pPr>
      <w:r>
        <w:rPr>
          <w:rFonts w:hint="default" w:ascii="楷体_GB2312" w:hAnsi="宋体" w:eastAsia="楷体_GB2312" w:cs="楷体_GB2312"/>
          <w:b w:val="0"/>
          <w:i w:val="0"/>
          <w:caps w:val="0"/>
          <w:color w:val="333333"/>
          <w:spacing w:val="0"/>
          <w:sz w:val="32"/>
          <w:szCs w:val="32"/>
          <w:bdr w:val="none" w:color="auto" w:sz="0" w:space="0"/>
          <w:shd w:val="clear" w:fill="FFFFFF"/>
        </w:rPr>
        <w:t>（十三）提升社会服务效能</w:t>
      </w:r>
      <w:r>
        <w:rPr>
          <w:rFonts w:hint="default" w:ascii="楷体_GB2312" w:hAnsi="宋体" w:eastAsia="楷体_GB2312" w:cs="楷体_GB2312"/>
          <w:i w:val="0"/>
          <w:caps w:val="0"/>
          <w:color w:val="000000"/>
          <w:spacing w:val="0"/>
          <w:sz w:val="32"/>
          <w:szCs w:val="32"/>
          <w:bdr w:val="none" w:color="auto" w:sz="0" w:space="0"/>
          <w:shd w:val="clear" w:fill="FFFFFF"/>
        </w:rPr>
        <w:t>。</w:t>
      </w:r>
      <w:r>
        <w:rPr>
          <w:rFonts w:hint="default" w:ascii="仿宋_GB2312" w:hAnsi="宋体" w:eastAsia="仿宋_GB2312" w:cs="仿宋_GB2312"/>
          <w:i w:val="0"/>
          <w:caps w:val="0"/>
          <w:color w:val="000000"/>
          <w:spacing w:val="0"/>
          <w:sz w:val="32"/>
          <w:szCs w:val="32"/>
          <w:bdr w:val="none" w:color="auto" w:sz="0" w:space="0"/>
          <w:shd w:val="clear" w:fill="FFFFFF"/>
        </w:rPr>
        <w:t>持续开展服务质量监督监测和结果通报。加强城乡社区服务体系建设，推进城市一刻钟便民生活圈建设，实施村级综合服务设施提升工程。推动康复辅助器具产业提质升级。健全高龄、失能（失智）老年人长期照护服务体系和相关标准，组织医养结合示范项目，开展社区医养结合能力提升行动，实施医养结合人才能力提升培训项目，提高医养结合服务质量和水平。建立健全托育服务政策法规体系和标准规范体系。按年度提出国家医疗质量安全改进目标，推动医疗服务质量持续改进。加强医疗美容综合监管执法。加强政务服务事项管理、集成化办理、便民热线运行、服务评估评价等标准的制定、实施和宣贯。督促水、电、气、暖等公用事业领域企业公开服务内容、服务流程、资费标准等信息。</w:t>
      </w:r>
      <w:r>
        <w:rPr>
          <w:rFonts w:hint="default" w:ascii="楷体_GB2312" w:hAnsi="宋体" w:eastAsia="楷体_GB2312" w:cs="楷体_GB2312"/>
          <w:i w:val="0"/>
          <w:caps w:val="0"/>
          <w:color w:val="000000"/>
          <w:spacing w:val="0"/>
          <w:sz w:val="32"/>
          <w:szCs w:val="32"/>
          <w:bdr w:val="none" w:color="auto" w:sz="0" w:space="0"/>
          <w:shd w:val="clear" w:fill="FFFFFF"/>
        </w:rPr>
        <w:t>（市场监管总局、民政部、国家卫生健康委、国家医保局、住房城乡建设部、国家能源局</w:t>
      </w:r>
      <w:r>
        <w:rPr>
          <w:rFonts w:hint="default" w:ascii="楷体_GB2312" w:hAnsi="宋体" w:eastAsia="楷体_GB2312" w:cs="楷体_GB2312"/>
          <w:i w:val="0"/>
          <w:caps w:val="0"/>
          <w:color w:val="333333"/>
          <w:spacing w:val="0"/>
          <w:sz w:val="32"/>
          <w:szCs w:val="32"/>
          <w:bdr w:val="none" w:color="auto" w:sz="0" w:space="0"/>
          <w:shd w:val="clear" w:fill="FFFFFF"/>
        </w:rPr>
        <w:t>等</w:t>
      </w:r>
      <w:r>
        <w:rPr>
          <w:rFonts w:hint="default" w:ascii="楷体_GB2312" w:hAnsi="宋体" w:eastAsia="楷体_GB2312" w:cs="楷体_GB2312"/>
          <w:i w:val="0"/>
          <w:caps w:val="0"/>
          <w:color w:val="000000"/>
          <w:spacing w:val="0"/>
          <w:sz w:val="32"/>
          <w:szCs w:val="32"/>
          <w:bdr w:val="none" w:color="auto" w:sz="0" w:space="0"/>
          <w:shd w:val="clear" w:fill="FFFFFF"/>
        </w:rPr>
        <w:t>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28"/>
        <w:jc w:val="left"/>
        <w:rPr>
          <w:rFonts w:hint="eastAsia" w:ascii="宋体" w:hAnsi="宋体" w:eastAsia="宋体" w:cs="宋体"/>
          <w:b/>
          <w:i w:val="0"/>
          <w:caps w:val="0"/>
          <w:color w:val="333333"/>
          <w:spacing w:val="0"/>
          <w:sz w:val="48"/>
          <w:szCs w:val="48"/>
        </w:rPr>
      </w:pPr>
      <w:r>
        <w:rPr>
          <w:rFonts w:hint="eastAsia" w:ascii="黑体" w:hAnsi="宋体" w:eastAsia="黑体" w:cs="黑体"/>
          <w:b w:val="0"/>
          <w:i w:val="0"/>
          <w:caps w:val="0"/>
          <w:color w:val="333333"/>
          <w:spacing w:val="0"/>
          <w:sz w:val="32"/>
          <w:szCs w:val="32"/>
          <w:bdr w:val="none" w:color="auto" w:sz="0" w:space="0"/>
          <w:shd w:val="clear" w:fill="FFFFFF"/>
        </w:rPr>
        <w:t>六、以质量变革创新推动质量持续提升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28"/>
        <w:jc w:val="both"/>
        <w:rPr>
          <w:rFonts w:hint="default" w:ascii="Calibri" w:hAnsi="Calibri" w:cs="Calibri"/>
          <w:i w:val="0"/>
          <w:caps w:val="0"/>
          <w:color w:val="333333"/>
          <w:spacing w:val="0"/>
          <w:sz w:val="14"/>
          <w:szCs w:val="14"/>
        </w:rPr>
      </w:pPr>
      <w:r>
        <w:rPr>
          <w:rFonts w:hint="default" w:ascii="楷体_GB2312" w:hAnsi="Calibri" w:eastAsia="楷体_GB2312" w:cs="楷体_GB2312"/>
          <w:b w:val="0"/>
          <w:i w:val="0"/>
          <w:caps w:val="0"/>
          <w:color w:val="333333"/>
          <w:spacing w:val="0"/>
          <w:kern w:val="0"/>
          <w:sz w:val="32"/>
          <w:szCs w:val="32"/>
          <w:bdr w:val="none" w:color="auto" w:sz="0" w:space="0"/>
          <w:shd w:val="clear" w:fill="FFFFFF"/>
          <w:lang w:val="en-US" w:eastAsia="zh-CN" w:bidi="ar"/>
        </w:rPr>
        <w:t>（十四）强化科技创新对质量提升的引领作用</w:t>
      </w:r>
      <w:r>
        <w:rPr>
          <w:rFonts w:hint="default" w:ascii="仿宋_GB2312" w:hAnsi="Calibri" w:eastAsia="仿宋_GB2312" w:cs="仿宋_GB2312"/>
          <w:i w:val="0"/>
          <w:caps w:val="0"/>
          <w:color w:val="000000"/>
          <w:spacing w:val="0"/>
          <w:kern w:val="0"/>
          <w:sz w:val="32"/>
          <w:szCs w:val="32"/>
          <w:bdr w:val="none" w:color="auto" w:sz="0" w:space="0"/>
          <w:shd w:val="clear" w:fill="FFFFFF"/>
          <w:lang w:val="en-US" w:eastAsia="zh-CN" w:bidi="ar"/>
        </w:rPr>
        <w:t>。建立科技创新政策和质量政策紧密结合的工作机制，部署实施国家质量基础设施科技项目，加大科技研发计划对质量提升的支持力度，重点面向影响制约产业发展的质量短板问题开展质量关键共性技术研究。鼓励企业加大质量技术创新投入，</w:t>
      </w:r>
      <w:r>
        <w:rPr>
          <w:rFonts w:hint="default" w:ascii="仿宋_GB2312" w:hAnsi="Calibri" w:eastAsia="仿宋_GB2312" w:cs="仿宋_GB2312"/>
          <w:i w:val="0"/>
          <w:caps w:val="0"/>
          <w:color w:val="333333"/>
          <w:spacing w:val="0"/>
          <w:kern w:val="0"/>
          <w:sz w:val="32"/>
          <w:szCs w:val="32"/>
          <w:bdr w:val="none" w:color="auto" w:sz="0" w:space="0"/>
          <w:shd w:val="clear" w:fill="FFFFFF"/>
          <w:lang w:val="en-US" w:eastAsia="zh-CN" w:bidi="ar"/>
        </w:rPr>
        <w:t>发展智能制造、绿色制造和服务型制造</w:t>
      </w:r>
      <w:r>
        <w:rPr>
          <w:rFonts w:hint="default" w:ascii="仿宋_GB2312" w:hAnsi="Calibri" w:eastAsia="仿宋_GB2312" w:cs="仿宋_GB2312"/>
          <w:i w:val="0"/>
          <w:caps w:val="0"/>
          <w:color w:val="000000"/>
          <w:spacing w:val="0"/>
          <w:kern w:val="0"/>
          <w:sz w:val="32"/>
          <w:szCs w:val="32"/>
          <w:bdr w:val="none" w:color="auto" w:sz="0" w:space="0"/>
          <w:shd w:val="clear" w:fill="FFFFFF"/>
          <w:lang w:val="en-US" w:eastAsia="zh-CN" w:bidi="ar"/>
        </w:rPr>
        <w:t>。推动质量创新成果转化为标准和实现产业化应用。推动大数据、区块链、云计算等与质量管理融合发展，提升质量精准化控制和在线实时检测能力。</w:t>
      </w:r>
      <w:r>
        <w:rPr>
          <w:rFonts w:hint="default" w:ascii="楷体_GB2312" w:hAnsi="Calibri" w:eastAsia="楷体_GB2312" w:cs="楷体_GB2312"/>
          <w:i w:val="0"/>
          <w:caps w:val="0"/>
          <w:color w:val="000000"/>
          <w:spacing w:val="0"/>
          <w:kern w:val="0"/>
          <w:sz w:val="32"/>
          <w:szCs w:val="32"/>
          <w:bdr w:val="none" w:color="auto" w:sz="0" w:space="0"/>
          <w:shd w:val="clear" w:fill="FFFFFF"/>
          <w:lang w:val="en-US" w:eastAsia="zh-CN" w:bidi="ar"/>
        </w:rPr>
        <w:t>（科技部、工业和信息化部、市场监管总局</w:t>
      </w:r>
      <w:r>
        <w:rPr>
          <w:rFonts w:hint="default" w:ascii="楷体_GB2312" w:hAnsi="Calibri" w:eastAsia="楷体_GB2312" w:cs="楷体_GB2312"/>
          <w:i w:val="0"/>
          <w:caps w:val="0"/>
          <w:color w:val="333333"/>
          <w:spacing w:val="0"/>
          <w:kern w:val="0"/>
          <w:sz w:val="32"/>
          <w:szCs w:val="32"/>
          <w:bdr w:val="none" w:color="auto" w:sz="0" w:space="0"/>
          <w:shd w:val="clear" w:fill="FFFFFF"/>
          <w:lang w:val="en-US" w:eastAsia="zh-CN" w:bidi="ar"/>
        </w:rPr>
        <w:t>等</w:t>
      </w:r>
      <w:r>
        <w:rPr>
          <w:rFonts w:hint="default" w:ascii="楷体_GB2312" w:hAnsi="Calibri" w:eastAsia="楷体_GB2312" w:cs="楷体_GB2312"/>
          <w:i w:val="0"/>
          <w:caps w:val="0"/>
          <w:color w:val="000000"/>
          <w:spacing w:val="0"/>
          <w:kern w:val="0"/>
          <w:sz w:val="32"/>
          <w:szCs w:val="32"/>
          <w:bdr w:val="none" w:color="auto" w:sz="0" w:space="0"/>
          <w:shd w:val="clear" w:fill="FFFFFF"/>
          <w:lang w:val="en-US" w:eastAsia="zh-CN" w:bidi="ar"/>
        </w:rPr>
        <w:t>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27"/>
        <w:jc w:val="both"/>
        <w:rPr>
          <w:rFonts w:hint="eastAsia" w:ascii="宋体" w:hAnsi="宋体" w:eastAsia="宋体" w:cs="宋体"/>
          <w:i w:val="0"/>
          <w:caps w:val="0"/>
          <w:color w:val="333333"/>
          <w:spacing w:val="0"/>
          <w:sz w:val="14"/>
          <w:szCs w:val="14"/>
        </w:rPr>
      </w:pPr>
      <w:r>
        <w:rPr>
          <w:rFonts w:hint="default" w:ascii="楷体_GB2312" w:hAnsi="宋体" w:eastAsia="楷体_GB2312" w:cs="楷体_GB2312"/>
          <w:b w:val="0"/>
          <w:i w:val="0"/>
          <w:caps w:val="0"/>
          <w:color w:val="333333"/>
          <w:spacing w:val="0"/>
          <w:sz w:val="32"/>
          <w:szCs w:val="32"/>
          <w:bdr w:val="none" w:color="auto" w:sz="0" w:space="0"/>
          <w:shd w:val="clear" w:fill="FFFFFF"/>
        </w:rPr>
        <w:t>（十五）推动产业链供应链质量联动提升</w:t>
      </w:r>
      <w:r>
        <w:rPr>
          <w:rFonts w:hint="default" w:ascii="仿宋_GB2312" w:hAnsi="宋体" w:eastAsia="仿宋_GB2312" w:cs="仿宋_GB2312"/>
          <w:i w:val="0"/>
          <w:caps w:val="0"/>
          <w:color w:val="000000"/>
          <w:spacing w:val="0"/>
          <w:sz w:val="32"/>
          <w:szCs w:val="32"/>
          <w:bdr w:val="none" w:color="auto" w:sz="0" w:space="0"/>
          <w:shd w:val="clear" w:fill="FFFFFF"/>
        </w:rPr>
        <w:t>。加强对产业链核心企业的激励引导，发挥中央企业、国有大中型企业主力军作用，培育一批“专精特新”企业，着力解决产品性能和品质档次“卡脖子”、“瓶颈”问题。强化跨部门、跨领域协调推进，促进设计、材料、工艺、检测、应用等产业链上下游标准衔接。加强食品农产品追溯码、物品编码、统一社会信用代码推广应用。支持产业链“链长”、“链主”企业和“领航”企业将相关企业纳入共同的供应链和质量管理体系，实施质量技术联合攻关和质量一致性管控。</w:t>
      </w:r>
      <w:r>
        <w:rPr>
          <w:rFonts w:hint="default" w:ascii="楷体_GB2312" w:hAnsi="宋体" w:eastAsia="楷体_GB2312" w:cs="楷体_GB2312"/>
          <w:i w:val="0"/>
          <w:caps w:val="0"/>
          <w:color w:val="000000"/>
          <w:spacing w:val="0"/>
          <w:sz w:val="32"/>
          <w:szCs w:val="32"/>
          <w:bdr w:val="none" w:color="auto" w:sz="0" w:space="0"/>
          <w:shd w:val="clear" w:fill="FFFFFF"/>
        </w:rPr>
        <w:t>（国家发展改革委、国务院国资委、工业和信息化部、市场监管总局、商务部</w:t>
      </w:r>
      <w:r>
        <w:rPr>
          <w:rFonts w:hint="default" w:ascii="楷体_GB2312" w:hAnsi="宋体" w:eastAsia="楷体_GB2312" w:cs="楷体_GB2312"/>
          <w:i w:val="0"/>
          <w:caps w:val="0"/>
          <w:color w:val="333333"/>
          <w:spacing w:val="0"/>
          <w:sz w:val="32"/>
          <w:szCs w:val="32"/>
          <w:bdr w:val="none" w:color="auto" w:sz="0" w:space="0"/>
          <w:shd w:val="clear" w:fill="FFFFFF"/>
        </w:rPr>
        <w:t>等</w:t>
      </w:r>
      <w:r>
        <w:rPr>
          <w:rFonts w:hint="default" w:ascii="楷体_GB2312" w:hAnsi="宋体" w:eastAsia="楷体_GB2312" w:cs="楷体_GB2312"/>
          <w:i w:val="0"/>
          <w:caps w:val="0"/>
          <w:color w:val="000000"/>
          <w:spacing w:val="0"/>
          <w:sz w:val="32"/>
          <w:szCs w:val="32"/>
          <w:bdr w:val="none" w:color="auto" w:sz="0" w:space="0"/>
          <w:shd w:val="clear" w:fill="FFFFFF"/>
        </w:rPr>
        <w:t>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27"/>
        <w:jc w:val="both"/>
        <w:rPr>
          <w:rFonts w:hint="eastAsia" w:ascii="宋体" w:hAnsi="宋体" w:eastAsia="宋体" w:cs="宋体"/>
          <w:i w:val="0"/>
          <w:caps w:val="0"/>
          <w:color w:val="333333"/>
          <w:spacing w:val="0"/>
          <w:sz w:val="14"/>
          <w:szCs w:val="14"/>
        </w:rPr>
      </w:pPr>
      <w:r>
        <w:rPr>
          <w:rFonts w:hint="default" w:ascii="楷体_GB2312" w:hAnsi="宋体" w:eastAsia="楷体_GB2312" w:cs="楷体_GB2312"/>
          <w:b w:val="0"/>
          <w:i w:val="0"/>
          <w:caps w:val="0"/>
          <w:color w:val="333333"/>
          <w:spacing w:val="0"/>
          <w:sz w:val="32"/>
          <w:szCs w:val="32"/>
          <w:bdr w:val="none" w:color="auto" w:sz="0" w:space="0"/>
          <w:shd w:val="clear" w:fill="FFFFFF"/>
        </w:rPr>
        <w:t>（十六）提升质量基础设施服务效能</w:t>
      </w:r>
      <w:r>
        <w:rPr>
          <w:rFonts w:hint="default" w:ascii="仿宋_GB2312" w:hAnsi="宋体" w:eastAsia="仿宋_GB2312" w:cs="仿宋_GB2312"/>
          <w:i w:val="0"/>
          <w:caps w:val="0"/>
          <w:color w:val="000000"/>
          <w:spacing w:val="0"/>
          <w:sz w:val="32"/>
          <w:szCs w:val="32"/>
          <w:bdr w:val="none" w:color="auto" w:sz="0" w:space="0"/>
          <w:shd w:val="clear" w:fill="FFFFFF"/>
        </w:rPr>
        <w:t>。加强国家、区域、产业质量基础设施能力建设，综合运用计量、标准、合格评定等要素资源实施精准服务。加强国家标准全文公开系统建设，服务各类市场主体更加公平、便捷获得标准信息资源。深入推进“计量服务中小企业行”、“小微企业质量管理体系认证升级行动”、“质量技术帮扶提质强企行动”。大力开展质量基础设施“一站式”服务，鼓励和支持商会协会积极参与，强化对中小企业和民营企业的支持帮扶。加强技术性贸易措施研判应对和信息服务，引导企业加强合规管理，优化出口商品和服务质量。</w:t>
      </w:r>
      <w:r>
        <w:rPr>
          <w:rFonts w:hint="default" w:ascii="楷体_GB2312" w:hAnsi="宋体" w:eastAsia="楷体_GB2312" w:cs="楷体_GB2312"/>
          <w:i w:val="0"/>
          <w:caps w:val="0"/>
          <w:color w:val="000000"/>
          <w:spacing w:val="0"/>
          <w:sz w:val="32"/>
          <w:szCs w:val="32"/>
          <w:bdr w:val="none" w:color="auto" w:sz="0" w:space="0"/>
          <w:shd w:val="clear" w:fill="FFFFFF"/>
        </w:rPr>
        <w:t>（市场监管总局、科技部、工业和信息化部、全国工商联、商务部、海关总署</w:t>
      </w:r>
      <w:r>
        <w:rPr>
          <w:rFonts w:hint="default" w:ascii="楷体_GB2312" w:hAnsi="宋体" w:eastAsia="楷体_GB2312" w:cs="楷体_GB2312"/>
          <w:i w:val="0"/>
          <w:caps w:val="0"/>
          <w:color w:val="333333"/>
          <w:spacing w:val="0"/>
          <w:sz w:val="32"/>
          <w:szCs w:val="32"/>
          <w:bdr w:val="none" w:color="auto" w:sz="0" w:space="0"/>
          <w:shd w:val="clear" w:fill="FFFFFF"/>
        </w:rPr>
        <w:t>等</w:t>
      </w:r>
      <w:r>
        <w:rPr>
          <w:rFonts w:hint="default" w:ascii="楷体_GB2312" w:hAnsi="宋体" w:eastAsia="楷体_GB2312" w:cs="楷体_GB2312"/>
          <w:i w:val="0"/>
          <w:caps w:val="0"/>
          <w:color w:val="000000"/>
          <w:spacing w:val="0"/>
          <w:sz w:val="32"/>
          <w:szCs w:val="32"/>
          <w:bdr w:val="none" w:color="auto" w:sz="0" w:space="0"/>
          <w:shd w:val="clear" w:fill="FFFFFF"/>
        </w:rPr>
        <w:t>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27"/>
        <w:jc w:val="both"/>
        <w:rPr>
          <w:rFonts w:hint="eastAsia" w:ascii="宋体" w:hAnsi="宋体" w:eastAsia="宋体" w:cs="宋体"/>
          <w:i w:val="0"/>
          <w:caps w:val="0"/>
          <w:color w:val="333333"/>
          <w:spacing w:val="0"/>
          <w:sz w:val="14"/>
          <w:szCs w:val="14"/>
        </w:rPr>
      </w:pPr>
      <w:r>
        <w:rPr>
          <w:rFonts w:hint="default" w:ascii="楷体_GB2312" w:hAnsi="宋体" w:eastAsia="楷体_GB2312" w:cs="楷体_GB2312"/>
          <w:b w:val="0"/>
          <w:i w:val="0"/>
          <w:caps w:val="0"/>
          <w:color w:val="333333"/>
          <w:spacing w:val="0"/>
          <w:sz w:val="32"/>
          <w:szCs w:val="32"/>
          <w:bdr w:val="none" w:color="auto" w:sz="0" w:space="0"/>
          <w:shd w:val="clear" w:fill="FFFFFF"/>
        </w:rPr>
        <w:t>（十七）加强质量品牌建设</w:t>
      </w:r>
      <w:r>
        <w:rPr>
          <w:rFonts w:hint="default" w:ascii="仿宋_GB2312" w:hAnsi="宋体" w:eastAsia="仿宋_GB2312" w:cs="仿宋_GB2312"/>
          <w:i w:val="0"/>
          <w:caps w:val="0"/>
          <w:color w:val="000000"/>
          <w:spacing w:val="0"/>
          <w:sz w:val="32"/>
          <w:szCs w:val="32"/>
          <w:bdr w:val="none" w:color="auto" w:sz="0" w:space="0"/>
          <w:shd w:val="clear" w:fill="FFFFFF"/>
        </w:rPr>
        <w:t>。持续办好中国品牌日活动，加强中华老字号和商标品牌的培育和保护，实施地理标志保护工程，支持打造区域品牌。建立健全质量分级制度，促进品牌消费、品质消费。大力推进内外贸产品“同线同标同质”工程。加快农业品牌精品培育，推动在化妆品、服装、家纺、电子产品等消费品领域，石化化工、钢铁、有色金属、建材等原材料领域，以及家政、旅游、文化、休闲、检验检测认证等服务业领域培育一批高端品牌。培育托育服务、乳粉奶业、动画设计和制作等行业民族品牌。完善品牌价值评价标准体系，开展品牌价值评价。</w:t>
      </w:r>
      <w:r>
        <w:rPr>
          <w:rFonts w:hint="default" w:ascii="楷体_GB2312" w:hAnsi="宋体" w:eastAsia="楷体_GB2312" w:cs="楷体_GB2312"/>
          <w:i w:val="0"/>
          <w:caps w:val="0"/>
          <w:color w:val="000000"/>
          <w:spacing w:val="0"/>
          <w:sz w:val="32"/>
          <w:szCs w:val="32"/>
          <w:bdr w:val="none" w:color="auto" w:sz="0" w:space="0"/>
          <w:shd w:val="clear" w:fill="FFFFFF"/>
        </w:rPr>
        <w:t>（国家发展改革委、商务部、广电总局、国家知识产权局、市场监管总局、农业农村部、供销合作总社、工业和信息化部、文化和旅游部</w:t>
      </w:r>
      <w:r>
        <w:rPr>
          <w:rFonts w:hint="default" w:ascii="楷体_GB2312" w:hAnsi="宋体" w:eastAsia="楷体_GB2312" w:cs="楷体_GB2312"/>
          <w:i w:val="0"/>
          <w:caps w:val="0"/>
          <w:color w:val="333333"/>
          <w:spacing w:val="0"/>
          <w:sz w:val="32"/>
          <w:szCs w:val="32"/>
          <w:bdr w:val="none" w:color="auto" w:sz="0" w:space="0"/>
          <w:shd w:val="clear" w:fill="FFFFFF"/>
        </w:rPr>
        <w:t>等</w:t>
      </w:r>
      <w:r>
        <w:rPr>
          <w:rFonts w:hint="default" w:ascii="楷体_GB2312" w:hAnsi="宋体" w:eastAsia="楷体_GB2312" w:cs="楷体_GB2312"/>
          <w:i w:val="0"/>
          <w:caps w:val="0"/>
          <w:color w:val="000000"/>
          <w:spacing w:val="0"/>
          <w:sz w:val="32"/>
          <w:szCs w:val="32"/>
          <w:bdr w:val="none" w:color="auto" w:sz="0" w:space="0"/>
          <w:shd w:val="clear" w:fill="FFFFFF"/>
        </w:rPr>
        <w:t>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27"/>
        <w:jc w:val="both"/>
        <w:rPr>
          <w:rFonts w:hint="eastAsia" w:ascii="宋体" w:hAnsi="宋体" w:eastAsia="宋体" w:cs="宋体"/>
          <w:i w:val="0"/>
          <w:caps w:val="0"/>
          <w:color w:val="333333"/>
          <w:spacing w:val="0"/>
          <w:sz w:val="14"/>
          <w:szCs w:val="14"/>
        </w:rPr>
      </w:pPr>
      <w:r>
        <w:rPr>
          <w:rFonts w:hint="default" w:ascii="楷体_GB2312" w:hAnsi="宋体" w:eastAsia="楷体_GB2312" w:cs="楷体_GB2312"/>
          <w:b w:val="0"/>
          <w:i w:val="0"/>
          <w:caps w:val="0"/>
          <w:color w:val="333333"/>
          <w:spacing w:val="0"/>
          <w:sz w:val="32"/>
          <w:szCs w:val="32"/>
          <w:bdr w:val="none" w:color="auto" w:sz="0" w:space="0"/>
          <w:shd w:val="clear" w:fill="FFFFFF"/>
        </w:rPr>
        <w:t>（十八）提升劳动者质量素养。</w:t>
      </w:r>
      <w:r>
        <w:rPr>
          <w:rFonts w:hint="default" w:ascii="仿宋_GB2312" w:hAnsi="Calibri" w:eastAsia="仿宋_GB2312" w:cs="仿宋_GB2312"/>
          <w:i w:val="0"/>
          <w:caps w:val="0"/>
          <w:color w:val="000000"/>
          <w:spacing w:val="0"/>
          <w:sz w:val="32"/>
          <w:szCs w:val="32"/>
          <w:bdr w:val="none" w:color="auto" w:sz="0" w:space="0"/>
          <w:shd w:val="clear" w:fill="FFFFFF"/>
        </w:rPr>
        <w:t>加强普通高等学校、职业院校质量相关学科专业和课程建设。发挥各级工会和团组织作用，开展劳动和技能竞赛、质量管理创新</w:t>
      </w:r>
      <w:r>
        <w:rPr>
          <w:rFonts w:hint="default" w:ascii="仿宋_GB2312" w:hAnsi="宋体" w:eastAsia="仿宋_GB2312" w:cs="仿宋_GB2312"/>
          <w:i w:val="0"/>
          <w:caps w:val="0"/>
          <w:color w:val="000000"/>
          <w:spacing w:val="0"/>
          <w:sz w:val="32"/>
          <w:szCs w:val="32"/>
          <w:bdr w:val="none" w:color="auto" w:sz="0" w:space="0"/>
          <w:shd w:val="clear" w:fill="FFFFFF"/>
        </w:rPr>
        <w:t>、质量改进提升</w:t>
      </w:r>
      <w:r>
        <w:rPr>
          <w:rFonts w:hint="default" w:ascii="仿宋_GB2312" w:hAnsi="Calibri" w:eastAsia="仿宋_GB2312" w:cs="仿宋_GB2312"/>
          <w:i w:val="0"/>
          <w:caps w:val="0"/>
          <w:color w:val="000000"/>
          <w:spacing w:val="0"/>
          <w:sz w:val="32"/>
          <w:szCs w:val="32"/>
          <w:bdr w:val="none" w:color="auto" w:sz="0" w:space="0"/>
          <w:shd w:val="clear" w:fill="FFFFFF"/>
        </w:rPr>
        <w:t>等活动，提高员工质量意识和技能水平。完善技术技能人才培养培训工作体系，提高家政、养老、育幼等领域人才培养培训质量。</w:t>
      </w:r>
      <w:r>
        <w:rPr>
          <w:rFonts w:hint="default" w:ascii="楷体_GB2312" w:hAnsi="宋体" w:eastAsia="楷体_GB2312" w:cs="楷体_GB2312"/>
          <w:b w:val="0"/>
          <w:i w:val="0"/>
          <w:caps w:val="0"/>
          <w:color w:val="333333"/>
          <w:spacing w:val="0"/>
          <w:sz w:val="32"/>
          <w:szCs w:val="32"/>
          <w:bdr w:val="none" w:color="auto" w:sz="0" w:space="0"/>
          <w:shd w:val="clear" w:fill="FFFFFF"/>
        </w:rPr>
        <w:t>（教育部、全国总工会、共青团中央、市场监管总局、人力资源社会保障部等按职责分工负责）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28"/>
        <w:jc w:val="left"/>
        <w:rPr>
          <w:rFonts w:hint="eastAsia" w:ascii="宋体" w:hAnsi="宋体" w:eastAsia="宋体" w:cs="宋体"/>
          <w:i w:val="0"/>
          <w:caps w:val="0"/>
          <w:color w:val="333333"/>
          <w:spacing w:val="0"/>
          <w:sz w:val="14"/>
          <w:szCs w:val="14"/>
        </w:rPr>
      </w:pPr>
      <w:r>
        <w:rPr>
          <w:rFonts w:hint="eastAsia" w:ascii="黑体" w:hAnsi="宋体" w:eastAsia="黑体" w:cs="黑体"/>
          <w:i w:val="0"/>
          <w:caps w:val="0"/>
          <w:color w:val="000000"/>
          <w:spacing w:val="0"/>
          <w:sz w:val="32"/>
          <w:szCs w:val="32"/>
          <w:bdr w:val="none" w:color="auto" w:sz="0" w:space="0"/>
          <w:shd w:val="clear" w:fill="FFFFFF"/>
        </w:rPr>
        <w:t>七、强化实施保障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27"/>
        <w:jc w:val="both"/>
        <w:rPr>
          <w:rFonts w:hint="eastAsia" w:ascii="宋体" w:hAnsi="宋体" w:eastAsia="宋体" w:cs="宋体"/>
          <w:i w:val="0"/>
          <w:caps w:val="0"/>
          <w:color w:val="333333"/>
          <w:spacing w:val="0"/>
          <w:sz w:val="14"/>
          <w:szCs w:val="14"/>
        </w:rPr>
      </w:pPr>
      <w:r>
        <w:rPr>
          <w:rFonts w:hint="default" w:ascii="楷体_GB2312" w:hAnsi="宋体" w:eastAsia="楷体_GB2312" w:cs="楷体_GB2312"/>
          <w:b w:val="0"/>
          <w:i w:val="0"/>
          <w:caps w:val="0"/>
          <w:color w:val="333333"/>
          <w:spacing w:val="0"/>
          <w:sz w:val="32"/>
          <w:szCs w:val="32"/>
          <w:bdr w:val="none" w:color="auto" w:sz="0" w:space="0"/>
          <w:shd w:val="clear" w:fill="FFFFFF"/>
        </w:rPr>
        <w:t>（十九）健全财政金融政策</w:t>
      </w:r>
      <w:r>
        <w:rPr>
          <w:rFonts w:hint="default" w:ascii="楷体_GB2312" w:hAnsi="宋体" w:eastAsia="楷体_GB2312" w:cs="楷体_GB2312"/>
          <w:b w:val="0"/>
          <w:i w:val="0"/>
          <w:caps w:val="0"/>
          <w:color w:val="000000"/>
          <w:spacing w:val="0"/>
          <w:sz w:val="32"/>
          <w:szCs w:val="32"/>
          <w:bdr w:val="none" w:color="auto" w:sz="0" w:space="0"/>
          <w:shd w:val="clear" w:fill="FFFFFF"/>
        </w:rPr>
        <w:t>。</w:t>
      </w:r>
      <w:r>
        <w:rPr>
          <w:rFonts w:hint="default" w:ascii="仿宋_GB2312" w:hAnsi="宋体" w:eastAsia="仿宋_GB2312" w:cs="仿宋_GB2312"/>
          <w:i w:val="0"/>
          <w:caps w:val="0"/>
          <w:color w:val="000000"/>
          <w:spacing w:val="0"/>
          <w:sz w:val="32"/>
          <w:szCs w:val="32"/>
          <w:bdr w:val="none" w:color="auto" w:sz="0" w:space="0"/>
          <w:shd w:val="clear" w:fill="FFFFFF"/>
        </w:rPr>
        <w:t>各地区要将质量提升行动工作经费列入预算，鼓励企业加大对质量提升的资金投入，完善质量提升资金多元筹集和保障机制。企业质量提升活动中发生符合条件的研发费用支出，可按规定享受税前加计扣除政策。加强政府采购需求和履约验收管理，更好实现政府采购优质优价。制定质量竞争型产业分类，加强质量统计监测。支持企业运用保险手段强化产品质量保障、服务承诺兑现和消费争议解决，鼓励企业积极投保平行进口车“三包”责任相关保险、工程质量保险。</w:t>
      </w:r>
      <w:r>
        <w:rPr>
          <w:rFonts w:hint="default" w:ascii="楷体_GB2312" w:hAnsi="宋体" w:eastAsia="楷体_GB2312" w:cs="楷体_GB2312"/>
          <w:i w:val="0"/>
          <w:caps w:val="0"/>
          <w:color w:val="000000"/>
          <w:spacing w:val="0"/>
          <w:sz w:val="32"/>
          <w:szCs w:val="32"/>
          <w:bdr w:val="none" w:color="auto" w:sz="0" w:space="0"/>
          <w:shd w:val="clear" w:fill="FFFFFF"/>
        </w:rPr>
        <w:t>（财政部、人民银行、市场监管总局、税务总局、国家统计局、银保监会、住房城乡建设部等按职责分工负责）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27"/>
        <w:jc w:val="both"/>
        <w:rPr>
          <w:rFonts w:hint="eastAsia" w:ascii="宋体" w:hAnsi="宋体" w:eastAsia="宋体" w:cs="宋体"/>
          <w:i w:val="0"/>
          <w:caps w:val="0"/>
          <w:color w:val="333333"/>
          <w:spacing w:val="0"/>
          <w:sz w:val="14"/>
          <w:szCs w:val="14"/>
        </w:rPr>
      </w:pPr>
      <w:r>
        <w:rPr>
          <w:rFonts w:hint="default" w:ascii="楷体_GB2312" w:hAnsi="宋体" w:eastAsia="楷体_GB2312" w:cs="楷体_GB2312"/>
          <w:b w:val="0"/>
          <w:i w:val="0"/>
          <w:caps w:val="0"/>
          <w:color w:val="333333"/>
          <w:spacing w:val="0"/>
          <w:sz w:val="32"/>
          <w:szCs w:val="32"/>
          <w:bdr w:val="none" w:color="auto" w:sz="0" w:space="0"/>
          <w:shd w:val="clear" w:fill="FFFFFF"/>
        </w:rPr>
        <w:t>（二十）加强质量安全监管</w:t>
      </w:r>
      <w:r>
        <w:rPr>
          <w:rFonts w:hint="default" w:ascii="仿宋_GB2312" w:hAnsi="宋体" w:eastAsia="仿宋_GB2312" w:cs="仿宋_GB2312"/>
          <w:i w:val="0"/>
          <w:caps w:val="0"/>
          <w:color w:val="333333"/>
          <w:spacing w:val="0"/>
          <w:sz w:val="32"/>
          <w:szCs w:val="32"/>
          <w:bdr w:val="none" w:color="auto" w:sz="0" w:space="0"/>
          <w:shd w:val="clear" w:fill="FFFFFF"/>
        </w:rPr>
        <w:t>。完善质量安全风险监控机制，加快建设全国统一的产品质量安全风险监测平台，制定实施重点产品质量安全监管目录，</w:t>
      </w:r>
      <w:r>
        <w:rPr>
          <w:rFonts w:hint="default" w:ascii="仿宋_GB2312" w:hAnsi="宋体" w:eastAsia="仿宋_GB2312" w:cs="仿宋_GB2312"/>
          <w:i w:val="0"/>
          <w:caps w:val="0"/>
          <w:color w:val="000000"/>
          <w:spacing w:val="0"/>
          <w:sz w:val="32"/>
          <w:szCs w:val="32"/>
          <w:bdr w:val="none" w:color="auto" w:sz="0" w:space="0"/>
          <w:shd w:val="clear" w:fill="FFFFFF"/>
        </w:rPr>
        <w:t>推进</w:t>
      </w:r>
      <w:r>
        <w:rPr>
          <w:rFonts w:hint="default" w:ascii="仿宋_GB2312" w:hAnsi="宋体" w:eastAsia="仿宋_GB2312" w:cs="仿宋_GB2312"/>
          <w:i w:val="0"/>
          <w:caps w:val="0"/>
          <w:color w:val="333333"/>
          <w:spacing w:val="0"/>
          <w:sz w:val="32"/>
          <w:szCs w:val="32"/>
          <w:bdr w:val="none" w:color="auto" w:sz="0" w:space="0"/>
          <w:shd w:val="clear" w:fill="FFFFFF"/>
        </w:rPr>
        <w:t>信用风险分类管理。健全产品质量监督抽查联动机制，强化国家和地方之间统筹协同、互动互补。强化城乡结合部和农村市场、网络市场等重点领域质量安全监管，严厉打击质量违法行为。</w:t>
      </w:r>
      <w:r>
        <w:rPr>
          <w:rFonts w:hint="default" w:ascii="仿宋_GB2312" w:hAnsi="宋体" w:eastAsia="仿宋_GB2312" w:cs="仿宋_GB2312"/>
          <w:i w:val="0"/>
          <w:caps w:val="0"/>
          <w:color w:val="000000"/>
          <w:spacing w:val="0"/>
          <w:sz w:val="32"/>
          <w:szCs w:val="32"/>
          <w:bdr w:val="none" w:color="auto" w:sz="0" w:space="0"/>
          <w:shd w:val="clear" w:fill="FFFFFF"/>
        </w:rPr>
        <w:t>提升进出口商品质量安全风险预警和快速反应监管能力。</w:t>
      </w:r>
      <w:r>
        <w:rPr>
          <w:rFonts w:hint="default" w:ascii="仿宋_GB2312" w:hAnsi="宋体" w:eastAsia="仿宋_GB2312" w:cs="仿宋_GB2312"/>
          <w:i w:val="0"/>
          <w:caps w:val="0"/>
          <w:color w:val="333333"/>
          <w:spacing w:val="0"/>
          <w:sz w:val="32"/>
          <w:szCs w:val="32"/>
          <w:bdr w:val="none" w:color="auto" w:sz="0" w:space="0"/>
          <w:shd w:val="clear" w:fill="FFFFFF"/>
        </w:rPr>
        <w:t>健全完善省、市、县三级质量监管检测体系，加大支持保障力度，探索建立产品质量安全动态监管指挥调度体系，加强对基层监管部门的监督和指导。倡导行业协会、商会推进行业自律，鼓励新闻媒体和消费者组织等加强社会监督。（</w:t>
      </w:r>
      <w:r>
        <w:rPr>
          <w:rFonts w:hint="default" w:ascii="楷体_GB2312" w:hAnsi="宋体" w:eastAsia="楷体_GB2312" w:cs="楷体_GB2312"/>
          <w:i w:val="0"/>
          <w:caps w:val="0"/>
          <w:color w:val="333333"/>
          <w:spacing w:val="0"/>
          <w:sz w:val="32"/>
          <w:szCs w:val="32"/>
          <w:bdr w:val="none" w:color="auto" w:sz="0" w:space="0"/>
          <w:shd w:val="clear" w:fill="FFFFFF"/>
        </w:rPr>
        <w:t>市场监管总局、</w:t>
      </w:r>
      <w:r>
        <w:rPr>
          <w:rFonts w:hint="default" w:ascii="楷体_GB2312" w:hAnsi="宋体" w:eastAsia="楷体_GB2312" w:cs="楷体_GB2312"/>
          <w:i w:val="0"/>
          <w:caps w:val="0"/>
          <w:color w:val="000000"/>
          <w:spacing w:val="0"/>
          <w:sz w:val="32"/>
          <w:szCs w:val="32"/>
          <w:bdr w:val="none" w:color="auto" w:sz="0" w:space="0"/>
          <w:shd w:val="clear" w:fill="FFFFFF"/>
        </w:rPr>
        <w:t>农业农村部、国家粮食和储备局、</w:t>
      </w:r>
      <w:r>
        <w:rPr>
          <w:rFonts w:hint="default" w:ascii="楷体_GB2312" w:hAnsi="宋体" w:eastAsia="楷体_GB2312" w:cs="楷体_GB2312"/>
          <w:i w:val="0"/>
          <w:caps w:val="0"/>
          <w:color w:val="333333"/>
          <w:spacing w:val="0"/>
          <w:sz w:val="32"/>
          <w:szCs w:val="32"/>
          <w:bdr w:val="none" w:color="auto" w:sz="0" w:space="0"/>
          <w:shd w:val="clear" w:fill="FFFFFF"/>
        </w:rPr>
        <w:t>公安部</w:t>
      </w:r>
      <w:r>
        <w:rPr>
          <w:rFonts w:hint="default" w:ascii="楷体_GB2312" w:hAnsi="宋体" w:eastAsia="楷体_GB2312" w:cs="楷体_GB2312"/>
          <w:i w:val="0"/>
          <w:caps w:val="0"/>
          <w:color w:val="000000"/>
          <w:spacing w:val="0"/>
          <w:sz w:val="32"/>
          <w:szCs w:val="32"/>
          <w:bdr w:val="none" w:color="auto" w:sz="0" w:space="0"/>
          <w:shd w:val="clear" w:fill="FFFFFF"/>
        </w:rPr>
        <w:t>、海关总署、住房城乡建设部</w:t>
      </w:r>
      <w:r>
        <w:rPr>
          <w:rFonts w:hint="default" w:ascii="楷体_GB2312" w:hAnsi="宋体" w:eastAsia="楷体_GB2312" w:cs="楷体_GB2312"/>
          <w:i w:val="0"/>
          <w:caps w:val="0"/>
          <w:color w:val="333333"/>
          <w:spacing w:val="0"/>
          <w:sz w:val="32"/>
          <w:szCs w:val="32"/>
          <w:bdr w:val="none" w:color="auto" w:sz="0" w:space="0"/>
          <w:shd w:val="clear" w:fill="FFFFFF"/>
        </w:rPr>
        <w:t>、</w:t>
      </w:r>
      <w:r>
        <w:rPr>
          <w:rFonts w:hint="default" w:ascii="楷体_GB2312" w:hAnsi="宋体" w:eastAsia="楷体_GB2312" w:cs="楷体_GB2312"/>
          <w:i w:val="0"/>
          <w:caps w:val="0"/>
          <w:color w:val="000000"/>
          <w:spacing w:val="0"/>
          <w:sz w:val="32"/>
          <w:szCs w:val="32"/>
          <w:bdr w:val="none" w:color="auto" w:sz="0" w:space="0"/>
          <w:shd w:val="clear" w:fill="FFFFFF"/>
        </w:rPr>
        <w:t>工业和信息化部、交通运输部、民政部等按职责分工负责</w:t>
      </w:r>
      <w:r>
        <w:rPr>
          <w:rFonts w:hint="default" w:ascii="仿宋_GB2312" w:hAnsi="宋体" w:eastAsia="仿宋_GB2312" w:cs="仿宋_GB2312"/>
          <w:i w:val="0"/>
          <w:caps w:val="0"/>
          <w:color w:val="333333"/>
          <w:spacing w:val="0"/>
          <w:sz w:val="32"/>
          <w:szCs w:val="32"/>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27"/>
        <w:jc w:val="both"/>
        <w:rPr>
          <w:rFonts w:hint="eastAsia" w:ascii="宋体" w:hAnsi="宋体" w:eastAsia="宋体" w:cs="宋体"/>
          <w:i w:val="0"/>
          <w:caps w:val="0"/>
          <w:color w:val="333333"/>
          <w:spacing w:val="0"/>
          <w:sz w:val="14"/>
          <w:szCs w:val="14"/>
        </w:rPr>
      </w:pPr>
      <w:r>
        <w:rPr>
          <w:rFonts w:hint="default" w:ascii="楷体_GB2312" w:hAnsi="宋体" w:eastAsia="楷体_GB2312" w:cs="楷体_GB2312"/>
          <w:b w:val="0"/>
          <w:i w:val="0"/>
          <w:caps w:val="0"/>
          <w:color w:val="333333"/>
          <w:spacing w:val="0"/>
          <w:sz w:val="32"/>
          <w:szCs w:val="32"/>
          <w:bdr w:val="none" w:color="auto" w:sz="0" w:space="0"/>
          <w:shd w:val="clear" w:fill="FFFFFF"/>
        </w:rPr>
        <w:t>（二十一）强化企业主体责任</w:t>
      </w:r>
      <w:r>
        <w:rPr>
          <w:rFonts w:hint="default" w:ascii="仿宋_GB2312" w:hAnsi="宋体" w:eastAsia="仿宋_GB2312" w:cs="仿宋_GB2312"/>
          <w:i w:val="0"/>
          <w:caps w:val="0"/>
          <w:color w:val="000000"/>
          <w:spacing w:val="0"/>
          <w:sz w:val="32"/>
          <w:szCs w:val="32"/>
          <w:bdr w:val="none" w:color="auto" w:sz="0" w:space="0"/>
          <w:shd w:val="clear" w:fill="FFFFFF"/>
        </w:rPr>
        <w:t>。全面落实企业及其负责人质量责任，引导企业建立健全质量管理和质量追溯体系，</w:t>
      </w:r>
      <w:r>
        <w:rPr>
          <w:rFonts w:hint="default" w:ascii="仿宋_GB2312" w:hAnsi="Calibri" w:eastAsia="仿宋_GB2312" w:cs="仿宋_GB2312"/>
          <w:i w:val="0"/>
          <w:caps w:val="0"/>
          <w:color w:val="000000"/>
          <w:spacing w:val="0"/>
          <w:sz w:val="32"/>
          <w:szCs w:val="32"/>
          <w:bdr w:val="none" w:color="auto" w:sz="0" w:space="0"/>
          <w:shd w:val="clear" w:fill="FFFFFF"/>
        </w:rPr>
        <w:t>加强全员、全过程、全方位质量管理</w:t>
      </w:r>
      <w:r>
        <w:rPr>
          <w:rFonts w:hint="default" w:ascii="仿宋_GB2312" w:hAnsi="宋体" w:eastAsia="仿宋_GB2312" w:cs="仿宋_GB2312"/>
          <w:i w:val="0"/>
          <w:caps w:val="0"/>
          <w:color w:val="000000"/>
          <w:spacing w:val="0"/>
          <w:sz w:val="32"/>
          <w:szCs w:val="32"/>
          <w:bdr w:val="none" w:color="auto" w:sz="0" w:space="0"/>
          <w:shd w:val="clear" w:fill="FFFFFF"/>
        </w:rPr>
        <w:t>。推动企业对提供的产品和服务进行公开质量承诺</w:t>
      </w:r>
      <w:r>
        <w:rPr>
          <w:rFonts w:hint="default" w:ascii="仿宋_GB2312" w:hAnsi="Calibri" w:eastAsia="仿宋_GB2312" w:cs="仿宋_GB2312"/>
          <w:i w:val="0"/>
          <w:caps w:val="0"/>
          <w:color w:val="000000"/>
          <w:spacing w:val="0"/>
          <w:sz w:val="32"/>
          <w:szCs w:val="32"/>
          <w:bdr w:val="none" w:color="auto" w:sz="0" w:space="0"/>
          <w:shd w:val="clear" w:fill="FFFFFF"/>
        </w:rPr>
        <w:t>，</w:t>
      </w:r>
      <w:r>
        <w:rPr>
          <w:rFonts w:hint="default" w:ascii="仿宋_GB2312" w:hAnsi="宋体" w:eastAsia="仿宋_GB2312" w:cs="仿宋_GB2312"/>
          <w:i w:val="0"/>
          <w:caps w:val="0"/>
          <w:color w:val="000000"/>
          <w:spacing w:val="0"/>
          <w:sz w:val="32"/>
          <w:szCs w:val="32"/>
          <w:bdr w:val="none" w:color="auto" w:sz="0" w:space="0"/>
          <w:shd w:val="clear" w:fill="FFFFFF"/>
        </w:rPr>
        <w:t>严格履行缺陷召回、质量担保责任和消费者权益保护等法定义务。鼓励企业设立首席质量官，深入实施企业标准“领跑者”制度和团体标准“领先者”行动，广泛开展对标达标质量提升专项行动。</w:t>
      </w:r>
      <w:r>
        <w:rPr>
          <w:rFonts w:hint="default" w:ascii="楷体_GB2312" w:hAnsi="宋体" w:eastAsia="楷体_GB2312" w:cs="楷体_GB2312"/>
          <w:i w:val="0"/>
          <w:caps w:val="0"/>
          <w:color w:val="000000"/>
          <w:spacing w:val="0"/>
          <w:sz w:val="32"/>
          <w:szCs w:val="32"/>
          <w:bdr w:val="none" w:color="auto" w:sz="0" w:space="0"/>
          <w:shd w:val="clear" w:fill="FFFFFF"/>
        </w:rPr>
        <w:t>（市场监管总局、住房城乡建设部、工业和信息化部、国务院国资委、全国工商联、教育部、全国总工会、共青团中央</w:t>
      </w:r>
      <w:r>
        <w:rPr>
          <w:rFonts w:hint="default" w:ascii="楷体_GB2312" w:hAnsi="宋体" w:eastAsia="楷体_GB2312" w:cs="楷体_GB2312"/>
          <w:i w:val="0"/>
          <w:caps w:val="0"/>
          <w:color w:val="333333"/>
          <w:spacing w:val="0"/>
          <w:sz w:val="32"/>
          <w:szCs w:val="32"/>
          <w:bdr w:val="none" w:color="auto" w:sz="0" w:space="0"/>
          <w:shd w:val="clear" w:fill="FFFFFF"/>
        </w:rPr>
        <w:t>等</w:t>
      </w:r>
      <w:r>
        <w:rPr>
          <w:rFonts w:hint="default" w:ascii="楷体_GB2312" w:hAnsi="宋体" w:eastAsia="楷体_GB2312" w:cs="楷体_GB2312"/>
          <w:i w:val="0"/>
          <w:caps w:val="0"/>
          <w:color w:val="000000"/>
          <w:spacing w:val="0"/>
          <w:sz w:val="32"/>
          <w:szCs w:val="32"/>
          <w:bdr w:val="none" w:color="auto" w:sz="0" w:space="0"/>
          <w:shd w:val="clear" w:fill="FFFFFF"/>
        </w:rPr>
        <w:t>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27"/>
        <w:jc w:val="left"/>
        <w:rPr>
          <w:rFonts w:hint="eastAsia" w:ascii="宋体" w:hAnsi="宋体" w:eastAsia="宋体" w:cs="宋体"/>
          <w:i w:val="0"/>
          <w:caps w:val="0"/>
          <w:color w:val="333333"/>
          <w:spacing w:val="0"/>
          <w:sz w:val="14"/>
          <w:szCs w:val="14"/>
        </w:rPr>
      </w:pPr>
      <w:r>
        <w:rPr>
          <w:rFonts w:hint="default" w:ascii="楷体_GB2312" w:hAnsi="宋体" w:eastAsia="楷体_GB2312" w:cs="楷体_GB2312"/>
          <w:b w:val="0"/>
          <w:i w:val="0"/>
          <w:caps w:val="0"/>
          <w:color w:val="333333"/>
          <w:spacing w:val="0"/>
          <w:sz w:val="32"/>
          <w:szCs w:val="32"/>
          <w:bdr w:val="none" w:color="auto" w:sz="0" w:space="0"/>
          <w:shd w:val="clear" w:fill="FFFFFF"/>
        </w:rPr>
        <w:t>（二十二）发挥示范引领作用。</w:t>
      </w:r>
      <w:r>
        <w:rPr>
          <w:rFonts w:hint="default" w:ascii="仿宋_GB2312" w:hAnsi="宋体" w:eastAsia="仿宋_GB2312" w:cs="仿宋_GB2312"/>
          <w:i w:val="0"/>
          <w:caps w:val="0"/>
          <w:color w:val="000000"/>
          <w:spacing w:val="0"/>
          <w:sz w:val="32"/>
          <w:szCs w:val="32"/>
          <w:bdr w:val="none" w:color="auto" w:sz="0" w:space="0"/>
          <w:shd w:val="clear" w:fill="FFFFFF"/>
        </w:rPr>
        <w:t>推进质量强国标杆城市和质量品牌提升示范区建设。鼓励地方在产业集聚区创新激励举措，深入实施质量提升行动。进一步做好中国质量奖和各地政府质量奖评选表彰活动，建立先进质量管理经验长效宣传推广机制。强化政府质量工作考核和督查激励，加强新闻宣传和舆论引导，广泛开展群众性质量活动，营造人人关心、参与、推动质量提升的良好氛围。</w:t>
      </w:r>
      <w:r>
        <w:rPr>
          <w:rFonts w:hint="default" w:ascii="楷体_GB2312" w:hAnsi="宋体" w:eastAsia="楷体_GB2312" w:cs="楷体_GB2312"/>
          <w:b w:val="0"/>
          <w:i w:val="0"/>
          <w:caps w:val="0"/>
          <w:color w:val="333333"/>
          <w:spacing w:val="0"/>
          <w:sz w:val="32"/>
          <w:szCs w:val="32"/>
          <w:bdr w:val="none" w:color="auto" w:sz="0" w:space="0"/>
          <w:shd w:val="clear" w:fill="FFFFFF"/>
        </w:rPr>
        <w:t>（市场监管总局、中央宣传部、广电总局、工业和信息化部等按职责分工负责）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28"/>
        <w:jc w:val="left"/>
        <w:rPr>
          <w:rFonts w:hint="eastAsia" w:ascii="宋体" w:hAnsi="宋体" w:eastAsia="宋体" w:cs="宋体"/>
          <w:i w:val="0"/>
          <w:caps w:val="0"/>
          <w:color w:val="333333"/>
          <w:spacing w:val="0"/>
          <w:sz w:val="14"/>
          <w:szCs w:val="14"/>
        </w:rPr>
      </w:pPr>
      <w:r>
        <w:rPr>
          <w:rFonts w:hint="default" w:ascii="仿宋_GB2312" w:hAnsi="宋体" w:eastAsia="仿宋_GB2312" w:cs="仿宋_GB2312"/>
          <w:i w:val="0"/>
          <w:caps w:val="0"/>
          <w:color w:val="000000"/>
          <w:spacing w:val="0"/>
          <w:sz w:val="32"/>
          <w:szCs w:val="32"/>
          <w:bdr w:val="none" w:color="auto" w:sz="0" w:space="0"/>
          <w:shd w:val="clear" w:fill="FFFFFF"/>
        </w:rPr>
        <w:t>各地区、各有关部门要加强组织领导，将提高产品、工程和服务质量作为建设质量强国、推动高质量发展的重要内容纳入重要议事日程，结合实际制定具体方案，完善配套政策措施，认真抓好贯彻落实。市场监管总局要会同有关部门加强统筹协调，将任务落实情况纳入政府质量工作考核和质量奖励、示范、督查激励等工作，确保各项任务落地见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9D2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2022-11-11T07:47:17Z</dcterms:created>
  <dc:creator>weiny</dc:creator>
  <cp:lastModifiedBy>泠.酒祈</cp:lastModifiedBy>
  <dcterms:modified xsi:type="dcterms:W3CDTF">2022-11-11T07:47:26Z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