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0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</w:rPr>
        <w:t>第七届中国创新挑战赛（扬州）挑战者获奖名单</w:t>
      </w:r>
    </w:p>
    <w:tbl>
      <w:tblPr>
        <w:tblW w:w="12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3834"/>
        <w:gridCol w:w="2868"/>
        <w:gridCol w:w="1692"/>
        <w:gridCol w:w="2020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企业技术需求名称</w:t>
            </w: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需求企业名称</w:t>
            </w:r>
          </w:p>
        </w:tc>
        <w:tc>
          <w:tcPr>
            <w:tcW w:w="1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主要挑战者</w:t>
            </w:r>
          </w:p>
        </w:tc>
        <w:tc>
          <w:tcPr>
            <w:tcW w:w="2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挑战者单位</w:t>
            </w:r>
          </w:p>
        </w:tc>
        <w:tc>
          <w:tcPr>
            <w:tcW w:w="1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再生骨料及再生混凝土的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应用研究</w:t>
            </w:r>
          </w:p>
        </w:tc>
        <w:tc>
          <w:tcPr>
            <w:tcW w:w="28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江苏和天下节能科技股份有限公司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康爱红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扬州大学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吴瑞东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北京科技大学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佘安明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同济大学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磷酸铁锂电池寿命预测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技术开发</w:t>
            </w:r>
          </w:p>
        </w:tc>
        <w:tc>
          <w:tcPr>
            <w:tcW w:w="28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江苏中兴派能电池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陈泽宇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东北大学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孟锦豪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四川大学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韩雪冰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清华大学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8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机器视觉分级与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AI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人工智能化控制相结合的技术产业化</w:t>
            </w:r>
          </w:p>
        </w:tc>
        <w:tc>
          <w:tcPr>
            <w:tcW w:w="28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扬州福尔喜果蔬汁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机械有限公司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薛林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大连理工大学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袁雪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北京交通大学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李翊俊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扬州智能视觉研究所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复杂工况用高效节能振动电机关键技术的研发及产业化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扬州宝飞优斯特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振动器制造有限公司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孙晓东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智慧路灯控制、监测与数据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管理一体化平台开发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龙腾照明集团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股份有限公司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董学枢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扬州工业职业技术学院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智能旅居车集成管理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系统研发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江苏卫航汽车通信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科技有限责任公司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薛红涛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割草机器人柔性传动系统的研发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扬州维邦园林机械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冯辰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扬州工业职业技术学院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面向高锰奥氏体低温钢材质的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LNG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储运装备建造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产业化关键核心技术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招商局金陵鼎衡船舶（扬州）有限公司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王红鸿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武汉科技大学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足式机器人新一代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液压驱动系统研发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江苏亚力亚气动液压成套设备有限公司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巴凯先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燕山大学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提高粉末冶金气门座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材料的性能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仪征市昌达粉末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冶金制品有限公司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邹军涛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西安理工大学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基于人工智能的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PET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图像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重建与处理算法研究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江苏赛诺格兰医疗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科技有限公司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陈芳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南京航空航天大学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智慧城市综合杆件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模块化、标准化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神州交通工程集团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朱忠攀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同济大学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城市污水处理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AOA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节碳降耗技术及装备的研发与产业化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江苏天雨环保集团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彭永臻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北京工业大学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鼓励奖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cinecapti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necaption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095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2022-11-18T12:14:17Z</dcterms:created>
  <dc:creator>Administrator</dc:creator>
  <cp:lastModifiedBy>阿淼</cp:lastModifiedBy>
  <dcterms:modified xsi:type="dcterms:W3CDTF">2022-11-18T12:14:47Z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689A676563494BEB84EEB55A0D652D2F</vt:lpwstr>
  </property>
</Properties>
</file>