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0" w:lineRule="atLeast"/>
        <w:jc w:val="center"/>
      </w:pPr>
      <w:r>
        <w:rPr>
          <w:rFonts w:ascii="宋体" w:hAnsi="宋体" w:eastAsia="宋体" w:cs="宋体"/>
          <w:sz w:val="24"/>
          <w:szCs w:val="24"/>
        </w:rPr>
        <w:t>科技部火炬中心关于开展2022年度国家级科技企业孵化器申报工作的通知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jc w:val="center"/>
      </w:pPr>
      <w:r>
        <w:rPr>
          <w:rStyle w:val="6"/>
          <w:rFonts w:ascii="仿宋" w:hAnsi="仿宋" w:eastAsia="仿宋" w:cs="仿宋"/>
          <w:sz w:val="18"/>
          <w:szCs w:val="18"/>
        </w:rPr>
        <w:t>国科火字〔2022〕194号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jc w:val="both"/>
      </w:pPr>
      <w:r>
        <w:rPr>
          <w:rFonts w:ascii="微软雅黑" w:hAnsi="微软雅黑" w:eastAsia="微软雅黑" w:cs="微软雅黑"/>
          <w:sz w:val="18"/>
          <w:szCs w:val="18"/>
        </w:rPr>
        <w:t>各省、自治区、直辖市及计划单列市科技厅（委、局），新疆生产建设兵团科技局：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为贯彻落实党的二十大精神，加快实施创新驱动发展战略，加快实现高水平科技自立自强，促进创业孵化机构体系化、专业化建设，推动科技创新创业高质量发展，形成示范带动效应，按照《科技企业孵化器管理办法》（国科发区〔2018〕300号）相关要求组织开展2022年度国家级科技企业孵化器申报工作，有关事项通知如下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一、参加本年度申报的孵化机构注册成立和实际运营起始时间须在2019年10月31日之前。申报机构通过统一身份认证与单点登录平台中的“科技创业孵化机构信息服务系统”（https://tyrz.chinatorch.org.cn/hjismp/a/login#fhqqy）进入，在线填报相关信息，具体操作见附件1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二、省级科技厅（委、局）负责组织专家进行评审并实地核查。应严格按照《科技企业孵化器管理办法》有关要求制定工作方案，并建立相关廉政风险防控机制。评审结果应对外公示，公示内容包括孵化器的法人主体名称、孵化场地地址及面积、在孵/毕业企业数量及名单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三、请各省级科技厅（委、局）于2022年12月15日前来函，将公示无异议机构推荐到科技部火炬中心，并附推荐材料（纸质原件）一份。相关专家评审及实地核查意见须上传至“科技创业孵化机构信息服务系统”，逾期不再受理。推荐材料包括：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1.2022年度申报国家级科技企业孵化器推荐表（附件2）。由“科技创业孵化机构信息服务系统”自动生成，省级科技厅（委、局）下载打印并加盖公章；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2.国家级科技企业孵化器申报书（附件3）。申报机构在线填报完成后，下载打印并加盖公章；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3.专家评审意见、实地核查意见、专家信息表（附件4）。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四、科技部火炬中心将组织专家对推荐申报材料进行审核并公示结果，合格机构以科技部文件形式确认为国家级科技企业孵化器。对申报材料存在弄虚作假等行为的机构，将取消其国家级科技企业孵化器申报资格。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联系人：殷正正、冯雪磊、刘祯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电话：010-88656207、6201、6202（业务咨询）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010-88656315（技术支持）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邮寄地址：北京市西城区三里河二区甲18号，科技部火炬中心孵化器管理处，100045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1.科技创业孵化机构信息服务系统操作手册（国家级科技企业孵化器申报） 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2.2022年度申报国家级科技企业孵化器推荐表 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3.国家级科技企业孵化器申报书 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4.专家信息表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10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sz w:val="18"/>
          <w:szCs w:val="18"/>
        </w:rPr>
        <w:t>科技部火炬中心 </w:t>
      </w:r>
    </w:p>
    <w:p>
      <w:pPr>
        <w:pStyle w:val="3"/>
        <w:keepNext w:val="0"/>
        <w:keepLines w:val="0"/>
        <w:widowControl/>
        <w:suppressLineNumbers w:val="0"/>
        <w:spacing w:line="10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sz w:val="18"/>
          <w:szCs w:val="18"/>
        </w:rPr>
        <w:t>2022年11月18日</w:t>
      </w:r>
    </w:p>
    <w:p>
      <w:pPr>
        <w:pStyle w:val="3"/>
        <w:keepNext w:val="0"/>
        <w:keepLines w:val="0"/>
        <w:widowControl/>
        <w:suppressLineNumbers w:val="0"/>
        <w:spacing w:line="20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  <w:sz w:val="18"/>
          <w:szCs w:val="18"/>
        </w:rPr>
        <w:t>（此件主动公开）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2022-11-29T09:40:52Z</dcterms:created>
  <dc:creator>weiny</dc:creator>
  <cp:lastModifiedBy>泠.酒祈</cp:lastModifiedBy>
  <dcterms:modified xsi:type="dcterms:W3CDTF">2022-11-29T09:41:10Z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