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南通市外商投资股权投资企业试点办法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征求意见稿</w:t>
      </w:r>
      <w:r>
        <w:rPr>
          <w:rFonts w:hint="eastAsia" w:ascii="方正小标宋_GBK" w:hAnsi="方正小标宋_GBK" w:eastAsia="方正小标宋_GBK" w:cs="方正小标宋_GBK"/>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方正黑体_GBK" w:hAnsi="方正黑体_GBK" w:eastAsia="方正黑体_GBK" w:cs="方正黑体_GBK"/>
          <w:sz w:val="32"/>
          <w:szCs w:val="32"/>
          <w:lang w:val="en-US" w:eastAsia="zh-CN"/>
        </w:rPr>
      </w:pPr>
      <w:r>
        <w:rPr>
          <w:rFonts w:hint="eastAsia" w:ascii="黑体" w:hAnsi="黑体" w:eastAsia="黑体" w:cs="黑体"/>
          <w:sz w:val="32"/>
          <w:szCs w:val="32"/>
        </w:rPr>
        <w:t>第一章   总  则</w:t>
      </w:r>
      <w:r>
        <w:rPr>
          <w:rFonts w:hint="eastAsia" w:ascii="方正黑体_GBK" w:hAnsi="方正黑体_GBK" w:eastAsia="方正黑体_GBK" w:cs="方正黑体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eastAsia="仿宋_GB2312"/>
          <w:sz w:val="32"/>
          <w:szCs w:val="32"/>
        </w:rPr>
      </w:pPr>
      <w:r>
        <w:rPr>
          <w:rFonts w:eastAsia="仿宋_GB2312"/>
          <w:sz w:val="32"/>
          <w:szCs w:val="32"/>
        </w:rPr>
        <w:t>　　</w:t>
      </w:r>
      <w:r>
        <w:rPr>
          <w:rFonts w:eastAsia="仿宋_GB2312"/>
          <w:b/>
          <w:bCs/>
          <w:sz w:val="32"/>
          <w:szCs w:val="32"/>
        </w:rPr>
        <w:t>第一条</w:t>
      </w:r>
      <w:r>
        <w:rPr>
          <w:rFonts w:hint="eastAsia" w:ascii="方正仿宋_GBK" w:hAnsi="方正仿宋_GBK" w:eastAsia="方正仿宋_GBK" w:cs="方正仿宋_GBK"/>
          <w:b/>
          <w:bCs/>
          <w:sz w:val="32"/>
          <w:szCs w:val="32"/>
        </w:rPr>
        <w:t>  </w:t>
      </w:r>
      <w:r>
        <w:rPr>
          <w:rFonts w:eastAsia="仿宋_GB2312"/>
          <w:sz w:val="32"/>
          <w:szCs w:val="32"/>
        </w:rPr>
        <w:t>为贯彻落实《国务院关于进一步做好利用外资工作的意见》（国发〔</w:t>
      </w:r>
      <w:r>
        <w:rPr>
          <w:rFonts w:ascii="Times New Roman" w:hAnsi="Times New Roman" w:eastAsia="仿宋_GB2312"/>
          <w:sz w:val="32"/>
          <w:szCs w:val="32"/>
        </w:rPr>
        <w:t>2019</w:t>
      </w:r>
      <w:r>
        <w:rPr>
          <w:rFonts w:eastAsia="仿宋_GB2312"/>
          <w:sz w:val="32"/>
          <w:szCs w:val="32"/>
        </w:rPr>
        <w:t>〕</w:t>
      </w:r>
      <w:r>
        <w:rPr>
          <w:rFonts w:ascii="Times New Roman" w:hAnsi="Times New Roman" w:eastAsia="仿宋_GB2312"/>
          <w:sz w:val="32"/>
          <w:szCs w:val="32"/>
        </w:rPr>
        <w:t>23</w:t>
      </w:r>
      <w:r>
        <w:rPr>
          <w:rFonts w:eastAsia="仿宋_GB2312"/>
          <w:sz w:val="32"/>
          <w:szCs w:val="32"/>
        </w:rPr>
        <w:t>号）文件精神和省委、省政府关于稳外资工作的决策部署，规范外商投资股权投资类企业在南通的设立、运作，促进外商投资股权投资类企业在南通的健康发展，根据有关法律法规及相关规定，制定本试点办法。</w:t>
      </w: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eastAsia="仿宋_GB2312"/>
          <w:sz w:val="32"/>
          <w:szCs w:val="32"/>
        </w:rPr>
      </w:pPr>
      <w:r>
        <w:rPr>
          <w:rFonts w:eastAsia="仿宋_GB2312"/>
          <w:sz w:val="32"/>
          <w:szCs w:val="32"/>
        </w:rPr>
        <w:t>　　</w:t>
      </w:r>
      <w:r>
        <w:rPr>
          <w:rFonts w:eastAsia="仿宋_GB2312"/>
          <w:b/>
          <w:bCs/>
          <w:sz w:val="32"/>
          <w:szCs w:val="32"/>
        </w:rPr>
        <w:t>第二条</w:t>
      </w:r>
      <w:r>
        <w:rPr>
          <w:rFonts w:hint="eastAsia" w:ascii="方正仿宋_GBK" w:hAnsi="方正仿宋_GBK" w:eastAsia="方正仿宋_GBK" w:cs="方正仿宋_GBK"/>
          <w:b/>
          <w:bCs/>
          <w:sz w:val="32"/>
          <w:szCs w:val="32"/>
        </w:rPr>
        <w:t>  </w:t>
      </w:r>
      <w:r>
        <w:rPr>
          <w:rFonts w:eastAsia="仿宋_GB2312"/>
          <w:sz w:val="32"/>
          <w:szCs w:val="32"/>
        </w:rPr>
        <w:t>本办法所称的外商投资股权投资类试点企业包含外商投资股权投资管理企业和外商投资股权投资企业，可以采用合伙制、公司制等组织形式，一般按照外商投资企业进行管理。</w:t>
      </w: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eastAsia="仿宋_GB2312"/>
          <w:sz w:val="32"/>
          <w:szCs w:val="32"/>
        </w:rPr>
      </w:pPr>
      <w:r>
        <w:rPr>
          <w:rFonts w:eastAsia="仿宋_GB2312"/>
          <w:sz w:val="32"/>
          <w:szCs w:val="32"/>
        </w:rPr>
        <w:t>　　本办法所称的外商投资股权投资管理企业，是指经南通市有关部门会商认定的，在南通市依法由外国的自然人或企业参与投资设立的</w:t>
      </w:r>
      <w:r>
        <w:rPr>
          <w:rFonts w:hint="eastAsia" w:eastAsia="仿宋_GB2312"/>
          <w:sz w:val="32"/>
          <w:szCs w:val="32"/>
        </w:rPr>
        <w:t>，</w:t>
      </w:r>
      <w:r>
        <w:rPr>
          <w:rFonts w:eastAsia="仿宋_GB2312"/>
          <w:sz w:val="32"/>
          <w:szCs w:val="32"/>
        </w:rPr>
        <w:t>以发起设立股权投资企业、受托管理股权投资企业为主要经营业务的企业。</w:t>
      </w: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eastAsia="仿宋_GB2312"/>
          <w:sz w:val="32"/>
          <w:szCs w:val="32"/>
        </w:rPr>
      </w:pPr>
      <w:r>
        <w:rPr>
          <w:rFonts w:eastAsia="仿宋_GB2312"/>
          <w:sz w:val="32"/>
          <w:szCs w:val="32"/>
        </w:rPr>
        <w:t>　　本办法所称的外商投资股权投资企业，是指经南通市有关部门会商认定的，在南通市依法由外国的自然人或企业参与投资设立的、以非公开方式向境内外投资者募集资金，为投资者的利益进行股权投资活动的企业。</w:t>
      </w: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eastAsia="仿宋_GB2312"/>
          <w:sz w:val="32"/>
          <w:szCs w:val="32"/>
        </w:rPr>
      </w:pPr>
      <w:r>
        <w:rPr>
          <w:rFonts w:eastAsia="仿宋_GB2312"/>
          <w:sz w:val="32"/>
          <w:szCs w:val="32"/>
        </w:rPr>
        <w:t>　　本办法所称高级管理人员，是指担任董事、监事、副总经理及以上职务或相当职务的管理人员。</w:t>
      </w: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eastAsia="仿宋_GB2312"/>
          <w:sz w:val="32"/>
          <w:szCs w:val="32"/>
        </w:rPr>
      </w:pPr>
      <w:r>
        <w:rPr>
          <w:rFonts w:eastAsia="仿宋_GB2312"/>
          <w:b/>
          <w:bCs/>
          <w:sz w:val="32"/>
          <w:szCs w:val="32"/>
        </w:rPr>
        <w:t>　　第三条</w:t>
      </w:r>
      <w:r>
        <w:rPr>
          <w:rFonts w:hint="eastAsia" w:ascii="方正仿宋_GBK" w:hAnsi="方正仿宋_GBK" w:eastAsia="方正仿宋_GBK" w:cs="方正仿宋_GBK"/>
          <w:b/>
          <w:bCs/>
          <w:sz w:val="32"/>
          <w:szCs w:val="32"/>
          <w:lang w:val="en-US" w:eastAsia="zh-CN"/>
        </w:rPr>
        <w:t xml:space="preserve"> </w:t>
      </w:r>
      <w:r>
        <w:rPr>
          <w:rFonts w:eastAsia="仿宋_GB2312"/>
          <w:sz w:val="32"/>
          <w:szCs w:val="32"/>
        </w:rPr>
        <w:t>南通市外商投资股权投资企业试点工作由市地方金融监管局会同市商务局、人民银行南通市中心支行等部门建立联合会商工作机制，各有关部门按照国家有关规定，结合各自职责，协调解决试点过程中的有关问题，共同推进本市外商投资股权投资企业试点工作。南通市外商投资股权投资企业试点工作联系部门设在市地方金融监管局。</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eastAsia" w:eastAsia="仿宋_GB2312"/>
          <w:sz w:val="32"/>
          <w:szCs w:val="32"/>
        </w:rPr>
      </w:pPr>
      <w:r>
        <w:rPr>
          <w:rFonts w:hint="eastAsia" w:eastAsia="仿宋_GB2312"/>
          <w:b/>
          <w:bCs/>
          <w:sz w:val="32"/>
          <w:szCs w:val="32"/>
        </w:rPr>
        <w:t>第四条  </w:t>
      </w:r>
      <w:r>
        <w:rPr>
          <w:rFonts w:hint="eastAsia" w:eastAsia="仿宋_GB2312"/>
          <w:sz w:val="32"/>
          <w:szCs w:val="32"/>
        </w:rPr>
        <w:t>外商投资股权投资类企业的外国投资者用于出资的货币应当为可自由兑换的货币、境外人民币或其在中国境内获得的人民币利润或因转股、清算等活动获得的人民币合法收益，中国投资者</w:t>
      </w:r>
      <w:r>
        <w:rPr>
          <w:rFonts w:hint="eastAsia" w:eastAsia="仿宋_GB2312"/>
          <w:sz w:val="32"/>
          <w:szCs w:val="32"/>
          <w:lang w:val="en-US" w:eastAsia="zh-CN"/>
        </w:rPr>
        <w:t>必须</w:t>
      </w:r>
      <w:r>
        <w:rPr>
          <w:rFonts w:hint="eastAsia" w:eastAsia="仿宋_GB2312"/>
          <w:sz w:val="32"/>
          <w:szCs w:val="32"/>
        </w:rPr>
        <w:t>以人民币出资。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eastAsia" w:eastAsia="仿宋_GB2312"/>
          <w:sz w:val="32"/>
          <w:szCs w:val="32"/>
        </w:rPr>
      </w:pPr>
      <w:r>
        <w:rPr>
          <w:rFonts w:hint="eastAsia" w:eastAsia="仿宋_GB2312"/>
          <w:b/>
          <w:bCs/>
          <w:sz w:val="32"/>
          <w:szCs w:val="32"/>
        </w:rPr>
        <w:t>第五条  </w:t>
      </w:r>
      <w:r>
        <w:rPr>
          <w:rFonts w:hint="eastAsia" w:eastAsia="仿宋_GB2312"/>
          <w:sz w:val="32"/>
          <w:szCs w:val="32"/>
        </w:rPr>
        <w:t>外商投资股权投资类企业应当按照《中华人民共和国公司法》《中华人民共和国合伙企业法》《中华人民共和国外商投资法》《私募投资基金监督管理暂行办法》等法律法规发起设立，注册登记，并应当符合中国证券投资基金业协会关于私募基金管理人登记和私募基金备案要求，不得从事法律法规禁止从事的事项。</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eastAsia" w:eastAsia="仿宋_GB2312"/>
          <w:sz w:val="32"/>
          <w:szCs w:val="32"/>
          <w:lang w:val="en-US" w:eastAsia="zh-CN"/>
        </w:rPr>
      </w:pPr>
      <w:r>
        <w:rPr>
          <w:rFonts w:hint="eastAsia" w:eastAsia="仿宋_GB2312"/>
          <w:b/>
          <w:bCs/>
          <w:sz w:val="32"/>
          <w:szCs w:val="32"/>
        </w:rPr>
        <w:t>第六条 </w:t>
      </w:r>
      <w:r>
        <w:rPr>
          <w:rFonts w:hint="eastAsia" w:eastAsia="仿宋_GB2312"/>
          <w:sz w:val="32"/>
          <w:szCs w:val="32"/>
        </w:rPr>
        <w:t> 外商投资股权投资类</w:t>
      </w:r>
      <w:r>
        <w:rPr>
          <w:rFonts w:hint="eastAsia" w:eastAsia="仿宋_GB2312"/>
          <w:sz w:val="32"/>
          <w:szCs w:val="32"/>
          <w:lang w:val="en-US" w:eastAsia="zh-CN"/>
        </w:rPr>
        <w:t>试点</w:t>
      </w:r>
      <w:r>
        <w:rPr>
          <w:rFonts w:hint="eastAsia" w:eastAsia="仿宋_GB2312"/>
          <w:sz w:val="32"/>
          <w:szCs w:val="32"/>
        </w:rPr>
        <w:t>企业名称应符合相关监管部门关于试点企业命名的要求。除试点企业外，其他外商投资企业不得在名称中使用“股权投资”“股权投资管理”等字样。</w:t>
      </w:r>
      <w:r>
        <w:rPr>
          <w:rFonts w:hint="eastAsia"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eastAsia="仿宋_GB2312"/>
          <w:color w:val="FF0000"/>
          <w:sz w:val="32"/>
          <w:szCs w:val="32"/>
        </w:rPr>
      </w:pPr>
      <w:r>
        <w:rPr>
          <w:rFonts w:hint="eastAsia" w:eastAsia="仿宋_GB2312"/>
          <w:b/>
          <w:bCs/>
          <w:sz w:val="32"/>
          <w:szCs w:val="32"/>
        </w:rPr>
        <w:t>第</w:t>
      </w:r>
      <w:r>
        <w:rPr>
          <w:rFonts w:hint="eastAsia" w:eastAsia="仿宋_GB2312"/>
          <w:b/>
          <w:bCs/>
          <w:sz w:val="32"/>
          <w:szCs w:val="32"/>
          <w:lang w:val="en-US" w:eastAsia="zh-CN"/>
        </w:rPr>
        <w:t>七</w:t>
      </w:r>
      <w:r>
        <w:rPr>
          <w:rFonts w:hint="eastAsia" w:eastAsia="仿宋_GB2312"/>
          <w:b/>
          <w:bCs/>
          <w:sz w:val="32"/>
          <w:szCs w:val="32"/>
        </w:rPr>
        <w:t>条 </w:t>
      </w:r>
      <w:r>
        <w:rPr>
          <w:rFonts w:hint="eastAsia" w:eastAsia="仿宋_GB2312"/>
          <w:sz w:val="32"/>
          <w:szCs w:val="32"/>
        </w:rPr>
        <w:t> 外商投资股权投资类</w:t>
      </w:r>
      <w:r>
        <w:rPr>
          <w:rFonts w:hint="eastAsia" w:eastAsia="仿宋_GB2312"/>
          <w:sz w:val="32"/>
          <w:szCs w:val="32"/>
          <w:lang w:val="en-US" w:eastAsia="zh-CN"/>
        </w:rPr>
        <w:t>试点</w:t>
      </w:r>
      <w:r>
        <w:rPr>
          <w:rFonts w:hint="eastAsia" w:eastAsia="仿宋_GB2312"/>
          <w:sz w:val="32"/>
          <w:szCs w:val="32"/>
        </w:rPr>
        <w:t>企业</w:t>
      </w:r>
      <w:r>
        <w:rPr>
          <w:rFonts w:eastAsia="仿宋_GB2312"/>
          <w:sz w:val="32"/>
          <w:szCs w:val="32"/>
        </w:rPr>
        <w:t>应注册在南通市</w:t>
      </w:r>
      <w:r>
        <w:rPr>
          <w:rFonts w:hint="eastAsia" w:eastAsia="仿宋_GB2312"/>
          <w:sz w:val="32"/>
          <w:szCs w:val="32"/>
          <w:lang w:eastAsia="zh-CN"/>
        </w:rPr>
        <w:t>。发起设立或受托管理外商投资股权投资企业</w:t>
      </w:r>
      <w:r>
        <w:rPr>
          <w:rFonts w:hint="eastAsia" w:eastAsia="仿宋_GB2312"/>
          <w:sz w:val="32"/>
          <w:szCs w:val="32"/>
          <w:lang w:val="en-US" w:eastAsia="zh-CN"/>
        </w:rPr>
        <w:t>的</w:t>
      </w:r>
      <w:r>
        <w:rPr>
          <w:rFonts w:hint="eastAsia" w:eastAsia="仿宋_GB2312"/>
          <w:sz w:val="32"/>
          <w:szCs w:val="32"/>
          <w:lang w:eastAsia="zh-CN"/>
        </w:rPr>
        <w:t>内资股权投资管理企业，</w:t>
      </w:r>
      <w:r>
        <w:rPr>
          <w:rFonts w:hint="eastAsia" w:eastAsia="仿宋_GB2312"/>
          <w:sz w:val="32"/>
          <w:szCs w:val="32"/>
          <w:lang w:val="en-US" w:eastAsia="zh-CN"/>
        </w:rPr>
        <w:t>也</w:t>
      </w:r>
      <w:r>
        <w:rPr>
          <w:rFonts w:eastAsia="仿宋_GB2312"/>
          <w:sz w:val="32"/>
          <w:szCs w:val="32"/>
        </w:rPr>
        <w:t>应</w:t>
      </w:r>
      <w:r>
        <w:rPr>
          <w:rFonts w:hint="eastAsia" w:eastAsia="仿宋_GB2312"/>
          <w:sz w:val="32"/>
          <w:szCs w:val="32"/>
          <w:lang w:val="en-US" w:eastAsia="zh-CN"/>
        </w:rPr>
        <w:t>原则</w:t>
      </w:r>
      <w:r>
        <w:rPr>
          <w:rFonts w:eastAsia="仿宋_GB2312"/>
          <w:sz w:val="32"/>
          <w:szCs w:val="32"/>
        </w:rPr>
        <w:t>注册在南通市</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第二章 试点</w:t>
      </w:r>
      <w:r>
        <w:rPr>
          <w:rFonts w:hint="eastAsia" w:ascii="黑体" w:hAnsi="黑体" w:eastAsia="黑体" w:cs="黑体"/>
          <w:sz w:val="32"/>
          <w:szCs w:val="32"/>
          <w:lang w:val="en-US" w:eastAsia="zh-CN"/>
        </w:rPr>
        <w:t>内容</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楷体_GBK" w:hAnsi="方正楷体_GBK" w:eastAsia="方正楷体_GBK" w:cs="方正楷体_GBK"/>
          <w:b w:val="0"/>
          <w:bCs w:val="0"/>
          <w:sz w:val="32"/>
          <w:szCs w:val="32"/>
        </w:rPr>
      </w:pPr>
      <w:r>
        <w:rPr>
          <w:rFonts w:hint="eastAsia" w:ascii="楷体_GB2312" w:hAnsi="楷体_GB2312" w:eastAsia="楷体_GB2312" w:cs="楷体_GB2312"/>
          <w:b w:val="0"/>
          <w:bCs w:val="0"/>
          <w:sz w:val="32"/>
          <w:szCs w:val="32"/>
        </w:rPr>
        <w:t>第一节 外商投资股权投资管理企业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eastAsia="仿宋_GB2312"/>
          <w:sz w:val="32"/>
          <w:szCs w:val="32"/>
        </w:rPr>
      </w:pPr>
      <w:r>
        <w:rPr>
          <w:rFonts w:eastAsia="仿宋_GB2312"/>
          <w:b/>
          <w:bCs/>
          <w:sz w:val="32"/>
          <w:szCs w:val="32"/>
        </w:rPr>
        <w:t>第</w:t>
      </w:r>
      <w:r>
        <w:rPr>
          <w:rFonts w:hint="eastAsia" w:eastAsia="仿宋_GB2312"/>
          <w:b/>
          <w:bCs/>
          <w:sz w:val="32"/>
          <w:szCs w:val="32"/>
          <w:lang w:val="en-US" w:eastAsia="zh-CN"/>
        </w:rPr>
        <w:t>八</w:t>
      </w:r>
      <w:r>
        <w:rPr>
          <w:rFonts w:eastAsia="仿宋_GB2312"/>
          <w:b/>
          <w:bCs/>
          <w:sz w:val="32"/>
          <w:szCs w:val="32"/>
        </w:rPr>
        <w:t xml:space="preserve">条 </w:t>
      </w:r>
      <w:r>
        <w:rPr>
          <w:rFonts w:eastAsia="仿宋_GB2312"/>
          <w:sz w:val="32"/>
          <w:szCs w:val="32"/>
        </w:rPr>
        <w:t>申请试点的外商投资股权投资管理企业实缴出资额应不低于</w:t>
      </w:r>
      <w:r>
        <w:rPr>
          <w:rFonts w:ascii="Times New Roman" w:hAnsi="Times New Roman" w:eastAsia="仿宋_GB2312"/>
          <w:sz w:val="32"/>
          <w:szCs w:val="32"/>
        </w:rPr>
        <w:t>100</w:t>
      </w:r>
      <w:r>
        <w:rPr>
          <w:rFonts w:eastAsia="仿宋_GB2312"/>
          <w:sz w:val="32"/>
          <w:szCs w:val="32"/>
        </w:rPr>
        <w:t>万美元等值货币，出资方式限于货币资金。</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eastAsia="仿宋_GB2312"/>
          <w:sz w:val="32"/>
          <w:szCs w:val="32"/>
        </w:rPr>
      </w:pPr>
      <w:r>
        <w:rPr>
          <w:rFonts w:hint="eastAsia" w:ascii="Times New Roman" w:hAnsi="Times New Roman" w:eastAsia="仿宋_GB2312" w:cs="Times New Roman"/>
          <w:b/>
          <w:bCs/>
          <w:spacing w:val="0"/>
          <w:kern w:val="2"/>
          <w:sz w:val="32"/>
          <w:szCs w:val="32"/>
          <w:lang w:val="en-US" w:eastAsia="zh-CN" w:bidi="ar-SA"/>
        </w:rPr>
        <w:t>第</w:t>
      </w:r>
      <w:r>
        <w:rPr>
          <w:rFonts w:hint="eastAsia" w:eastAsia="仿宋_GB2312" w:cs="Times New Roman"/>
          <w:b/>
          <w:bCs/>
          <w:spacing w:val="0"/>
          <w:kern w:val="2"/>
          <w:sz w:val="32"/>
          <w:szCs w:val="32"/>
          <w:lang w:val="en-US" w:eastAsia="zh-CN" w:bidi="ar-SA"/>
        </w:rPr>
        <w:t>九</w:t>
      </w:r>
      <w:r>
        <w:rPr>
          <w:rFonts w:hint="eastAsia" w:ascii="Times New Roman" w:hAnsi="Times New Roman" w:eastAsia="仿宋_GB2312" w:cs="Times New Roman"/>
          <w:b/>
          <w:bCs/>
          <w:spacing w:val="0"/>
          <w:kern w:val="2"/>
          <w:sz w:val="32"/>
          <w:szCs w:val="32"/>
          <w:lang w:val="en-US" w:eastAsia="zh-CN" w:bidi="ar-SA"/>
        </w:rPr>
        <w:t>条  </w:t>
      </w:r>
      <w:r>
        <w:rPr>
          <w:rFonts w:eastAsia="仿宋_GB2312"/>
          <w:sz w:val="32"/>
          <w:szCs w:val="32"/>
        </w:rPr>
        <w:t>外商投资股权投资管理企业可以由外商独资或中外合资形式发起设立，其股东或合伙人应当符合以下条件：</w:t>
      </w: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eastAsia="仿宋_GB2312"/>
          <w:sz w:val="32"/>
          <w:szCs w:val="32"/>
        </w:rPr>
      </w:pPr>
      <w:r>
        <w:rPr>
          <w:rFonts w:eastAsia="仿宋_GB2312"/>
          <w:sz w:val="32"/>
          <w:szCs w:val="32"/>
        </w:rPr>
        <w:t>　　境外股东或合伙人应当满足以下条件之一：</w:t>
      </w: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eastAsia="仿宋_GB2312"/>
          <w:sz w:val="32"/>
          <w:szCs w:val="32"/>
        </w:rPr>
      </w:pPr>
      <w:r>
        <w:rPr>
          <w:rFonts w:eastAsia="仿宋_GB2312"/>
          <w:sz w:val="32"/>
          <w:szCs w:val="32"/>
        </w:rPr>
        <w:t>　　（一）在申请前的上一会计年度，具备自有资产（净资产）规模不低于</w:t>
      </w:r>
      <w:r>
        <w:rPr>
          <w:rFonts w:ascii="Times New Roman" w:hAnsi="Times New Roman" w:eastAsia="仿宋_GB2312"/>
          <w:sz w:val="32"/>
          <w:szCs w:val="32"/>
        </w:rPr>
        <w:t>5000</w:t>
      </w:r>
      <w:r>
        <w:rPr>
          <w:rFonts w:eastAsia="仿宋_GB2312"/>
          <w:sz w:val="32"/>
          <w:szCs w:val="32"/>
        </w:rPr>
        <w:t>万美元等值货币或者管理资产规模不低于</w:t>
      </w:r>
      <w:r>
        <w:rPr>
          <w:rFonts w:ascii="Times New Roman" w:hAnsi="Times New Roman" w:eastAsia="仿宋_GB2312"/>
          <w:sz w:val="32"/>
          <w:szCs w:val="32"/>
        </w:rPr>
        <w:t>1</w:t>
      </w:r>
      <w:r>
        <w:rPr>
          <w:rFonts w:eastAsia="仿宋_GB2312"/>
          <w:sz w:val="32"/>
          <w:szCs w:val="32"/>
        </w:rPr>
        <w:t>亿美元等值货币；</w:t>
      </w: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eastAsia="仿宋_GB2312"/>
          <w:sz w:val="32"/>
          <w:szCs w:val="32"/>
        </w:rPr>
      </w:pPr>
      <w:r>
        <w:rPr>
          <w:rFonts w:eastAsia="仿宋_GB2312"/>
          <w:sz w:val="32"/>
          <w:szCs w:val="32"/>
        </w:rPr>
        <w:t>　　（二）持有境外金融监管部门颁发的资产管理牌照。</w:t>
      </w: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eastAsia="仿宋_GB2312"/>
          <w:sz w:val="32"/>
          <w:szCs w:val="32"/>
        </w:rPr>
      </w:pPr>
      <w:r>
        <w:rPr>
          <w:rFonts w:eastAsia="仿宋_GB2312"/>
          <w:sz w:val="32"/>
          <w:szCs w:val="32"/>
        </w:rPr>
        <w:t>　　境内股东或合伙人应当满足以下条件之一：</w:t>
      </w: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eastAsia="仿宋_GB2312"/>
          <w:sz w:val="32"/>
          <w:szCs w:val="32"/>
        </w:rPr>
      </w:pPr>
      <w:r>
        <w:rPr>
          <w:rFonts w:eastAsia="仿宋_GB2312"/>
          <w:sz w:val="32"/>
          <w:szCs w:val="32"/>
        </w:rPr>
        <w:t>　　（一）商业银行、证券、保险、信托、金融租赁、公募基金管理等经国家金融监管部门批准的持牌金融机构或由其控股</w:t>
      </w:r>
      <w:r>
        <w:rPr>
          <w:rFonts w:ascii="Times New Roman" w:hAnsi="Times New Roman" w:eastAsia="仿宋_GB2312"/>
          <w:sz w:val="32"/>
          <w:szCs w:val="32"/>
        </w:rPr>
        <w:t>50</w:t>
      </w:r>
      <w:r>
        <w:rPr>
          <w:rFonts w:eastAsia="仿宋_GB2312"/>
          <w:sz w:val="32"/>
          <w:szCs w:val="32"/>
        </w:rPr>
        <w:t>%以上的一级子公司；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eastAsia="仿宋_GB2312"/>
          <w:sz w:val="32"/>
          <w:szCs w:val="32"/>
        </w:rPr>
      </w:pPr>
      <w:r>
        <w:rPr>
          <w:rFonts w:eastAsia="仿宋_GB2312"/>
          <w:sz w:val="32"/>
          <w:szCs w:val="32"/>
        </w:rPr>
        <w:t>（二）</w:t>
      </w:r>
      <w:r>
        <w:rPr>
          <w:rFonts w:hint="eastAsia" w:eastAsia="仿宋_GB2312"/>
          <w:sz w:val="32"/>
          <w:szCs w:val="32"/>
        </w:rPr>
        <w:t>南通</w:t>
      </w:r>
      <w:r>
        <w:rPr>
          <w:rFonts w:eastAsia="仿宋_GB2312"/>
          <w:sz w:val="32"/>
          <w:szCs w:val="32"/>
        </w:rPr>
        <w:t>市重点支持、引进的大型企业、私募股权投资企业、私募股权投资管理企业等，且在申请前的上一会计年度，具备自有资产（净资产）规模不低于</w:t>
      </w:r>
      <w:r>
        <w:rPr>
          <w:rFonts w:ascii="Times New Roman" w:hAnsi="Times New Roman" w:eastAsia="仿宋_GB2312"/>
          <w:sz w:val="32"/>
          <w:szCs w:val="32"/>
        </w:rPr>
        <w:t>1</w:t>
      </w:r>
      <w:r>
        <w:rPr>
          <w:rFonts w:eastAsia="仿宋_GB2312"/>
          <w:sz w:val="32"/>
          <w:szCs w:val="32"/>
        </w:rPr>
        <w:t>亿元人民币或管理资产规模不低于</w:t>
      </w:r>
      <w:r>
        <w:rPr>
          <w:rFonts w:ascii="Times New Roman" w:hAnsi="Times New Roman" w:eastAsia="仿宋_GB2312"/>
          <w:sz w:val="32"/>
          <w:szCs w:val="32"/>
        </w:rPr>
        <w:t>5</w:t>
      </w:r>
      <w:r>
        <w:rPr>
          <w:rFonts w:eastAsia="仿宋_GB2312"/>
          <w:sz w:val="32"/>
          <w:szCs w:val="32"/>
        </w:rPr>
        <w:t>亿元人民币；或近三年连续赢利，净利润累计总额不低于</w:t>
      </w:r>
      <w:r>
        <w:rPr>
          <w:rFonts w:hint="eastAsia" w:ascii="Times New Roman" w:hAnsi="Times New Roman" w:eastAsia="仿宋_GB2312"/>
          <w:sz w:val="32"/>
          <w:szCs w:val="32"/>
        </w:rPr>
        <w:t>5</w:t>
      </w:r>
      <w:r>
        <w:rPr>
          <w:rFonts w:ascii="Times New Roman" w:hAnsi="Times New Roman" w:eastAsia="仿宋_GB2312"/>
          <w:sz w:val="32"/>
          <w:szCs w:val="32"/>
        </w:rPr>
        <w:t>000</w:t>
      </w:r>
      <w:r>
        <w:rPr>
          <w:rFonts w:eastAsia="仿宋_GB2312"/>
          <w:sz w:val="32"/>
          <w:szCs w:val="32"/>
        </w:rPr>
        <w:t>万元人民币。</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eastAsia="仿宋_GB2312"/>
          <w:sz w:val="32"/>
          <w:szCs w:val="32"/>
        </w:rPr>
      </w:pPr>
      <w:r>
        <w:rPr>
          <w:rFonts w:eastAsia="仿宋_GB2312"/>
          <w:b/>
          <w:bCs/>
          <w:sz w:val="32"/>
          <w:szCs w:val="32"/>
        </w:rPr>
        <w:t>第</w:t>
      </w:r>
      <w:r>
        <w:rPr>
          <w:rFonts w:hint="eastAsia" w:eastAsia="仿宋_GB2312"/>
          <w:b/>
          <w:bCs/>
          <w:sz w:val="32"/>
          <w:szCs w:val="32"/>
          <w:lang w:val="en-US" w:eastAsia="zh-CN"/>
        </w:rPr>
        <w:t>十</w:t>
      </w:r>
      <w:r>
        <w:rPr>
          <w:rFonts w:eastAsia="仿宋_GB2312"/>
          <w:b/>
          <w:bCs/>
          <w:sz w:val="32"/>
          <w:szCs w:val="32"/>
        </w:rPr>
        <w:t xml:space="preserve">条 </w:t>
      </w:r>
      <w:r>
        <w:rPr>
          <w:rFonts w:eastAsia="仿宋_GB2312"/>
          <w:sz w:val="32"/>
          <w:szCs w:val="32"/>
        </w:rPr>
        <w:t>外商投资股权投资管理企业应具备至少</w:t>
      </w:r>
      <w:r>
        <w:rPr>
          <w:rFonts w:ascii="Times New Roman" w:hAnsi="Times New Roman" w:eastAsia="仿宋_GB2312"/>
          <w:sz w:val="32"/>
          <w:szCs w:val="32"/>
        </w:rPr>
        <w:t>2</w:t>
      </w:r>
      <w:r>
        <w:rPr>
          <w:rFonts w:eastAsia="仿宋_GB2312"/>
          <w:sz w:val="32"/>
          <w:szCs w:val="32"/>
        </w:rPr>
        <w:t>名同时满足下列条件的高级管理人员：</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eastAsia="仿宋_GB2312"/>
          <w:sz w:val="32"/>
          <w:szCs w:val="32"/>
        </w:rPr>
      </w:pPr>
      <w:r>
        <w:rPr>
          <w:rFonts w:eastAsia="仿宋_GB2312"/>
          <w:sz w:val="32"/>
          <w:szCs w:val="32"/>
        </w:rPr>
        <w:t>（一）有</w:t>
      </w:r>
      <w:r>
        <w:rPr>
          <w:rFonts w:ascii="Times New Roman" w:hAnsi="Times New Roman" w:eastAsia="仿宋_GB2312"/>
          <w:sz w:val="32"/>
          <w:szCs w:val="32"/>
        </w:rPr>
        <w:t>5</w:t>
      </w:r>
      <w:r>
        <w:rPr>
          <w:rFonts w:eastAsia="仿宋_GB2312"/>
          <w:sz w:val="32"/>
          <w:szCs w:val="32"/>
        </w:rPr>
        <w:t>年以上从事股权投资或股权投资管理业务的经历；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eastAsia="仿宋_GB2312"/>
          <w:sz w:val="32"/>
          <w:szCs w:val="32"/>
        </w:rPr>
      </w:pPr>
      <w:r>
        <w:rPr>
          <w:rFonts w:eastAsia="仿宋_GB2312"/>
          <w:sz w:val="32"/>
          <w:szCs w:val="32"/>
        </w:rPr>
        <w:t>（二）有</w:t>
      </w:r>
      <w:r>
        <w:rPr>
          <w:rFonts w:ascii="Times New Roman" w:hAnsi="Times New Roman" w:eastAsia="仿宋_GB2312"/>
          <w:sz w:val="32"/>
          <w:szCs w:val="32"/>
        </w:rPr>
        <w:t>2</w:t>
      </w:r>
      <w:r>
        <w:rPr>
          <w:rFonts w:eastAsia="仿宋_GB2312"/>
          <w:sz w:val="32"/>
          <w:szCs w:val="32"/>
        </w:rPr>
        <w:t>年以上高级管理职务任职经历；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eastAsia="仿宋_GB2312"/>
          <w:sz w:val="32"/>
          <w:szCs w:val="32"/>
        </w:rPr>
      </w:pPr>
      <w:r>
        <w:rPr>
          <w:rFonts w:eastAsia="仿宋_GB2312"/>
          <w:sz w:val="32"/>
          <w:szCs w:val="32"/>
        </w:rPr>
        <w:t>（三）有在境内从事股权投资经历或在境内金融机构从业经验；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eastAsia="仿宋_GB2312"/>
          <w:sz w:val="32"/>
          <w:szCs w:val="32"/>
        </w:rPr>
      </w:pPr>
      <w:r>
        <w:rPr>
          <w:rFonts w:eastAsia="仿宋_GB2312"/>
          <w:sz w:val="32"/>
          <w:szCs w:val="32"/>
        </w:rPr>
        <w:t>（四）在最近</w:t>
      </w:r>
      <w:r>
        <w:rPr>
          <w:rFonts w:ascii="Times New Roman" w:hAnsi="Times New Roman" w:eastAsia="仿宋_GB2312"/>
          <w:sz w:val="32"/>
          <w:szCs w:val="32"/>
        </w:rPr>
        <w:t>3</w:t>
      </w:r>
      <w:r>
        <w:rPr>
          <w:rFonts w:eastAsia="仿宋_GB2312"/>
          <w:sz w:val="32"/>
          <w:szCs w:val="32"/>
        </w:rPr>
        <w:t>年内没有违法违规记录或尚在处理的经济纠纷诉讼案件，且个人信用记录良好。</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eastAsia="仿宋_GB2312"/>
          <w:sz w:val="32"/>
          <w:szCs w:val="32"/>
        </w:rPr>
      </w:pPr>
      <w:r>
        <w:rPr>
          <w:rFonts w:eastAsia="仿宋_GB2312"/>
          <w:b/>
          <w:bCs/>
          <w:sz w:val="32"/>
          <w:szCs w:val="32"/>
        </w:rPr>
        <w:t>第十</w:t>
      </w:r>
      <w:r>
        <w:rPr>
          <w:rFonts w:hint="eastAsia" w:eastAsia="仿宋_GB2312"/>
          <w:b/>
          <w:bCs/>
          <w:sz w:val="32"/>
          <w:szCs w:val="32"/>
          <w:lang w:val="en-US" w:eastAsia="zh-CN"/>
        </w:rPr>
        <w:t>一</w:t>
      </w:r>
      <w:r>
        <w:rPr>
          <w:rFonts w:eastAsia="仿宋_GB2312"/>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eastAsia="仿宋_GB2312"/>
          <w:sz w:val="32"/>
          <w:szCs w:val="32"/>
        </w:rPr>
        <w:t>外商投资股权投资管理企业可以从事如下业务：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eastAsia="仿宋_GB2312"/>
          <w:sz w:val="32"/>
          <w:szCs w:val="32"/>
        </w:rPr>
      </w:pPr>
      <w:r>
        <w:rPr>
          <w:rFonts w:eastAsia="仿宋_GB2312"/>
          <w:sz w:val="32"/>
          <w:szCs w:val="32"/>
        </w:rPr>
        <w:t>（一）发起设立</w:t>
      </w:r>
      <w:r>
        <w:rPr>
          <w:rFonts w:hint="eastAsia" w:ascii="Times New Roman" w:hAnsi="Times New Roman" w:eastAsia="仿宋_GB2312" w:cs="Times New Roman"/>
          <w:spacing w:val="0"/>
          <w:kern w:val="2"/>
          <w:sz w:val="32"/>
          <w:szCs w:val="32"/>
          <w:lang w:val="en-US" w:eastAsia="zh-CN" w:bidi="ar-SA"/>
        </w:rPr>
        <w:t>外商投资</w:t>
      </w:r>
      <w:r>
        <w:rPr>
          <w:rFonts w:eastAsia="仿宋_GB2312"/>
          <w:sz w:val="32"/>
          <w:szCs w:val="32"/>
        </w:rPr>
        <w:t>股权投资企业</w:t>
      </w:r>
      <w:r>
        <w:rPr>
          <w:rFonts w:hint="eastAsia" w:ascii="Times New Roman" w:hAnsi="Times New Roman" w:eastAsia="仿宋_GB2312" w:cs="Times New Roman"/>
          <w:spacing w:val="0"/>
          <w:kern w:val="2"/>
          <w:sz w:val="32"/>
          <w:szCs w:val="32"/>
          <w:lang w:val="en-US" w:eastAsia="zh-CN" w:bidi="ar-SA"/>
        </w:rPr>
        <w:t>及境内私募股权、创业投资基金</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eastAsia="仿宋_GB2312"/>
          <w:sz w:val="32"/>
          <w:szCs w:val="32"/>
        </w:rPr>
      </w:pPr>
      <w:r>
        <w:rPr>
          <w:rFonts w:eastAsia="仿宋_GB2312"/>
          <w:sz w:val="32"/>
          <w:szCs w:val="32"/>
        </w:rPr>
        <w:t>（二）受托管理股权投资企业的投资业务并提供相关服务；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eastAsia="仿宋_GB2312"/>
          <w:sz w:val="32"/>
          <w:szCs w:val="32"/>
        </w:rPr>
      </w:pPr>
      <w:r>
        <w:rPr>
          <w:rFonts w:eastAsia="仿宋_GB2312"/>
          <w:sz w:val="32"/>
          <w:szCs w:val="32"/>
        </w:rPr>
        <w:t>（三）股权投资咨询；</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eastAsia="仿宋_GB2312"/>
          <w:sz w:val="32"/>
          <w:szCs w:val="32"/>
        </w:rPr>
      </w:pPr>
      <w:r>
        <w:rPr>
          <w:rFonts w:eastAsia="仿宋_GB2312"/>
          <w:sz w:val="32"/>
          <w:szCs w:val="32"/>
        </w:rPr>
        <w:t>（四）经监管部门或登记备案部门许可的其他相关业务。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eastAsia="仿宋_GB2312"/>
          <w:sz w:val="32"/>
          <w:szCs w:val="32"/>
        </w:rPr>
      </w:pPr>
      <w:r>
        <w:rPr>
          <w:rFonts w:eastAsia="仿宋_GB2312"/>
          <w:sz w:val="32"/>
          <w:szCs w:val="32"/>
        </w:rPr>
        <w:t>外商投资股权投资管理企业不能直接投资于项目。</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rPr>
        <w:t xml:space="preserve">节 </w:t>
      </w:r>
      <w:r>
        <w:rPr>
          <w:rFonts w:hint="eastAsia" w:ascii="楷体_GB2312" w:hAnsi="楷体_GB2312" w:eastAsia="楷体_GB2312" w:cs="楷体_GB2312"/>
          <w:b w:val="0"/>
          <w:bCs w:val="0"/>
          <w:sz w:val="32"/>
          <w:szCs w:val="32"/>
          <w:lang w:val="en-US" w:eastAsia="zh-CN"/>
        </w:rPr>
        <w:t>内资股权投资管理企业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eastAsia" w:eastAsia="仿宋_GB2312"/>
          <w:color w:val="auto"/>
          <w:sz w:val="32"/>
          <w:szCs w:val="32"/>
          <w:lang w:eastAsia="zh-CN"/>
        </w:rPr>
      </w:pPr>
      <w:r>
        <w:rPr>
          <w:rFonts w:eastAsia="仿宋_GB2312"/>
          <w:b/>
          <w:bCs/>
          <w:color w:val="auto"/>
          <w:sz w:val="32"/>
          <w:szCs w:val="32"/>
        </w:rPr>
        <w:t>第</w:t>
      </w:r>
      <w:r>
        <w:rPr>
          <w:rFonts w:hint="eastAsia" w:eastAsia="仿宋_GB2312"/>
          <w:b/>
          <w:bCs/>
          <w:color w:val="auto"/>
          <w:sz w:val="32"/>
          <w:szCs w:val="32"/>
          <w:lang w:val="en-US" w:eastAsia="zh-CN"/>
        </w:rPr>
        <w:t>十二</w:t>
      </w:r>
      <w:r>
        <w:rPr>
          <w:rFonts w:eastAsia="仿宋_GB2312"/>
          <w:b/>
          <w:bCs/>
          <w:color w:val="auto"/>
          <w:sz w:val="32"/>
          <w:szCs w:val="32"/>
        </w:rPr>
        <w:t xml:space="preserve">条 </w:t>
      </w:r>
      <w:r>
        <w:rPr>
          <w:rFonts w:eastAsia="仿宋_GB2312"/>
          <w:sz w:val="32"/>
          <w:szCs w:val="32"/>
        </w:rPr>
        <w:t>在中国证券投资基金业协会登记的</w:t>
      </w:r>
      <w:r>
        <w:rPr>
          <w:rFonts w:hint="eastAsia" w:eastAsia="仿宋_GB2312"/>
          <w:sz w:val="32"/>
          <w:szCs w:val="32"/>
          <w:lang w:val="en-US" w:eastAsia="zh-CN"/>
        </w:rPr>
        <w:t>内资</w:t>
      </w:r>
      <w:r>
        <w:rPr>
          <w:rFonts w:eastAsia="仿宋_GB2312"/>
          <w:sz w:val="32"/>
          <w:szCs w:val="32"/>
        </w:rPr>
        <w:t>私募股权、创业投资基金管理企业</w:t>
      </w:r>
      <w:r>
        <w:rPr>
          <w:rFonts w:hint="eastAsia" w:eastAsia="仿宋_GB2312"/>
          <w:sz w:val="32"/>
          <w:szCs w:val="32"/>
          <w:lang w:eastAsia="zh-CN"/>
        </w:rPr>
        <w:t>，</w:t>
      </w:r>
      <w:r>
        <w:rPr>
          <w:rFonts w:hint="eastAsia" w:eastAsia="仿宋_GB2312"/>
          <w:sz w:val="32"/>
          <w:szCs w:val="32"/>
          <w:lang w:val="en-US" w:eastAsia="zh-CN"/>
        </w:rPr>
        <w:t>经本联合会商工作机制授予试点资格后，</w:t>
      </w:r>
      <w:r>
        <w:rPr>
          <w:rFonts w:eastAsia="仿宋_GB2312"/>
          <w:color w:val="auto"/>
          <w:sz w:val="32"/>
          <w:szCs w:val="32"/>
        </w:rPr>
        <w:t>可以发起设立或受托管理外商投资股权投资企业</w:t>
      </w:r>
      <w:r>
        <w:rPr>
          <w:rFonts w:hint="eastAsia"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eastAsia="仿宋_GB2312"/>
          <w:sz w:val="32"/>
          <w:szCs w:val="32"/>
          <w:lang w:val="en-US" w:eastAsia="zh-CN"/>
        </w:rPr>
      </w:pPr>
      <w:r>
        <w:rPr>
          <w:rFonts w:hint="eastAsia" w:eastAsia="仿宋_GB2312"/>
          <w:color w:val="auto"/>
          <w:sz w:val="32"/>
          <w:szCs w:val="32"/>
          <w:lang w:val="en-US" w:eastAsia="zh-CN"/>
        </w:rPr>
        <w:t>除试点企业外，其他</w:t>
      </w:r>
      <w:r>
        <w:rPr>
          <w:rFonts w:hint="eastAsia" w:eastAsia="仿宋_GB2312"/>
          <w:sz w:val="32"/>
          <w:szCs w:val="32"/>
          <w:lang w:val="en-US" w:eastAsia="zh-CN"/>
        </w:rPr>
        <w:t>内资</w:t>
      </w:r>
      <w:r>
        <w:rPr>
          <w:rFonts w:eastAsia="仿宋_GB2312"/>
          <w:sz w:val="32"/>
          <w:szCs w:val="32"/>
        </w:rPr>
        <w:t>私募股权、创业投资基金管理企业</w:t>
      </w:r>
      <w:r>
        <w:rPr>
          <w:rFonts w:hint="eastAsia" w:eastAsia="仿宋_GB2312"/>
          <w:sz w:val="32"/>
          <w:szCs w:val="32"/>
          <w:lang w:val="en-US" w:eastAsia="zh-CN"/>
        </w:rPr>
        <w:t>不得</w:t>
      </w:r>
      <w:r>
        <w:rPr>
          <w:rFonts w:eastAsia="仿宋_GB2312"/>
          <w:color w:val="auto"/>
          <w:sz w:val="32"/>
          <w:szCs w:val="32"/>
        </w:rPr>
        <w:t>发起设立或受托管理外商投资股权投资企业</w:t>
      </w:r>
      <w:r>
        <w:rPr>
          <w:rFonts w:hint="eastAsia"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eastAsia="仿宋_GB2312"/>
          <w:sz w:val="32"/>
          <w:szCs w:val="32"/>
        </w:rPr>
      </w:pPr>
      <w:r>
        <w:rPr>
          <w:rFonts w:eastAsia="仿宋_GB2312"/>
          <w:b/>
          <w:bCs/>
          <w:sz w:val="32"/>
          <w:szCs w:val="32"/>
        </w:rPr>
        <w:t>第</w:t>
      </w:r>
      <w:r>
        <w:rPr>
          <w:rFonts w:hint="eastAsia" w:eastAsia="仿宋_GB2312"/>
          <w:b/>
          <w:bCs/>
          <w:sz w:val="32"/>
          <w:szCs w:val="32"/>
          <w:lang w:val="en-US" w:eastAsia="zh-CN"/>
        </w:rPr>
        <w:t>十三</w:t>
      </w:r>
      <w:r>
        <w:rPr>
          <w:rFonts w:eastAsia="仿宋_GB2312"/>
          <w:b/>
          <w:bCs/>
          <w:sz w:val="32"/>
          <w:szCs w:val="32"/>
        </w:rPr>
        <w:t>条 </w:t>
      </w:r>
      <w:r>
        <w:rPr>
          <w:rFonts w:eastAsia="仿宋_GB2312"/>
          <w:sz w:val="32"/>
          <w:szCs w:val="32"/>
        </w:rPr>
        <w:t> </w:t>
      </w:r>
      <w:r>
        <w:rPr>
          <w:rFonts w:hint="eastAsia" w:eastAsia="仿宋_GB2312"/>
          <w:sz w:val="32"/>
          <w:szCs w:val="32"/>
          <w:lang w:val="en-US" w:eastAsia="zh-CN"/>
        </w:rPr>
        <w:t>内资</w:t>
      </w:r>
      <w:r>
        <w:rPr>
          <w:rFonts w:eastAsia="仿宋_GB2312"/>
          <w:sz w:val="32"/>
          <w:szCs w:val="32"/>
        </w:rPr>
        <w:t>私募股权、创业投资基金管理</w:t>
      </w:r>
      <w:r>
        <w:rPr>
          <w:rFonts w:hint="eastAsia" w:eastAsia="仿宋_GB2312"/>
          <w:sz w:val="32"/>
          <w:szCs w:val="32"/>
          <w:lang w:val="en-US" w:eastAsia="zh-CN"/>
        </w:rPr>
        <w:t>企业</w:t>
      </w:r>
      <w:r>
        <w:rPr>
          <w:rFonts w:eastAsia="仿宋_GB2312"/>
          <w:sz w:val="32"/>
          <w:szCs w:val="32"/>
        </w:rPr>
        <w:t>发起设立或受托管理外商投资股权投资企业</w:t>
      </w:r>
      <w:r>
        <w:rPr>
          <w:rFonts w:hint="eastAsia" w:eastAsia="仿宋_GB2312"/>
          <w:sz w:val="32"/>
          <w:szCs w:val="32"/>
          <w:lang w:eastAsia="zh-CN"/>
        </w:rPr>
        <w:t>，</w:t>
      </w:r>
      <w:r>
        <w:rPr>
          <w:rFonts w:hint="eastAsia" w:eastAsia="仿宋_GB2312"/>
          <w:sz w:val="32"/>
          <w:szCs w:val="32"/>
          <w:lang w:val="en-US" w:eastAsia="zh-CN"/>
        </w:rPr>
        <w:t>应当具备</w:t>
      </w:r>
      <w:r>
        <w:rPr>
          <w:rFonts w:eastAsia="仿宋_GB2312"/>
          <w:sz w:val="32"/>
          <w:szCs w:val="32"/>
        </w:rPr>
        <w:t>以下条件：</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640" w:leftChars="0" w:firstLine="0" w:firstLineChars="0"/>
        <w:textAlignment w:val="auto"/>
        <w:rPr>
          <w:rFonts w:eastAsia="仿宋_GB2312"/>
          <w:sz w:val="32"/>
          <w:szCs w:val="32"/>
        </w:rPr>
      </w:pPr>
      <w:r>
        <w:rPr>
          <w:rFonts w:eastAsia="仿宋_GB2312"/>
          <w:sz w:val="32"/>
          <w:szCs w:val="32"/>
        </w:rPr>
        <w:t>在中国境内依法注册成立的境内企业；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left"/>
        <w:textAlignment w:val="auto"/>
        <w:rPr>
          <w:rFonts w:eastAsia="仿宋_GB2312"/>
          <w:sz w:val="32"/>
          <w:szCs w:val="32"/>
        </w:rPr>
      </w:pPr>
      <w:r>
        <w:rPr>
          <w:rFonts w:eastAsia="仿宋_GB2312"/>
          <w:sz w:val="32"/>
          <w:szCs w:val="32"/>
        </w:rPr>
        <w:t>（二）在中国证券投资基金业协会登记的境内私募股权、创业投资基金管理企业；</w:t>
      </w: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eastAsia="仿宋_GB2312"/>
          <w:sz w:val="32"/>
          <w:szCs w:val="32"/>
        </w:rPr>
      </w:pPr>
      <w:r>
        <w:rPr>
          <w:rFonts w:eastAsia="仿宋_GB2312"/>
          <w:sz w:val="32"/>
          <w:szCs w:val="32"/>
        </w:rPr>
        <w:t>　　（三）上一完整会计年度，具备自有资产（净资产）规模不低于</w:t>
      </w:r>
      <w:r>
        <w:rPr>
          <w:rFonts w:ascii="Times New Roman" w:hAnsi="Times New Roman" w:eastAsia="仿宋_GB2312"/>
          <w:sz w:val="32"/>
          <w:szCs w:val="32"/>
        </w:rPr>
        <w:t>1</w:t>
      </w:r>
      <w:r>
        <w:rPr>
          <w:rFonts w:eastAsia="仿宋_GB2312"/>
          <w:sz w:val="32"/>
          <w:szCs w:val="32"/>
        </w:rPr>
        <w:t>亿元人民币或者管理资产规模不低于</w:t>
      </w:r>
      <w:r>
        <w:rPr>
          <w:rFonts w:ascii="Times New Roman" w:hAnsi="Times New Roman" w:eastAsia="仿宋_GB2312"/>
          <w:sz w:val="32"/>
          <w:szCs w:val="32"/>
        </w:rPr>
        <w:t>5</w:t>
      </w:r>
      <w:r>
        <w:rPr>
          <w:rFonts w:eastAsia="仿宋_GB2312"/>
          <w:sz w:val="32"/>
          <w:szCs w:val="32"/>
        </w:rPr>
        <w:t>亿元人民币；或近三年连续赢利，净利润累计总额不低于</w:t>
      </w:r>
      <w:r>
        <w:rPr>
          <w:rFonts w:hint="eastAsia" w:ascii="Times New Roman" w:hAnsi="Times New Roman" w:eastAsia="仿宋_GB2312"/>
          <w:sz w:val="32"/>
          <w:szCs w:val="32"/>
        </w:rPr>
        <w:t>5</w:t>
      </w:r>
      <w:r>
        <w:rPr>
          <w:rFonts w:ascii="Times New Roman" w:hAnsi="Times New Roman" w:eastAsia="仿宋_GB2312"/>
          <w:sz w:val="32"/>
          <w:szCs w:val="32"/>
        </w:rPr>
        <w:t>000</w:t>
      </w:r>
      <w:r>
        <w:rPr>
          <w:rFonts w:eastAsia="仿宋_GB2312"/>
          <w:sz w:val="32"/>
          <w:szCs w:val="32"/>
        </w:rPr>
        <w:t>万元人民币。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eastAsia="仿宋_GB2312"/>
          <w:sz w:val="32"/>
          <w:szCs w:val="32"/>
        </w:rPr>
      </w:pPr>
      <w:r>
        <w:rPr>
          <w:rFonts w:eastAsia="仿宋_GB2312"/>
          <w:sz w:val="32"/>
          <w:szCs w:val="32"/>
        </w:rPr>
        <w:t>（四）具有健全的治理结构和完善的内控制度，近三年内未受到司法机关和相关监管机构的处罚。</w:t>
      </w:r>
    </w:p>
    <w:p>
      <w:pPr>
        <w:pStyle w:val="2"/>
        <w:keepNext w:val="0"/>
        <w:keepLines w:val="0"/>
        <w:pageBreakBefore w:val="0"/>
        <w:widowControl w:val="0"/>
        <w:kinsoku/>
        <w:wordWrap/>
        <w:overflowPunct/>
        <w:topLinePunct w:val="0"/>
        <w:autoSpaceDE/>
        <w:autoSpaceDN/>
        <w:bidi w:val="0"/>
        <w:snapToGrid/>
        <w:spacing w:line="590" w:lineRule="exact"/>
        <w:jc w:val="center"/>
        <w:textAlignment w:val="auto"/>
        <w:rPr>
          <w:rFonts w:hint="eastAsia" w:ascii="楷体_GB2312" w:hAnsi="楷体_GB2312" w:eastAsia="楷体_GB2312" w:cs="楷体_GB2312"/>
          <w:b w:val="0"/>
          <w:bCs w:val="0"/>
          <w:spacing w:val="0"/>
          <w:kern w:val="2"/>
          <w:sz w:val="32"/>
          <w:szCs w:val="32"/>
          <w:lang w:val="en-US" w:eastAsia="zh-CN" w:bidi="ar-SA"/>
        </w:rPr>
      </w:pPr>
      <w:r>
        <w:rPr>
          <w:rFonts w:hint="eastAsia" w:ascii="楷体_GB2312" w:hAnsi="楷体_GB2312" w:eastAsia="楷体_GB2312" w:cs="楷体_GB2312"/>
          <w:b w:val="0"/>
          <w:bCs w:val="0"/>
          <w:spacing w:val="0"/>
          <w:kern w:val="2"/>
          <w:sz w:val="32"/>
          <w:szCs w:val="32"/>
          <w:lang w:val="en-US" w:eastAsia="zh-CN" w:bidi="ar-SA"/>
        </w:rPr>
        <w:t>第三节 外商投资股权投资企业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eastAsia="仿宋_GB2312"/>
          <w:sz w:val="32"/>
          <w:szCs w:val="32"/>
        </w:rPr>
      </w:pPr>
      <w:r>
        <w:rPr>
          <w:rFonts w:eastAsia="仿宋_GB2312"/>
          <w:b/>
          <w:bCs/>
          <w:sz w:val="32"/>
          <w:szCs w:val="32"/>
        </w:rPr>
        <w:t>第</w:t>
      </w:r>
      <w:r>
        <w:rPr>
          <w:rFonts w:hint="eastAsia" w:eastAsia="仿宋_GB2312"/>
          <w:b/>
          <w:bCs/>
          <w:sz w:val="32"/>
          <w:szCs w:val="32"/>
        </w:rPr>
        <w:t>十</w:t>
      </w:r>
      <w:r>
        <w:rPr>
          <w:rFonts w:hint="eastAsia" w:eastAsia="仿宋_GB2312"/>
          <w:b/>
          <w:bCs/>
          <w:sz w:val="32"/>
          <w:szCs w:val="32"/>
          <w:lang w:val="en-US" w:eastAsia="zh-CN"/>
        </w:rPr>
        <w:t>四</w:t>
      </w:r>
      <w:r>
        <w:rPr>
          <w:rFonts w:eastAsia="仿宋_GB2312"/>
          <w:b/>
          <w:bCs/>
          <w:sz w:val="32"/>
          <w:szCs w:val="32"/>
        </w:rPr>
        <w:t xml:space="preserve">条 </w:t>
      </w:r>
      <w:r>
        <w:rPr>
          <w:rFonts w:eastAsia="仿宋_GB2312"/>
          <w:sz w:val="32"/>
          <w:szCs w:val="32"/>
        </w:rPr>
        <w:t>申请试点的外商投资股权投资企业注册资本应不低于</w:t>
      </w:r>
      <w:r>
        <w:rPr>
          <w:rFonts w:ascii="Times New Roman" w:hAnsi="Times New Roman" w:eastAsia="仿宋_GB2312"/>
          <w:sz w:val="32"/>
          <w:szCs w:val="32"/>
        </w:rPr>
        <w:t>1000</w:t>
      </w:r>
      <w:r>
        <w:rPr>
          <w:rFonts w:eastAsia="仿宋_GB2312"/>
          <w:sz w:val="32"/>
          <w:szCs w:val="32"/>
        </w:rPr>
        <w:t>万美元等值货币，出资方式限于货币资金；合伙制外商投资股权投资企业的合伙人应当以本合伙人名义出资。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eastAsia="仿宋_GB2312"/>
          <w:sz w:val="32"/>
          <w:szCs w:val="32"/>
        </w:rPr>
      </w:pPr>
      <w:r>
        <w:rPr>
          <w:rFonts w:eastAsia="仿宋_GB2312"/>
          <w:sz w:val="32"/>
          <w:szCs w:val="32"/>
        </w:rPr>
        <w:t>试点企业注册资本（认缴出资金额）、首次出资比例、货币出资比例、出资期限、内部治理架构以及管理人员资质等条件需符合中国证券投资基金业协会关于私募股权（创业）投资基金管理人、私募股权（创业）投资基金登记备案的要求。</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eastAsia="仿宋_GB2312"/>
          <w:sz w:val="32"/>
          <w:szCs w:val="32"/>
        </w:rPr>
      </w:pPr>
      <w:r>
        <w:rPr>
          <w:rFonts w:eastAsia="仿宋_GB2312"/>
          <w:b/>
          <w:bCs/>
          <w:sz w:val="32"/>
          <w:szCs w:val="32"/>
        </w:rPr>
        <w:t>第</w:t>
      </w:r>
      <w:r>
        <w:rPr>
          <w:rFonts w:hint="eastAsia" w:eastAsia="仿宋_GB2312"/>
          <w:b/>
          <w:bCs/>
          <w:sz w:val="32"/>
          <w:szCs w:val="32"/>
        </w:rPr>
        <w:t>十</w:t>
      </w:r>
      <w:r>
        <w:rPr>
          <w:rFonts w:hint="eastAsia" w:eastAsia="仿宋_GB2312"/>
          <w:b/>
          <w:bCs/>
          <w:sz w:val="32"/>
          <w:szCs w:val="32"/>
          <w:lang w:val="en-US" w:eastAsia="zh-CN"/>
        </w:rPr>
        <w:t>五</w:t>
      </w:r>
      <w:r>
        <w:rPr>
          <w:rFonts w:eastAsia="仿宋_GB2312"/>
          <w:b/>
          <w:bCs/>
          <w:sz w:val="32"/>
          <w:szCs w:val="32"/>
        </w:rPr>
        <w:t xml:space="preserve">条 </w:t>
      </w:r>
      <w:r>
        <w:rPr>
          <w:rFonts w:eastAsia="仿宋_GB2312"/>
          <w:sz w:val="32"/>
          <w:szCs w:val="32"/>
        </w:rPr>
        <w:t>外商投资股权投资企业的境内外投资人作为有限合伙人，应当符合中国人民银行、中国银行保险监督管理委员会、中国证券监督管理委员会、国家外汇管理局《关于规范金融机构资产管理业务的指导意见》（银发〔</w:t>
      </w:r>
      <w:r>
        <w:rPr>
          <w:rFonts w:ascii="Times New Roman" w:hAnsi="Times New Roman" w:eastAsia="仿宋_GB2312"/>
          <w:sz w:val="32"/>
          <w:szCs w:val="32"/>
        </w:rPr>
        <w:t>2018</w:t>
      </w:r>
      <w:r>
        <w:rPr>
          <w:rFonts w:eastAsia="仿宋_GB2312"/>
          <w:sz w:val="32"/>
          <w:szCs w:val="32"/>
        </w:rPr>
        <w:t>〕</w:t>
      </w:r>
      <w:r>
        <w:rPr>
          <w:rFonts w:ascii="Times New Roman" w:hAnsi="Times New Roman" w:eastAsia="仿宋_GB2312"/>
          <w:sz w:val="32"/>
          <w:szCs w:val="32"/>
        </w:rPr>
        <w:t>106</w:t>
      </w:r>
      <w:r>
        <w:rPr>
          <w:rFonts w:eastAsia="仿宋_GB2312"/>
          <w:sz w:val="32"/>
          <w:szCs w:val="32"/>
        </w:rPr>
        <w:t>号）以及《私募投资基金监督管理暂行办法》（证监会令〔</w:t>
      </w:r>
      <w:r>
        <w:rPr>
          <w:rFonts w:ascii="Times New Roman" w:hAnsi="Times New Roman" w:eastAsia="仿宋_GB2312"/>
          <w:sz w:val="32"/>
          <w:szCs w:val="32"/>
        </w:rPr>
        <w:t>105</w:t>
      </w:r>
      <w:r>
        <w:rPr>
          <w:rFonts w:eastAsia="仿宋_GB2312"/>
          <w:sz w:val="32"/>
          <w:szCs w:val="32"/>
        </w:rPr>
        <w:t>〕号）等规定的合格投资者要求。</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eastAsia="仿宋_GB2312"/>
          <w:sz w:val="32"/>
          <w:szCs w:val="32"/>
        </w:rPr>
      </w:pPr>
      <w:r>
        <w:rPr>
          <w:rFonts w:eastAsia="仿宋_GB2312"/>
          <w:b/>
          <w:bCs/>
          <w:sz w:val="32"/>
          <w:szCs w:val="32"/>
        </w:rPr>
        <w:t>第十</w:t>
      </w:r>
      <w:r>
        <w:rPr>
          <w:rFonts w:hint="eastAsia" w:eastAsia="仿宋_GB2312"/>
          <w:b/>
          <w:bCs/>
          <w:sz w:val="32"/>
          <w:szCs w:val="32"/>
          <w:lang w:val="en-US" w:eastAsia="zh-CN"/>
        </w:rPr>
        <w:t>六</w:t>
      </w:r>
      <w:r>
        <w:rPr>
          <w:rFonts w:eastAsia="仿宋_GB2312"/>
          <w:b/>
          <w:bCs/>
          <w:sz w:val="32"/>
          <w:szCs w:val="32"/>
        </w:rPr>
        <w:t xml:space="preserve">条 </w:t>
      </w:r>
      <w:r>
        <w:rPr>
          <w:rFonts w:eastAsia="仿宋_GB2312"/>
          <w:sz w:val="32"/>
          <w:szCs w:val="32"/>
        </w:rPr>
        <w:t>外商投资股权投资企业可依法在境内开展以下投资业务：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eastAsia="仿宋_GB2312"/>
          <w:sz w:val="32"/>
          <w:szCs w:val="32"/>
        </w:rPr>
      </w:pPr>
      <w:r>
        <w:rPr>
          <w:rFonts w:eastAsia="仿宋_GB2312"/>
          <w:sz w:val="32"/>
          <w:szCs w:val="32"/>
        </w:rPr>
        <w:t>（一）未上市企业股权；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eastAsia="仿宋_GB2312"/>
          <w:sz w:val="32"/>
          <w:szCs w:val="32"/>
        </w:rPr>
      </w:pPr>
      <w:r>
        <w:rPr>
          <w:rFonts w:eastAsia="仿宋_GB2312"/>
          <w:sz w:val="32"/>
          <w:szCs w:val="32"/>
        </w:rPr>
        <w:t>（二）上市公司非公开发行或交易的股票；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eastAsia="仿宋_GB2312"/>
          <w:sz w:val="32"/>
          <w:szCs w:val="32"/>
        </w:rPr>
      </w:pPr>
      <w:r>
        <w:rPr>
          <w:rFonts w:eastAsia="仿宋_GB2312"/>
          <w:sz w:val="32"/>
          <w:szCs w:val="32"/>
        </w:rPr>
        <w:t>（三）可转债、市场化和法治化债转股、股权类基金份额；</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eastAsia="仿宋_GB2312"/>
          <w:sz w:val="32"/>
          <w:szCs w:val="32"/>
        </w:rPr>
      </w:pPr>
      <w:r>
        <w:rPr>
          <w:rFonts w:eastAsia="仿宋_GB2312"/>
          <w:sz w:val="32"/>
          <w:szCs w:val="32"/>
        </w:rPr>
        <w:t>（四）作为上市公司原始股东参与配股；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eastAsia="仿宋_GB2312"/>
          <w:sz w:val="32"/>
          <w:szCs w:val="32"/>
          <w:lang w:eastAsia="zh-CN"/>
        </w:rPr>
      </w:pPr>
      <w:r>
        <w:rPr>
          <w:rFonts w:eastAsia="仿宋_GB2312"/>
          <w:sz w:val="32"/>
          <w:szCs w:val="32"/>
        </w:rPr>
        <w:t>（五）依法参与投资境内私募股权投资、创业投资基金，参投基金应直接投资于实业项目</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六</w:t>
      </w:r>
      <w:r>
        <w:rPr>
          <w:rFonts w:hint="eastAsia" w:eastAsia="仿宋_GB2312"/>
          <w:sz w:val="32"/>
          <w:szCs w:val="32"/>
          <w:lang w:eastAsia="zh-CN"/>
        </w:rPr>
        <w:t>）</w:t>
      </w:r>
      <w:r>
        <w:rPr>
          <w:rFonts w:eastAsia="仿宋_GB2312"/>
          <w:sz w:val="32"/>
          <w:szCs w:val="32"/>
        </w:rPr>
        <w:t>经监管部门或登记备案部门许可的其他相关业务。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eastAsia="仿宋_GB2312"/>
          <w:sz w:val="32"/>
          <w:szCs w:val="32"/>
        </w:rPr>
      </w:pPr>
      <w:r>
        <w:rPr>
          <w:rFonts w:eastAsia="仿宋_GB2312"/>
          <w:b/>
          <w:bCs/>
          <w:sz w:val="32"/>
          <w:szCs w:val="32"/>
        </w:rPr>
        <w:t>第十</w:t>
      </w:r>
      <w:r>
        <w:rPr>
          <w:rFonts w:hint="eastAsia" w:eastAsia="仿宋_GB2312"/>
          <w:b/>
          <w:bCs/>
          <w:sz w:val="32"/>
          <w:szCs w:val="32"/>
          <w:lang w:val="en-US" w:eastAsia="zh-CN"/>
        </w:rPr>
        <w:t>七</w:t>
      </w:r>
      <w:r>
        <w:rPr>
          <w:rFonts w:eastAsia="仿宋_GB2312"/>
          <w:b/>
          <w:bCs/>
          <w:sz w:val="32"/>
          <w:szCs w:val="32"/>
        </w:rPr>
        <w:t>条</w:t>
      </w:r>
      <w:r>
        <w:rPr>
          <w:rFonts w:eastAsia="仿宋_GB2312"/>
          <w:sz w:val="32"/>
          <w:szCs w:val="32"/>
        </w:rPr>
        <w:t xml:space="preserve"> 外商投资股权投资企业应当遵守《外商投资准入特别管理措施（负面清单）》相关规定，以《鼓励外商投资产业目录》为导向，投向有利于南通高质量发展的实体产业和基础设施项目或直接投资于实业，不得从事法律法规禁止从事的事项。</w:t>
      </w: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方正黑体_GBK" w:hAnsi="方正黑体_GBK" w:eastAsia="方正黑体_GBK" w:cs="方正黑体_GBK"/>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章 试点申请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textAlignment w:val="auto"/>
        <w:rPr>
          <w:rFonts w:eastAsia="仿宋_GB2312"/>
          <w:sz w:val="32"/>
          <w:szCs w:val="32"/>
        </w:rPr>
      </w:pPr>
      <w:r>
        <w:rPr>
          <w:rFonts w:eastAsia="仿宋_GB2312"/>
          <w:b/>
          <w:bCs/>
          <w:sz w:val="32"/>
          <w:szCs w:val="32"/>
        </w:rPr>
        <w:t>第十</w:t>
      </w:r>
      <w:r>
        <w:rPr>
          <w:rFonts w:hint="eastAsia" w:eastAsia="仿宋_GB2312"/>
          <w:b/>
          <w:bCs/>
          <w:sz w:val="32"/>
          <w:szCs w:val="32"/>
          <w:lang w:val="en-US" w:eastAsia="zh-CN"/>
        </w:rPr>
        <w:t>八</w:t>
      </w:r>
      <w:r>
        <w:rPr>
          <w:rFonts w:eastAsia="仿宋_GB2312"/>
          <w:b/>
          <w:bCs/>
          <w:sz w:val="32"/>
          <w:szCs w:val="32"/>
        </w:rPr>
        <w:t xml:space="preserve">条 </w:t>
      </w:r>
      <w:r>
        <w:rPr>
          <w:rFonts w:eastAsia="仿宋_GB2312"/>
          <w:sz w:val="32"/>
          <w:szCs w:val="32"/>
        </w:rPr>
        <w:t>申请设立试点企业，应通过拟设立股权投资企业的管理人向市地方金融监管局提出申请，由市地方金融监管局会同有关部门集中会商审定。需要递交的申请材料如下：</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textAlignment w:val="auto"/>
        <w:rPr>
          <w:rFonts w:eastAsia="仿宋_GB2312"/>
          <w:sz w:val="32"/>
          <w:szCs w:val="32"/>
        </w:rPr>
      </w:pPr>
      <w:r>
        <w:rPr>
          <w:rFonts w:eastAsia="仿宋_GB2312"/>
          <w:sz w:val="32"/>
          <w:szCs w:val="32"/>
        </w:rPr>
        <w:t>（一）设立外商投资股权投资管理企业或外商投资股权投资企业申请表；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eastAsia="仿宋_GB2312"/>
          <w:sz w:val="32"/>
          <w:szCs w:val="32"/>
        </w:rPr>
      </w:pPr>
      <w:r>
        <w:rPr>
          <w:rFonts w:eastAsia="仿宋_GB2312"/>
          <w:sz w:val="32"/>
          <w:szCs w:val="32"/>
        </w:rPr>
        <w:t>（二）申请试点企业的境外投资者，应递交承诺书，承诺近三年未受到任何司法机关和相关监管机构的处罚，没有违反境内外各项反洗钱相关规定；</w:t>
      </w: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eastAsia="仿宋_GB2312"/>
          <w:sz w:val="32"/>
          <w:szCs w:val="32"/>
        </w:rPr>
      </w:pPr>
      <w:r>
        <w:rPr>
          <w:rFonts w:eastAsia="仿宋_GB2312"/>
          <w:sz w:val="32"/>
          <w:szCs w:val="32"/>
        </w:rPr>
        <w:t>　　（三）机构投资者应提供营业执照复印件、最近一年经审计的财务报表等资料；个人投资者应提供个人身份证明、资金来源证明等资料；</w:t>
      </w: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eastAsia="仿宋_GB2312"/>
          <w:sz w:val="32"/>
          <w:szCs w:val="32"/>
        </w:rPr>
      </w:pPr>
      <w:r>
        <w:rPr>
          <w:rFonts w:eastAsia="仿宋_GB2312"/>
          <w:sz w:val="32"/>
          <w:szCs w:val="32"/>
        </w:rPr>
        <w:t>　　（四）申请试点企业基本资料，包括：募集说明书、合伙协议（主要包括境外投资者的出资比例、募集金额和募集进度等）或企业章程、主要高级管理人员简历等；</w:t>
      </w: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eastAsia="仿宋_GB2312"/>
          <w:sz w:val="32"/>
          <w:szCs w:val="32"/>
        </w:rPr>
      </w:pPr>
      <w:r>
        <w:rPr>
          <w:rFonts w:eastAsia="仿宋_GB2312"/>
          <w:sz w:val="32"/>
          <w:szCs w:val="32"/>
        </w:rPr>
        <w:t>　　（五）托管</w:t>
      </w:r>
      <w:r>
        <w:rPr>
          <w:rFonts w:hint="eastAsia" w:eastAsia="仿宋_GB2312"/>
          <w:sz w:val="32"/>
          <w:szCs w:val="32"/>
        </w:rPr>
        <w:t>金融</w:t>
      </w:r>
      <w:r>
        <w:rPr>
          <w:rFonts w:eastAsia="仿宋_GB2312"/>
          <w:sz w:val="32"/>
          <w:szCs w:val="32"/>
        </w:rPr>
        <w:t>机构有关资料及与托管</w:t>
      </w:r>
      <w:r>
        <w:rPr>
          <w:rFonts w:hint="eastAsia" w:eastAsia="仿宋_GB2312"/>
          <w:sz w:val="32"/>
          <w:szCs w:val="32"/>
        </w:rPr>
        <w:t>金融</w:t>
      </w:r>
      <w:r>
        <w:rPr>
          <w:rFonts w:eastAsia="仿宋_GB2312"/>
          <w:sz w:val="32"/>
          <w:szCs w:val="32"/>
        </w:rPr>
        <w:t>机构签署的相关托管协议；</w:t>
      </w: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eastAsia="仿宋_GB2312"/>
          <w:sz w:val="32"/>
          <w:szCs w:val="32"/>
        </w:rPr>
      </w:pPr>
      <w:r>
        <w:rPr>
          <w:rFonts w:eastAsia="仿宋_GB2312"/>
          <w:sz w:val="32"/>
          <w:szCs w:val="32"/>
        </w:rPr>
        <w:t>　　（六）申请人出具的上述全部材料真实性的承诺函；</w:t>
      </w: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eastAsia="仿宋_GB2312"/>
          <w:sz w:val="32"/>
          <w:szCs w:val="32"/>
        </w:rPr>
      </w:pPr>
      <w:r>
        <w:rPr>
          <w:rFonts w:eastAsia="仿宋_GB2312"/>
          <w:sz w:val="32"/>
          <w:szCs w:val="32"/>
        </w:rPr>
        <w:t>　　（七）试点企业境外投资者的主体资格证明文件；</w:t>
      </w: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eastAsia="仿宋_GB2312"/>
          <w:sz w:val="32"/>
          <w:szCs w:val="32"/>
        </w:rPr>
      </w:pPr>
      <w:r>
        <w:rPr>
          <w:rFonts w:eastAsia="仿宋_GB2312"/>
          <w:sz w:val="32"/>
          <w:szCs w:val="32"/>
        </w:rPr>
        <w:t>　　（八）有关部门要求的其他材料。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eastAsia="仿宋_GB2312"/>
          <w:sz w:val="32"/>
          <w:szCs w:val="32"/>
        </w:rPr>
      </w:pPr>
      <w:r>
        <w:rPr>
          <w:rFonts w:hint="eastAsia" w:eastAsia="仿宋_GB2312"/>
          <w:sz w:val="32"/>
          <w:szCs w:val="32"/>
        </w:rPr>
        <w:t>各项申请材料应当用A</w:t>
      </w:r>
      <w:r>
        <w:rPr>
          <w:rFonts w:hint="eastAsia" w:ascii="Times New Roman" w:hAnsi="Times New Roman" w:eastAsia="仿宋_GB2312"/>
          <w:sz w:val="32"/>
          <w:szCs w:val="32"/>
        </w:rPr>
        <w:t>4</w:t>
      </w:r>
      <w:r>
        <w:rPr>
          <w:rFonts w:hint="eastAsia" w:eastAsia="仿宋_GB2312"/>
          <w:sz w:val="32"/>
          <w:szCs w:val="32"/>
        </w:rPr>
        <w:t>纸装订成册，</w:t>
      </w:r>
      <w:r>
        <w:rPr>
          <w:rFonts w:eastAsia="仿宋_GB2312"/>
          <w:sz w:val="32"/>
          <w:szCs w:val="32"/>
        </w:rPr>
        <w:t>一式五份，复印件加盖申请人公章，并在递交时携带原件以备核验。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eastAsia="仿宋_GB2312"/>
          <w:sz w:val="32"/>
          <w:szCs w:val="32"/>
        </w:rPr>
      </w:pPr>
      <w:r>
        <w:rPr>
          <w:rFonts w:eastAsia="仿宋_GB2312"/>
          <w:b/>
          <w:bCs/>
          <w:sz w:val="32"/>
          <w:szCs w:val="32"/>
        </w:rPr>
        <w:t>第十</w:t>
      </w:r>
      <w:r>
        <w:rPr>
          <w:rFonts w:hint="eastAsia" w:eastAsia="仿宋_GB2312"/>
          <w:b/>
          <w:bCs/>
          <w:sz w:val="32"/>
          <w:szCs w:val="32"/>
          <w:lang w:val="en-US" w:eastAsia="zh-CN"/>
        </w:rPr>
        <w:t>九</w:t>
      </w:r>
      <w:r>
        <w:rPr>
          <w:rFonts w:eastAsia="仿宋_GB2312"/>
          <w:b/>
          <w:bCs/>
          <w:sz w:val="32"/>
          <w:szCs w:val="32"/>
        </w:rPr>
        <w:t>条</w:t>
      </w:r>
      <w:r>
        <w:rPr>
          <w:rFonts w:hint="eastAsia" w:eastAsia="仿宋_GB2312"/>
          <w:b/>
          <w:bCs/>
          <w:sz w:val="32"/>
          <w:szCs w:val="32"/>
        </w:rPr>
        <w:t xml:space="preserve"> </w:t>
      </w:r>
      <w:r>
        <w:rPr>
          <w:rFonts w:eastAsia="仿宋_GB2312"/>
          <w:sz w:val="32"/>
          <w:szCs w:val="32"/>
        </w:rPr>
        <w:t>市地方金融监管局常年受理试点申请，定期组织有关部门集中认定，并在启动程序后</w:t>
      </w:r>
      <w:r>
        <w:rPr>
          <w:rFonts w:ascii="Times New Roman" w:hAnsi="Times New Roman" w:eastAsia="仿宋_GB2312"/>
          <w:sz w:val="32"/>
          <w:szCs w:val="32"/>
        </w:rPr>
        <w:t>20</w:t>
      </w:r>
      <w:r>
        <w:rPr>
          <w:rFonts w:eastAsia="仿宋_GB2312"/>
          <w:sz w:val="32"/>
          <w:szCs w:val="32"/>
        </w:rPr>
        <w:t>个工作日内做出决定。经认定符合条件的，由市地方金融监管局出具试点资格文件。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eastAsia="仿宋_GB2312"/>
          <w:sz w:val="32"/>
          <w:szCs w:val="32"/>
        </w:rPr>
      </w:pPr>
      <w:r>
        <w:rPr>
          <w:rFonts w:eastAsia="仿宋_GB2312"/>
          <w:sz w:val="32"/>
          <w:szCs w:val="32"/>
        </w:rPr>
        <w:t>在认定过程中，应综合考虑试点企业出资人、管理团队、关联方的产业背景、资金实力、投资经验、投资领域等因素，审慎给予试点资格。</w:t>
      </w: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eastAsia="仿宋_GB2312"/>
          <w:sz w:val="32"/>
          <w:szCs w:val="32"/>
        </w:rPr>
      </w:pPr>
      <w:r>
        <w:rPr>
          <w:rFonts w:eastAsia="仿宋_GB2312"/>
          <w:sz w:val="32"/>
          <w:szCs w:val="32"/>
        </w:rPr>
        <w:t>　　</w:t>
      </w:r>
      <w:r>
        <w:rPr>
          <w:rFonts w:eastAsia="仿宋_GB2312"/>
          <w:b/>
          <w:bCs/>
          <w:sz w:val="32"/>
          <w:szCs w:val="32"/>
        </w:rPr>
        <w:t>第二十条</w:t>
      </w:r>
      <w:r>
        <w:rPr>
          <w:rFonts w:eastAsia="仿宋_GB2312"/>
          <w:sz w:val="32"/>
          <w:szCs w:val="32"/>
        </w:rPr>
        <w:t>  经认定的申请试点的企业需在拿到试点资格文件之日起六个月内办理相关企业登记手续，过期须重新申请试点资格。</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5"/>
        <w:textAlignment w:val="auto"/>
        <w:rPr>
          <w:rFonts w:eastAsia="仿宋_GB2312"/>
          <w:sz w:val="32"/>
          <w:szCs w:val="32"/>
        </w:rPr>
      </w:pPr>
      <w:r>
        <w:rPr>
          <w:rFonts w:eastAsia="仿宋_GB2312"/>
          <w:b/>
          <w:bCs/>
          <w:sz w:val="32"/>
          <w:szCs w:val="32"/>
        </w:rPr>
        <w:t>第二十</w:t>
      </w:r>
      <w:r>
        <w:rPr>
          <w:rFonts w:hint="eastAsia" w:eastAsia="仿宋_GB2312"/>
          <w:b/>
          <w:bCs/>
          <w:sz w:val="32"/>
          <w:szCs w:val="32"/>
          <w:lang w:val="en-US" w:eastAsia="zh-CN"/>
        </w:rPr>
        <w:t>一</w:t>
      </w:r>
      <w:r>
        <w:rPr>
          <w:rFonts w:eastAsia="仿宋_GB2312"/>
          <w:b/>
          <w:bCs/>
          <w:sz w:val="32"/>
          <w:szCs w:val="32"/>
        </w:rPr>
        <w:t>条</w:t>
      </w:r>
      <w:r>
        <w:rPr>
          <w:rFonts w:eastAsia="仿宋_GB2312"/>
          <w:sz w:val="32"/>
          <w:szCs w:val="32"/>
        </w:rPr>
        <w:t>  经认定的申请试点的企业凭市地方金融监管局出具的试点资格文件，按以下程序办理相关手续：</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5"/>
        <w:textAlignment w:val="auto"/>
        <w:rPr>
          <w:rFonts w:hint="eastAsia" w:eastAsia="仿宋_GB2312"/>
          <w:sz w:val="32"/>
          <w:szCs w:val="32"/>
          <w:lang w:eastAsia="zh-CN"/>
        </w:rPr>
      </w:pPr>
      <w:r>
        <w:rPr>
          <w:rFonts w:eastAsia="仿宋_GB2312"/>
          <w:sz w:val="32"/>
          <w:szCs w:val="32"/>
        </w:rPr>
        <w:t>（一）到企业登记机关办理企业登记手续，并通过企业登记系统向商务部门报送投资信息</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eastAsia="仿宋_GB2312"/>
          <w:sz w:val="32"/>
          <w:szCs w:val="32"/>
          <w:lang w:eastAsia="zh-CN"/>
        </w:rPr>
      </w:pPr>
      <w:r>
        <w:rPr>
          <w:rFonts w:eastAsia="仿宋_GB2312"/>
          <w:sz w:val="32"/>
          <w:szCs w:val="32"/>
        </w:rPr>
        <w:t>（二）到托管</w:t>
      </w:r>
      <w:r>
        <w:rPr>
          <w:rFonts w:hint="eastAsia" w:eastAsia="仿宋_GB2312"/>
          <w:sz w:val="32"/>
          <w:szCs w:val="32"/>
        </w:rPr>
        <w:t>金融</w:t>
      </w:r>
      <w:r>
        <w:rPr>
          <w:rFonts w:eastAsia="仿宋_GB2312"/>
          <w:sz w:val="32"/>
          <w:szCs w:val="32"/>
        </w:rPr>
        <w:t>机构办理新设外商投资企业基本信息登记</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eastAsia="仿宋_GB2312"/>
          <w:sz w:val="32"/>
          <w:szCs w:val="32"/>
        </w:rPr>
      </w:pPr>
      <w:r>
        <w:rPr>
          <w:rFonts w:eastAsia="仿宋_GB2312"/>
          <w:sz w:val="32"/>
          <w:szCs w:val="32"/>
        </w:rPr>
        <w:t>（三）按照外汇管理部门相关规定办理外汇登记、账户开立、资金汇兑、信息报送等事宜。</w:t>
      </w: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方正黑体_GBK" w:hAnsi="方正黑体_GBK" w:eastAsia="方正黑体_GBK" w:cs="方正黑体_GBK"/>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 xml:space="preserve">章 </w:t>
      </w:r>
      <w:r>
        <w:rPr>
          <w:rFonts w:hint="eastAsia" w:ascii="黑体" w:hAnsi="黑体" w:eastAsia="黑体" w:cs="黑体"/>
          <w:sz w:val="32"/>
          <w:szCs w:val="32"/>
          <w:lang w:val="en-US" w:eastAsia="zh-CN"/>
        </w:rPr>
        <w:t>监督</w:t>
      </w:r>
      <w:r>
        <w:rPr>
          <w:rFonts w:hint="eastAsia" w:ascii="黑体" w:hAnsi="黑体" w:eastAsia="黑体" w:cs="黑体"/>
          <w:sz w:val="32"/>
          <w:szCs w:val="32"/>
        </w:rPr>
        <w:t>管理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eastAsia="仿宋_GB2312"/>
          <w:sz w:val="32"/>
          <w:szCs w:val="32"/>
        </w:rPr>
      </w:pPr>
      <w:r>
        <w:rPr>
          <w:rFonts w:eastAsia="仿宋_GB2312"/>
          <w:b/>
          <w:bCs/>
          <w:sz w:val="32"/>
          <w:szCs w:val="32"/>
        </w:rPr>
        <w:t>第二十</w:t>
      </w:r>
      <w:r>
        <w:rPr>
          <w:rFonts w:hint="eastAsia" w:eastAsia="仿宋_GB2312"/>
          <w:b/>
          <w:bCs/>
          <w:sz w:val="32"/>
          <w:szCs w:val="32"/>
          <w:lang w:val="en-US" w:eastAsia="zh-CN"/>
        </w:rPr>
        <w:t>二</w:t>
      </w:r>
      <w:r>
        <w:rPr>
          <w:rFonts w:eastAsia="仿宋_GB2312"/>
          <w:b/>
          <w:bCs/>
          <w:sz w:val="32"/>
          <w:szCs w:val="32"/>
        </w:rPr>
        <w:t>条</w:t>
      </w:r>
      <w:r>
        <w:rPr>
          <w:rFonts w:eastAsia="仿宋_GB2312"/>
          <w:sz w:val="32"/>
          <w:szCs w:val="32"/>
        </w:rPr>
        <w:t xml:space="preserve"> 市地方金融监管局负责试点工作的监督管理，各有关部门根据各自职能负责相关管理工作。试点企业注册地各县（市）区应对试点基金管理企业及其管理的基金履行属地管理责任。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eastAsia" w:eastAsia="仿宋_GB2312"/>
          <w:sz w:val="32"/>
          <w:szCs w:val="32"/>
          <w:lang w:eastAsia="zh-CN"/>
        </w:rPr>
      </w:pPr>
      <w:r>
        <w:rPr>
          <w:rFonts w:eastAsia="仿宋_GB2312"/>
          <w:b/>
          <w:bCs/>
          <w:sz w:val="32"/>
          <w:szCs w:val="32"/>
        </w:rPr>
        <w:t>第二十</w:t>
      </w:r>
      <w:r>
        <w:rPr>
          <w:rFonts w:hint="eastAsia" w:eastAsia="仿宋_GB2312"/>
          <w:b/>
          <w:bCs/>
          <w:sz w:val="32"/>
          <w:szCs w:val="32"/>
          <w:lang w:val="en-US" w:eastAsia="zh-CN"/>
        </w:rPr>
        <w:t>三</w:t>
      </w:r>
      <w:r>
        <w:rPr>
          <w:rFonts w:eastAsia="仿宋_GB2312"/>
          <w:b/>
          <w:bCs/>
          <w:sz w:val="32"/>
          <w:szCs w:val="32"/>
        </w:rPr>
        <w:t xml:space="preserve">条 </w:t>
      </w:r>
      <w:r>
        <w:rPr>
          <w:rFonts w:hint="eastAsia" w:eastAsia="仿宋_GB2312"/>
          <w:sz w:val="32"/>
          <w:szCs w:val="32"/>
        </w:rPr>
        <w:t>试点企业如涉及境内非公开募集的，外商投资股权投资管理企业应在取得试点资格文件12个月内，完成在中国证券投资基金业协会的登记</w:t>
      </w:r>
      <w:r>
        <w:rPr>
          <w:rFonts w:hint="eastAsia" w:eastAsia="仿宋_GB2312"/>
          <w:sz w:val="32"/>
          <w:szCs w:val="32"/>
          <w:lang w:eastAsia="zh-CN"/>
        </w:rPr>
        <w:t>；</w:t>
      </w:r>
      <w:r>
        <w:rPr>
          <w:rFonts w:hint="eastAsia" w:eastAsia="仿宋_GB2312"/>
          <w:sz w:val="32"/>
          <w:szCs w:val="32"/>
        </w:rPr>
        <w:t>并成立首个外商投资股权投资企业或境内私募股权、创业投资基金，在中国证券投资基金业协会规定的时限内完成私募基金备案。未及时办理基金管理人登记和基金备案手续的，市地方金融监管局会同有关部门有权取消其试点资格并对外公示。</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left"/>
        <w:textAlignment w:val="auto"/>
        <w:rPr>
          <w:rFonts w:eastAsia="仿宋_GB2312"/>
          <w:sz w:val="32"/>
          <w:szCs w:val="32"/>
        </w:rPr>
      </w:pPr>
      <w:r>
        <w:rPr>
          <w:rFonts w:eastAsia="仿宋_GB2312"/>
          <w:b/>
          <w:bCs/>
          <w:sz w:val="32"/>
          <w:szCs w:val="32"/>
        </w:rPr>
        <w:t>第二十</w:t>
      </w:r>
      <w:r>
        <w:rPr>
          <w:rFonts w:hint="eastAsia" w:eastAsia="仿宋_GB2312"/>
          <w:b/>
          <w:bCs/>
          <w:sz w:val="32"/>
          <w:szCs w:val="32"/>
          <w:lang w:val="en-US" w:eastAsia="zh-CN"/>
        </w:rPr>
        <w:t>四</w:t>
      </w:r>
      <w:r>
        <w:rPr>
          <w:rFonts w:eastAsia="仿宋_GB2312"/>
          <w:b/>
          <w:bCs/>
          <w:sz w:val="32"/>
          <w:szCs w:val="32"/>
        </w:rPr>
        <w:t>条</w:t>
      </w:r>
      <w:r>
        <w:rPr>
          <w:rFonts w:hint="eastAsia" w:eastAsia="仿宋_GB2312"/>
          <w:b/>
          <w:bCs/>
          <w:sz w:val="32"/>
          <w:szCs w:val="32"/>
        </w:rPr>
        <w:t xml:space="preserve"> </w:t>
      </w:r>
      <w:r>
        <w:rPr>
          <w:rFonts w:hint="eastAsia" w:eastAsia="仿宋_GB2312"/>
          <w:sz w:val="32"/>
          <w:szCs w:val="32"/>
        </w:rPr>
        <w:t>试点企业按照《私募投资基金监督管理暂行办法》以及</w:t>
      </w:r>
      <w:r>
        <w:rPr>
          <w:rFonts w:hint="eastAsia" w:eastAsia="仿宋_GB2312"/>
          <w:sz w:val="32"/>
          <w:szCs w:val="32"/>
          <w:lang w:eastAsia="zh-CN"/>
        </w:rPr>
        <w:t>中国证券投资基金业协会</w:t>
      </w:r>
      <w:r>
        <w:rPr>
          <w:rFonts w:hint="eastAsia" w:eastAsia="仿宋_GB2312"/>
          <w:sz w:val="32"/>
          <w:szCs w:val="32"/>
        </w:rPr>
        <w:t>相关要求办理托管</w:t>
      </w:r>
      <w:r>
        <w:rPr>
          <w:rFonts w:eastAsia="仿宋_GB2312"/>
          <w:sz w:val="32"/>
          <w:szCs w:val="32"/>
        </w:rPr>
        <w:t>，原则</w:t>
      </w:r>
      <w:r>
        <w:rPr>
          <w:rFonts w:hint="eastAsia" w:eastAsia="仿宋_GB2312"/>
          <w:sz w:val="32"/>
          <w:szCs w:val="32"/>
        </w:rPr>
        <w:t>应当委托</w:t>
      </w:r>
      <w:r>
        <w:rPr>
          <w:rFonts w:hint="eastAsia" w:eastAsia="仿宋_GB2312"/>
          <w:sz w:val="32"/>
          <w:szCs w:val="32"/>
          <w:lang w:val="en-US" w:eastAsia="zh-CN"/>
        </w:rPr>
        <w:t>南通</w:t>
      </w:r>
      <w:r>
        <w:rPr>
          <w:rFonts w:hint="eastAsia" w:eastAsia="仿宋_GB2312"/>
          <w:sz w:val="32"/>
          <w:szCs w:val="32"/>
        </w:rPr>
        <w:t>市内经国家金融监管部门批准的具备资金托管能力和资质的商业银行机构作为资金托管银行。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eastAsia="仿宋_GB2312"/>
          <w:sz w:val="32"/>
          <w:szCs w:val="32"/>
        </w:rPr>
      </w:pPr>
      <w:r>
        <w:rPr>
          <w:rFonts w:eastAsia="仿宋_GB2312"/>
          <w:sz w:val="32"/>
          <w:szCs w:val="32"/>
        </w:rPr>
        <w:t>托管</w:t>
      </w:r>
      <w:r>
        <w:rPr>
          <w:rFonts w:hint="eastAsia" w:eastAsia="仿宋_GB2312"/>
          <w:sz w:val="32"/>
          <w:szCs w:val="32"/>
          <w:lang w:val="en-US" w:eastAsia="zh-CN"/>
        </w:rPr>
        <w:t>银行</w:t>
      </w:r>
      <w:r>
        <w:rPr>
          <w:rFonts w:eastAsia="仿宋_GB2312"/>
          <w:sz w:val="32"/>
          <w:szCs w:val="32"/>
        </w:rPr>
        <w:t>应按照有关规定，履行国际收支申报义务，完整保留试点企业的账户收支信息备查。</w:t>
      </w:r>
      <w:r>
        <w:rPr>
          <w:rFonts w:hint="eastAsia" w:ascii="Times New Roman" w:hAnsi="Times New Roman" w:eastAsia="仿宋_GB2312" w:cs="Times New Roman"/>
          <w:spacing w:val="0"/>
          <w:kern w:val="2"/>
          <w:sz w:val="32"/>
          <w:szCs w:val="32"/>
          <w:lang w:val="en-US" w:eastAsia="zh-CN" w:bidi="ar-SA"/>
        </w:rPr>
        <w:t>托管银行应当对试点企业托管账户内资金使用的真实性、合规性进行审查，监督试点企业在其经营范围内依法合规使用托管账户内资金，在项目清算时进行反欺诈、反洗钱相关核查，并督促企业缴纳相关税费。发现可疑</w:t>
      </w:r>
      <w:r>
        <w:rPr>
          <w:rFonts w:eastAsia="仿宋_GB2312"/>
          <w:sz w:val="32"/>
          <w:szCs w:val="32"/>
        </w:rPr>
        <w:t>情况须立即向市地方金融监管局报告。</w:t>
      </w:r>
    </w:p>
    <w:p>
      <w:pPr>
        <w:pStyle w:val="2"/>
        <w:keepNext w:val="0"/>
        <w:keepLines w:val="0"/>
        <w:pageBreakBefore w:val="0"/>
        <w:widowControl w:val="0"/>
        <w:kinsoku/>
        <w:wordWrap/>
        <w:overflowPunct/>
        <w:topLinePunct w:val="0"/>
        <w:autoSpaceDE/>
        <w:autoSpaceDN/>
        <w:bidi w:val="0"/>
        <w:snapToGrid/>
        <w:spacing w:line="590" w:lineRule="exact"/>
        <w:ind w:firstLine="643" w:firstLineChars="200"/>
        <w:textAlignment w:val="auto"/>
        <w:rPr>
          <w:sz w:val="32"/>
          <w:szCs w:val="32"/>
        </w:rPr>
      </w:pPr>
      <w:r>
        <w:rPr>
          <w:rFonts w:hint="eastAsia" w:ascii="Times New Roman" w:hAnsi="Times New Roman" w:eastAsia="仿宋_GB2312" w:cs="Times New Roman"/>
          <w:b/>
          <w:bCs/>
          <w:spacing w:val="0"/>
          <w:kern w:val="2"/>
          <w:sz w:val="32"/>
          <w:szCs w:val="32"/>
          <w:lang w:val="en-US" w:eastAsia="zh-CN" w:bidi="ar-SA"/>
        </w:rPr>
        <w:t>第</w:t>
      </w:r>
      <w:r>
        <w:rPr>
          <w:rFonts w:hint="eastAsia" w:eastAsia="仿宋_GB2312" w:cs="Times New Roman"/>
          <w:b/>
          <w:bCs/>
          <w:spacing w:val="0"/>
          <w:kern w:val="2"/>
          <w:sz w:val="32"/>
          <w:szCs w:val="32"/>
          <w:lang w:val="en-US" w:eastAsia="zh-CN" w:bidi="ar-SA"/>
        </w:rPr>
        <w:t>二</w:t>
      </w:r>
      <w:r>
        <w:rPr>
          <w:rFonts w:hint="eastAsia" w:ascii="Times New Roman" w:hAnsi="Times New Roman" w:eastAsia="仿宋_GB2312" w:cs="Times New Roman"/>
          <w:b/>
          <w:bCs/>
          <w:spacing w:val="0"/>
          <w:kern w:val="2"/>
          <w:sz w:val="32"/>
          <w:szCs w:val="32"/>
          <w:lang w:val="en-US" w:eastAsia="zh-CN" w:bidi="ar-SA"/>
        </w:rPr>
        <w:t>十</w:t>
      </w:r>
      <w:r>
        <w:rPr>
          <w:rFonts w:hint="eastAsia" w:eastAsia="仿宋_GB2312" w:cs="Times New Roman"/>
          <w:b/>
          <w:bCs/>
          <w:spacing w:val="0"/>
          <w:kern w:val="2"/>
          <w:sz w:val="32"/>
          <w:szCs w:val="32"/>
          <w:lang w:val="en-US" w:eastAsia="zh-CN" w:bidi="ar-SA"/>
        </w:rPr>
        <w:t>五</w:t>
      </w:r>
      <w:r>
        <w:rPr>
          <w:rFonts w:hint="eastAsia" w:ascii="Times New Roman" w:hAnsi="Times New Roman" w:eastAsia="仿宋_GB2312" w:cs="Times New Roman"/>
          <w:b/>
          <w:bCs/>
          <w:spacing w:val="0"/>
          <w:kern w:val="2"/>
          <w:sz w:val="32"/>
          <w:szCs w:val="32"/>
          <w:lang w:val="en-US" w:eastAsia="zh-CN" w:bidi="ar-SA"/>
        </w:rPr>
        <w:t>条  </w:t>
      </w:r>
      <w:r>
        <w:rPr>
          <w:rFonts w:hint="eastAsia" w:ascii="Times New Roman" w:hAnsi="Times New Roman" w:eastAsia="仿宋_GB2312" w:cs="Times New Roman"/>
          <w:spacing w:val="0"/>
          <w:kern w:val="2"/>
          <w:sz w:val="32"/>
          <w:szCs w:val="32"/>
          <w:lang w:val="en-US" w:eastAsia="zh-CN" w:bidi="ar-SA"/>
        </w:rPr>
        <w:t>外商投资股权投资管理企业、符合本办法第十</w:t>
      </w:r>
      <w:r>
        <w:rPr>
          <w:rFonts w:hint="eastAsia" w:eastAsia="仿宋_GB2312" w:cs="Times New Roman"/>
          <w:spacing w:val="0"/>
          <w:kern w:val="2"/>
          <w:sz w:val="32"/>
          <w:szCs w:val="32"/>
          <w:lang w:val="en-US" w:eastAsia="zh-CN" w:bidi="ar-SA"/>
        </w:rPr>
        <w:t>三</w:t>
      </w:r>
      <w:r>
        <w:rPr>
          <w:rFonts w:hint="eastAsia" w:ascii="Times New Roman" w:hAnsi="Times New Roman" w:eastAsia="仿宋_GB2312" w:cs="Times New Roman"/>
          <w:spacing w:val="0"/>
          <w:kern w:val="2"/>
          <w:sz w:val="32"/>
          <w:szCs w:val="32"/>
          <w:lang w:val="en-US" w:eastAsia="zh-CN" w:bidi="ar-SA"/>
        </w:rPr>
        <w:t>条规定的境内私募股权、创业投资基金管理企业，应当与其发起设立的股权投资企业的普通合伙人构成关联关系，对其发起募集的基金承担监督管理责任。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eastAsia="仿宋_GB2312"/>
          <w:sz w:val="32"/>
          <w:szCs w:val="32"/>
        </w:rPr>
      </w:pPr>
      <w:r>
        <w:rPr>
          <w:rFonts w:eastAsia="仿宋_GB2312"/>
          <w:b/>
          <w:bCs/>
          <w:sz w:val="32"/>
          <w:szCs w:val="32"/>
        </w:rPr>
        <w:t>第</w:t>
      </w:r>
      <w:r>
        <w:rPr>
          <w:rFonts w:hint="eastAsia" w:eastAsia="仿宋_GB2312"/>
          <w:b/>
          <w:bCs/>
          <w:sz w:val="32"/>
          <w:szCs w:val="32"/>
          <w:lang w:val="en-US" w:eastAsia="zh-CN"/>
        </w:rPr>
        <w:t>二</w:t>
      </w:r>
      <w:r>
        <w:rPr>
          <w:rFonts w:eastAsia="仿宋_GB2312"/>
          <w:b/>
          <w:bCs/>
          <w:sz w:val="32"/>
          <w:szCs w:val="32"/>
        </w:rPr>
        <w:t>十</w:t>
      </w:r>
      <w:r>
        <w:rPr>
          <w:rFonts w:hint="eastAsia" w:eastAsia="仿宋_GB2312"/>
          <w:b/>
          <w:bCs/>
          <w:sz w:val="32"/>
          <w:szCs w:val="32"/>
          <w:lang w:val="en-US" w:eastAsia="zh-CN"/>
        </w:rPr>
        <w:t>六</w:t>
      </w:r>
      <w:r>
        <w:rPr>
          <w:rFonts w:eastAsia="仿宋_GB2312"/>
          <w:b/>
          <w:bCs/>
          <w:sz w:val="32"/>
          <w:szCs w:val="32"/>
        </w:rPr>
        <w:t xml:space="preserve">条 </w:t>
      </w:r>
      <w:r>
        <w:rPr>
          <w:rFonts w:eastAsia="仿宋_GB2312"/>
          <w:sz w:val="32"/>
          <w:szCs w:val="32"/>
        </w:rPr>
        <w:t>试点企业发生企业名称、注册地址、基金管理人、法定代表人/执行事务合伙人、股东/合伙人、高管人员等事项变更的，应到试点</w:t>
      </w:r>
      <w:r>
        <w:rPr>
          <w:rFonts w:hint="eastAsia" w:eastAsia="仿宋_GB2312"/>
          <w:sz w:val="32"/>
          <w:szCs w:val="32"/>
          <w:lang w:val="en-US" w:eastAsia="zh-CN"/>
        </w:rPr>
        <w:t>工作</w:t>
      </w:r>
      <w:r>
        <w:rPr>
          <w:rFonts w:eastAsia="仿宋_GB2312"/>
          <w:sz w:val="32"/>
          <w:szCs w:val="32"/>
        </w:rPr>
        <w:t>联系部门</w:t>
      </w:r>
      <w:r>
        <w:rPr>
          <w:rFonts w:hint="eastAsia" w:eastAsia="仿宋_GB2312"/>
          <w:sz w:val="32"/>
          <w:szCs w:val="32"/>
          <w:lang w:eastAsia="zh-CN"/>
        </w:rPr>
        <w:t>（</w:t>
      </w:r>
      <w:r>
        <w:rPr>
          <w:rFonts w:hint="eastAsia" w:eastAsia="仿宋_GB2312"/>
          <w:sz w:val="32"/>
          <w:szCs w:val="32"/>
          <w:lang w:val="en-US" w:eastAsia="zh-CN"/>
        </w:rPr>
        <w:t>市地方金融监管局</w:t>
      </w:r>
      <w:r>
        <w:rPr>
          <w:rFonts w:hint="eastAsia" w:eastAsia="仿宋_GB2312"/>
          <w:sz w:val="32"/>
          <w:szCs w:val="32"/>
          <w:lang w:eastAsia="zh-CN"/>
        </w:rPr>
        <w:t>）</w:t>
      </w:r>
      <w:r>
        <w:rPr>
          <w:rFonts w:eastAsia="仿宋_GB2312"/>
          <w:sz w:val="32"/>
          <w:szCs w:val="32"/>
        </w:rPr>
        <w:t>办理备案。</w:t>
      </w:r>
    </w:p>
    <w:p>
      <w:pPr>
        <w:pStyle w:val="2"/>
        <w:keepNext w:val="0"/>
        <w:keepLines w:val="0"/>
        <w:pageBreakBefore w:val="0"/>
        <w:widowControl w:val="0"/>
        <w:kinsoku/>
        <w:wordWrap/>
        <w:overflowPunct/>
        <w:topLinePunct w:val="0"/>
        <w:autoSpaceDE/>
        <w:autoSpaceDN/>
        <w:bidi w:val="0"/>
        <w:snapToGrid/>
        <w:spacing w:line="590" w:lineRule="exact"/>
        <w:ind w:firstLine="643" w:firstLineChars="200"/>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b/>
          <w:bCs/>
          <w:spacing w:val="0"/>
          <w:kern w:val="2"/>
          <w:sz w:val="32"/>
          <w:szCs w:val="32"/>
          <w:lang w:val="en-US" w:eastAsia="zh-CN" w:bidi="ar-SA"/>
        </w:rPr>
        <w:t>第二十</w:t>
      </w:r>
      <w:r>
        <w:rPr>
          <w:rFonts w:hint="eastAsia" w:eastAsia="仿宋_GB2312" w:cs="Times New Roman"/>
          <w:b/>
          <w:bCs/>
          <w:spacing w:val="0"/>
          <w:kern w:val="2"/>
          <w:sz w:val="32"/>
          <w:szCs w:val="32"/>
          <w:lang w:val="en-US" w:eastAsia="zh-CN" w:bidi="ar-SA"/>
        </w:rPr>
        <w:t>七</w:t>
      </w:r>
      <w:r>
        <w:rPr>
          <w:rFonts w:hint="eastAsia" w:ascii="Times New Roman" w:hAnsi="Times New Roman" w:eastAsia="仿宋_GB2312" w:cs="Times New Roman"/>
          <w:b/>
          <w:bCs/>
          <w:spacing w:val="0"/>
          <w:kern w:val="2"/>
          <w:sz w:val="32"/>
          <w:szCs w:val="32"/>
          <w:lang w:val="en-US" w:eastAsia="zh-CN" w:bidi="ar-SA"/>
        </w:rPr>
        <w:t>条  </w:t>
      </w:r>
      <w:r>
        <w:rPr>
          <w:rFonts w:hint="eastAsia" w:ascii="Times New Roman" w:hAnsi="Times New Roman" w:eastAsia="仿宋_GB2312" w:cs="Times New Roman"/>
          <w:spacing w:val="0"/>
          <w:kern w:val="2"/>
          <w:sz w:val="32"/>
          <w:szCs w:val="32"/>
          <w:lang w:val="en-US" w:eastAsia="zh-CN" w:bidi="ar-SA"/>
        </w:rPr>
        <w:t>试点企业办理变更事项时，需递交如下申请材料：</w:t>
      </w:r>
    </w:p>
    <w:p>
      <w:pPr>
        <w:pStyle w:val="2"/>
        <w:keepNext w:val="0"/>
        <w:keepLines w:val="0"/>
        <w:pageBreakBefore w:val="0"/>
        <w:widowControl w:val="0"/>
        <w:kinsoku/>
        <w:wordWrap/>
        <w:overflowPunct/>
        <w:topLinePunct w:val="0"/>
        <w:autoSpaceDE/>
        <w:autoSpaceDN/>
        <w:bidi w:val="0"/>
        <w:snapToGrid/>
        <w:spacing w:line="590" w:lineRule="exact"/>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　　（一）申请报告；</w:t>
      </w:r>
    </w:p>
    <w:p>
      <w:pPr>
        <w:pStyle w:val="2"/>
        <w:keepNext w:val="0"/>
        <w:keepLines w:val="0"/>
        <w:pageBreakBefore w:val="0"/>
        <w:widowControl w:val="0"/>
        <w:kinsoku/>
        <w:wordWrap/>
        <w:overflowPunct/>
        <w:topLinePunct w:val="0"/>
        <w:autoSpaceDE/>
        <w:autoSpaceDN/>
        <w:bidi w:val="0"/>
        <w:snapToGrid/>
        <w:spacing w:line="590" w:lineRule="exact"/>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　　（二）股东会、董事会或合伙人会议作出的变更决议；</w:t>
      </w:r>
    </w:p>
    <w:p>
      <w:pPr>
        <w:pStyle w:val="2"/>
        <w:keepNext w:val="0"/>
        <w:keepLines w:val="0"/>
        <w:pageBreakBefore w:val="0"/>
        <w:widowControl w:val="0"/>
        <w:kinsoku/>
        <w:wordWrap/>
        <w:overflowPunct/>
        <w:topLinePunct w:val="0"/>
        <w:autoSpaceDE/>
        <w:autoSpaceDN/>
        <w:bidi w:val="0"/>
        <w:snapToGrid/>
        <w:spacing w:line="590" w:lineRule="exact"/>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　　（三）若变更企业名称，还需递交企业名称相关材料；若变更法定代表人、高级管理人员，还需递交拟任人员简历及身份证复印件；若变更股东或合伙人，还需递交本办法第十八条中第（三）项材料；</w:t>
      </w:r>
    </w:p>
    <w:p>
      <w:pPr>
        <w:pStyle w:val="2"/>
        <w:keepNext w:val="0"/>
        <w:keepLines w:val="0"/>
        <w:pageBreakBefore w:val="0"/>
        <w:widowControl w:val="0"/>
        <w:kinsoku/>
        <w:wordWrap/>
        <w:overflowPunct/>
        <w:topLinePunct w:val="0"/>
        <w:autoSpaceDE/>
        <w:autoSpaceDN/>
        <w:bidi w:val="0"/>
        <w:snapToGrid/>
        <w:spacing w:line="590" w:lineRule="exact"/>
        <w:textAlignment w:val="auto"/>
        <w:rPr>
          <w:rFonts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　　（四）市有关部门要求的其他材料。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eastAsia="仿宋_GB2312"/>
          <w:sz w:val="32"/>
          <w:szCs w:val="32"/>
        </w:rPr>
      </w:pPr>
      <w:r>
        <w:rPr>
          <w:rFonts w:eastAsia="仿宋_GB2312"/>
          <w:b/>
          <w:bCs/>
          <w:sz w:val="32"/>
          <w:szCs w:val="32"/>
        </w:rPr>
        <w:t>第</w:t>
      </w:r>
      <w:r>
        <w:rPr>
          <w:rFonts w:hint="eastAsia" w:eastAsia="仿宋_GB2312"/>
          <w:b/>
          <w:bCs/>
          <w:sz w:val="32"/>
          <w:szCs w:val="32"/>
          <w:lang w:val="en-US" w:eastAsia="zh-CN"/>
        </w:rPr>
        <w:t>二</w:t>
      </w:r>
      <w:r>
        <w:rPr>
          <w:rFonts w:eastAsia="仿宋_GB2312"/>
          <w:b/>
          <w:bCs/>
          <w:sz w:val="32"/>
          <w:szCs w:val="32"/>
        </w:rPr>
        <w:t>十</w:t>
      </w:r>
      <w:r>
        <w:rPr>
          <w:rFonts w:hint="eastAsia" w:eastAsia="仿宋_GB2312"/>
          <w:b/>
          <w:bCs/>
          <w:sz w:val="32"/>
          <w:szCs w:val="32"/>
          <w:lang w:val="en-US" w:eastAsia="zh-CN"/>
        </w:rPr>
        <w:t>八</w:t>
      </w:r>
      <w:r>
        <w:rPr>
          <w:rFonts w:eastAsia="仿宋_GB2312"/>
          <w:b/>
          <w:bCs/>
          <w:sz w:val="32"/>
          <w:szCs w:val="32"/>
        </w:rPr>
        <w:t>条</w:t>
      </w:r>
      <w:r>
        <w:rPr>
          <w:rFonts w:eastAsia="仿宋_GB2312"/>
          <w:sz w:val="32"/>
          <w:szCs w:val="32"/>
        </w:rPr>
        <w:t xml:space="preserve"> 试点基金管理企业须按季度向试点</w:t>
      </w:r>
      <w:r>
        <w:rPr>
          <w:rFonts w:hint="eastAsia" w:eastAsia="仿宋_GB2312"/>
          <w:sz w:val="32"/>
          <w:szCs w:val="32"/>
          <w:lang w:val="en-US" w:eastAsia="zh-CN"/>
        </w:rPr>
        <w:t>工作</w:t>
      </w:r>
      <w:r>
        <w:rPr>
          <w:rFonts w:eastAsia="仿宋_GB2312"/>
          <w:sz w:val="32"/>
          <w:szCs w:val="32"/>
        </w:rPr>
        <w:t>联系部门</w:t>
      </w:r>
      <w:r>
        <w:rPr>
          <w:rFonts w:hint="eastAsia" w:eastAsia="仿宋_GB2312"/>
          <w:sz w:val="32"/>
          <w:szCs w:val="32"/>
          <w:lang w:eastAsia="zh-CN"/>
        </w:rPr>
        <w:t>（</w:t>
      </w:r>
      <w:r>
        <w:rPr>
          <w:rFonts w:eastAsia="仿宋_GB2312"/>
          <w:sz w:val="32"/>
          <w:szCs w:val="32"/>
        </w:rPr>
        <w:t>市地方金融监管局</w:t>
      </w:r>
      <w:r>
        <w:rPr>
          <w:rFonts w:hint="eastAsia" w:eastAsia="仿宋_GB2312"/>
          <w:sz w:val="32"/>
          <w:szCs w:val="32"/>
          <w:lang w:eastAsia="zh-CN"/>
        </w:rPr>
        <w:t>）</w:t>
      </w:r>
      <w:r>
        <w:rPr>
          <w:rFonts w:eastAsia="仿宋_GB2312"/>
          <w:sz w:val="32"/>
          <w:szCs w:val="32"/>
        </w:rPr>
        <w:t>报送基金运作情况，包括但不限于投资者实缴出资、资金汇兑、项目投资退出情况、经注册会计师审计的年度财务报告、投资运作过程中的重大事件等。</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eastAsia="仿宋_GB2312"/>
          <w:sz w:val="32"/>
          <w:szCs w:val="32"/>
        </w:rPr>
      </w:pPr>
      <w:r>
        <w:rPr>
          <w:rFonts w:hint="eastAsia" w:eastAsia="仿宋_GB2312"/>
          <w:sz w:val="32"/>
          <w:szCs w:val="32"/>
        </w:rPr>
        <w:t>试点工作联系部门</w:t>
      </w:r>
      <w:r>
        <w:rPr>
          <w:rFonts w:hint="eastAsia" w:eastAsia="仿宋_GB2312"/>
          <w:sz w:val="32"/>
          <w:szCs w:val="32"/>
          <w:lang w:eastAsia="zh-CN"/>
        </w:rPr>
        <w:t>（</w:t>
      </w:r>
      <w:r>
        <w:rPr>
          <w:rFonts w:hint="eastAsia" w:eastAsia="仿宋_GB2312"/>
          <w:sz w:val="32"/>
          <w:szCs w:val="32"/>
          <w:lang w:val="en-US" w:eastAsia="zh-CN"/>
        </w:rPr>
        <w:t>市地方金融监管局</w:t>
      </w:r>
      <w:r>
        <w:rPr>
          <w:rFonts w:hint="eastAsia" w:eastAsia="仿宋_GB2312"/>
          <w:sz w:val="32"/>
          <w:szCs w:val="32"/>
          <w:lang w:eastAsia="zh-CN"/>
        </w:rPr>
        <w:t>）</w:t>
      </w:r>
      <w:r>
        <w:rPr>
          <w:rFonts w:eastAsia="仿宋_GB2312"/>
          <w:sz w:val="32"/>
          <w:szCs w:val="32"/>
        </w:rPr>
        <w:t>也可根据试点工作需要向试点企业、托管金融机构调取资料，相关机构应予以配合。</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eastAsia="仿宋_GB2312"/>
          <w:sz w:val="32"/>
          <w:szCs w:val="32"/>
        </w:rPr>
      </w:pPr>
      <w:r>
        <w:rPr>
          <w:rFonts w:eastAsia="仿宋_GB2312"/>
          <w:b/>
          <w:bCs/>
          <w:sz w:val="32"/>
          <w:szCs w:val="32"/>
        </w:rPr>
        <w:t>第</w:t>
      </w:r>
      <w:r>
        <w:rPr>
          <w:rFonts w:hint="eastAsia" w:eastAsia="仿宋_GB2312"/>
          <w:b/>
          <w:bCs/>
          <w:sz w:val="32"/>
          <w:szCs w:val="32"/>
          <w:lang w:val="en-US" w:eastAsia="zh-CN"/>
        </w:rPr>
        <w:t>二</w:t>
      </w:r>
      <w:r>
        <w:rPr>
          <w:rFonts w:eastAsia="仿宋_GB2312"/>
          <w:b/>
          <w:bCs/>
          <w:sz w:val="32"/>
          <w:szCs w:val="32"/>
        </w:rPr>
        <w:t>十</w:t>
      </w:r>
      <w:r>
        <w:rPr>
          <w:rFonts w:hint="eastAsia" w:eastAsia="仿宋_GB2312"/>
          <w:b/>
          <w:bCs/>
          <w:sz w:val="32"/>
          <w:szCs w:val="32"/>
          <w:lang w:val="en-US" w:eastAsia="zh-CN"/>
        </w:rPr>
        <w:t>九</w:t>
      </w:r>
      <w:r>
        <w:rPr>
          <w:rFonts w:eastAsia="仿宋_GB2312"/>
          <w:b/>
          <w:bCs/>
          <w:sz w:val="32"/>
          <w:szCs w:val="32"/>
        </w:rPr>
        <w:t xml:space="preserve">条 </w:t>
      </w:r>
      <w:r>
        <w:rPr>
          <w:rFonts w:eastAsia="仿宋_GB2312"/>
          <w:sz w:val="32"/>
          <w:szCs w:val="32"/>
        </w:rPr>
        <w:t>试点企业可采用股权转让、减资、清算等国家法律法规允许的方式退出被投资企业，并按照《中华人民共和国公司法》《中华人民共和国合伙企业法》等相关规定进行利润分配、减资和解散清算。</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eastAsia="仿宋_GB2312"/>
          <w:sz w:val="32"/>
          <w:szCs w:val="32"/>
        </w:rPr>
      </w:pPr>
      <w:r>
        <w:rPr>
          <w:rFonts w:eastAsia="仿宋_GB2312"/>
          <w:sz w:val="32"/>
          <w:szCs w:val="32"/>
        </w:rPr>
        <w:t>试点企业或其实际控制人应当在有关程序启动、终止的</w:t>
      </w:r>
      <w:r>
        <w:rPr>
          <w:rFonts w:ascii="Times New Roman" w:hAnsi="Times New Roman" w:eastAsia="仿宋_GB2312"/>
          <w:sz w:val="32"/>
          <w:szCs w:val="32"/>
        </w:rPr>
        <w:t>10</w:t>
      </w:r>
      <w:r>
        <w:rPr>
          <w:rFonts w:eastAsia="仿宋_GB2312"/>
          <w:sz w:val="32"/>
          <w:szCs w:val="32"/>
        </w:rPr>
        <w:t>个工作日内将相关情况报试点</w:t>
      </w:r>
      <w:r>
        <w:rPr>
          <w:rFonts w:hint="eastAsia" w:eastAsia="仿宋_GB2312"/>
          <w:sz w:val="32"/>
          <w:szCs w:val="32"/>
          <w:lang w:val="en-US" w:eastAsia="zh-CN"/>
        </w:rPr>
        <w:t>工作</w:t>
      </w:r>
      <w:r>
        <w:rPr>
          <w:rFonts w:eastAsia="仿宋_GB2312"/>
          <w:sz w:val="32"/>
          <w:szCs w:val="32"/>
        </w:rPr>
        <w:t>联系部门</w:t>
      </w:r>
      <w:r>
        <w:rPr>
          <w:rFonts w:hint="eastAsia" w:eastAsia="仿宋_GB2312"/>
          <w:sz w:val="32"/>
          <w:szCs w:val="32"/>
          <w:lang w:eastAsia="zh-CN"/>
        </w:rPr>
        <w:t>（</w:t>
      </w:r>
      <w:r>
        <w:rPr>
          <w:rFonts w:eastAsia="仿宋_GB2312"/>
          <w:sz w:val="32"/>
          <w:szCs w:val="32"/>
        </w:rPr>
        <w:t>市地方金融监管局</w:t>
      </w:r>
      <w:r>
        <w:rPr>
          <w:rFonts w:hint="eastAsia" w:eastAsia="仿宋_GB2312"/>
          <w:sz w:val="32"/>
          <w:szCs w:val="32"/>
          <w:lang w:eastAsia="zh-CN"/>
        </w:rPr>
        <w:t>）</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eastAsia="仿宋_GB2312"/>
          <w:sz w:val="32"/>
          <w:szCs w:val="32"/>
        </w:rPr>
      </w:pPr>
      <w:r>
        <w:rPr>
          <w:rFonts w:eastAsia="仿宋_GB2312"/>
          <w:b/>
          <w:bCs/>
          <w:sz w:val="32"/>
          <w:szCs w:val="32"/>
        </w:rPr>
        <w:t>第</w:t>
      </w:r>
      <w:r>
        <w:rPr>
          <w:rFonts w:hint="eastAsia" w:eastAsia="仿宋_GB2312"/>
          <w:b/>
          <w:bCs/>
          <w:sz w:val="32"/>
          <w:szCs w:val="32"/>
          <w:lang w:val="en-US" w:eastAsia="zh-CN"/>
        </w:rPr>
        <w:t>三</w:t>
      </w:r>
      <w:r>
        <w:rPr>
          <w:rFonts w:eastAsia="仿宋_GB2312"/>
          <w:b/>
          <w:bCs/>
          <w:sz w:val="32"/>
          <w:szCs w:val="32"/>
        </w:rPr>
        <w:t>十条</w:t>
      </w:r>
      <w:r>
        <w:rPr>
          <w:rFonts w:hint="eastAsia" w:eastAsia="仿宋_GB2312"/>
          <w:b/>
          <w:bCs/>
          <w:sz w:val="32"/>
          <w:szCs w:val="32"/>
        </w:rPr>
        <w:t xml:space="preserve"> </w:t>
      </w:r>
      <w:r>
        <w:rPr>
          <w:rFonts w:hint="eastAsia" w:eastAsia="仿宋_GB2312"/>
          <w:sz w:val="32"/>
          <w:szCs w:val="32"/>
        </w:rPr>
        <w:t>外商投资股权投资</w:t>
      </w:r>
      <w:r>
        <w:rPr>
          <w:rFonts w:hint="eastAsia" w:eastAsia="仿宋_GB2312"/>
          <w:sz w:val="32"/>
          <w:szCs w:val="32"/>
          <w:lang w:val="en-US" w:eastAsia="zh-CN"/>
        </w:rPr>
        <w:t>类企业</w:t>
      </w:r>
      <w:r>
        <w:rPr>
          <w:rFonts w:hint="eastAsia" w:eastAsia="仿宋_GB2312"/>
          <w:sz w:val="32"/>
          <w:szCs w:val="32"/>
        </w:rPr>
        <w:t>退出试点业务后，管理企业应办理外汇注销登记。</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eastAsia="仿宋_GB2312"/>
          <w:sz w:val="32"/>
          <w:szCs w:val="32"/>
        </w:rPr>
      </w:pPr>
      <w:r>
        <w:rPr>
          <w:rFonts w:eastAsia="仿宋_GB2312"/>
          <w:b/>
          <w:bCs/>
          <w:sz w:val="32"/>
          <w:szCs w:val="32"/>
        </w:rPr>
        <w:t>第三十</w:t>
      </w:r>
      <w:r>
        <w:rPr>
          <w:rFonts w:hint="eastAsia" w:eastAsia="仿宋_GB2312"/>
          <w:b/>
          <w:bCs/>
          <w:sz w:val="32"/>
          <w:szCs w:val="32"/>
          <w:lang w:val="en-US" w:eastAsia="zh-CN"/>
        </w:rPr>
        <w:t>一</w:t>
      </w:r>
      <w:r>
        <w:rPr>
          <w:rFonts w:eastAsia="仿宋_GB2312"/>
          <w:b/>
          <w:bCs/>
          <w:sz w:val="32"/>
          <w:szCs w:val="32"/>
        </w:rPr>
        <w:t>条</w:t>
      </w:r>
      <w:r>
        <w:rPr>
          <w:rFonts w:hint="eastAsia" w:eastAsia="仿宋_GB2312"/>
          <w:b/>
          <w:bCs/>
          <w:sz w:val="32"/>
          <w:szCs w:val="32"/>
          <w:lang w:val="en-US" w:eastAsia="zh-CN"/>
        </w:rPr>
        <w:t xml:space="preserve"> </w:t>
      </w:r>
      <w:r>
        <w:rPr>
          <w:rFonts w:eastAsia="仿宋_GB2312"/>
          <w:sz w:val="32"/>
          <w:szCs w:val="32"/>
        </w:rPr>
        <w:t>试点企业违反国家法律、法规、规章或本办法规定的，市地方金融监管局应会同有关部门查实。情况属实的，应责令其整改；逾期未改正的，将取消其试点资格并向社会公告，会同相关部门按情节轻重依法予以惩处。构成犯罪的，依法追究刑事责任。</w:t>
      </w:r>
    </w:p>
    <w:p>
      <w:pPr>
        <w:pStyle w:val="2"/>
        <w:keepNext w:val="0"/>
        <w:keepLines w:val="0"/>
        <w:pageBreakBefore w:val="0"/>
        <w:widowControl w:val="0"/>
        <w:kinsoku/>
        <w:wordWrap/>
        <w:overflowPunct/>
        <w:topLinePunct w:val="0"/>
        <w:autoSpaceDE/>
        <w:autoSpaceDN/>
        <w:bidi w:val="0"/>
        <w:snapToGrid/>
        <w:spacing w:line="590" w:lineRule="exact"/>
        <w:textAlignment w:val="auto"/>
        <w:rPr>
          <w:sz w:val="32"/>
          <w:szCs w:val="32"/>
        </w:rPr>
      </w:pPr>
      <w:r>
        <w:rPr>
          <w:rFonts w:hint="eastAsia" w:ascii="Times New Roman" w:hAnsi="Times New Roman" w:eastAsia="仿宋_GB2312" w:cs="Times New Roman"/>
          <w:spacing w:val="0"/>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章 附 则</w:t>
      </w:r>
    </w:p>
    <w:p>
      <w:pPr>
        <w:pStyle w:val="2"/>
        <w:keepNext w:val="0"/>
        <w:keepLines w:val="0"/>
        <w:pageBreakBefore w:val="0"/>
        <w:widowControl w:val="0"/>
        <w:kinsoku/>
        <w:wordWrap/>
        <w:overflowPunct/>
        <w:topLinePunct w:val="0"/>
        <w:autoSpaceDE/>
        <w:autoSpaceDN/>
        <w:bidi w:val="0"/>
        <w:adjustRightInd w:val="0"/>
        <w:snapToGrid/>
        <w:spacing w:line="590" w:lineRule="exact"/>
        <w:jc w:val="both"/>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　</w:t>
      </w:r>
      <w:r>
        <w:rPr>
          <w:rFonts w:hint="eastAsia" w:eastAsia="仿宋_GB2312" w:cs="Times New Roman"/>
          <w:spacing w:val="0"/>
          <w:kern w:val="2"/>
          <w:sz w:val="32"/>
          <w:szCs w:val="32"/>
          <w:lang w:val="en-US" w:eastAsia="zh-CN" w:bidi="ar-SA"/>
        </w:rPr>
        <w:t xml:space="preserve">  </w:t>
      </w:r>
      <w:r>
        <w:rPr>
          <w:rFonts w:hint="eastAsia" w:ascii="Times New Roman" w:hAnsi="Times New Roman" w:eastAsia="仿宋_GB2312" w:cs="Times New Roman"/>
          <w:b/>
          <w:bCs/>
          <w:spacing w:val="0"/>
          <w:kern w:val="2"/>
          <w:sz w:val="32"/>
          <w:szCs w:val="32"/>
          <w:lang w:val="en-US" w:eastAsia="zh-CN" w:bidi="ar-SA"/>
        </w:rPr>
        <w:t>第三十二条</w:t>
      </w:r>
      <w:r>
        <w:rPr>
          <w:rFonts w:hint="eastAsia" w:ascii="Times New Roman" w:hAnsi="Times New Roman" w:eastAsia="仿宋_GB2312" w:cs="Times New Roman"/>
          <w:spacing w:val="0"/>
          <w:kern w:val="2"/>
          <w:sz w:val="32"/>
          <w:szCs w:val="32"/>
          <w:lang w:val="en-US" w:eastAsia="zh-CN" w:bidi="ar-SA"/>
        </w:rPr>
        <w:t>  香港特别行政区、澳门特别行政区、台湾地区的投资者在</w:t>
      </w:r>
      <w:r>
        <w:rPr>
          <w:rFonts w:hint="eastAsia" w:eastAsia="仿宋_GB2312" w:cs="Times New Roman"/>
          <w:spacing w:val="0"/>
          <w:kern w:val="2"/>
          <w:sz w:val="32"/>
          <w:szCs w:val="32"/>
          <w:lang w:val="en-US" w:eastAsia="zh-CN" w:bidi="ar-SA"/>
        </w:rPr>
        <w:t>南通</w:t>
      </w:r>
      <w:r>
        <w:rPr>
          <w:rFonts w:hint="eastAsia" w:ascii="Times New Roman" w:hAnsi="Times New Roman" w:eastAsia="仿宋_GB2312" w:cs="Times New Roman"/>
          <w:spacing w:val="0"/>
          <w:kern w:val="2"/>
          <w:sz w:val="32"/>
          <w:szCs w:val="32"/>
          <w:lang w:val="en-US" w:eastAsia="zh-CN" w:bidi="ar-SA"/>
        </w:rPr>
        <w:t>市投资设立外商投资股权投资类企业，参照本办法执行。</w:t>
      </w:r>
    </w:p>
    <w:p>
      <w:pPr>
        <w:pStyle w:val="2"/>
        <w:keepNext w:val="0"/>
        <w:keepLines w:val="0"/>
        <w:pageBreakBefore w:val="0"/>
        <w:widowControl w:val="0"/>
        <w:kinsoku/>
        <w:wordWrap/>
        <w:overflowPunct/>
        <w:topLinePunct w:val="0"/>
        <w:autoSpaceDE/>
        <w:autoSpaceDN/>
        <w:bidi w:val="0"/>
        <w:adjustRightInd w:val="0"/>
        <w:snapToGrid/>
        <w:spacing w:line="590" w:lineRule="exact"/>
        <w:jc w:val="both"/>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　　</w:t>
      </w:r>
      <w:r>
        <w:rPr>
          <w:rFonts w:hint="eastAsia" w:ascii="Times New Roman" w:hAnsi="Times New Roman" w:eastAsia="仿宋_GB2312" w:cs="Times New Roman"/>
          <w:b/>
          <w:bCs/>
          <w:spacing w:val="0"/>
          <w:kern w:val="2"/>
          <w:sz w:val="32"/>
          <w:szCs w:val="32"/>
          <w:lang w:val="en-US" w:eastAsia="zh-CN" w:bidi="ar-SA"/>
        </w:rPr>
        <w:t>第三十三条</w:t>
      </w:r>
      <w:r>
        <w:rPr>
          <w:rFonts w:hint="eastAsia" w:ascii="Times New Roman" w:hAnsi="Times New Roman" w:eastAsia="仿宋_GB2312" w:cs="Times New Roman"/>
          <w:spacing w:val="0"/>
          <w:kern w:val="2"/>
          <w:sz w:val="32"/>
          <w:szCs w:val="32"/>
          <w:lang w:val="en-US" w:eastAsia="zh-CN" w:bidi="ar-SA"/>
        </w:rPr>
        <w:t>  试点企业募集境外资金应遵守境外投资者所在地监管部门有关规定，试点基金募集境内资金应遵守中国证监会、中国基金业协会有关规定。</w:t>
      </w:r>
    </w:p>
    <w:p>
      <w:pPr>
        <w:pStyle w:val="2"/>
        <w:keepNext w:val="0"/>
        <w:keepLines w:val="0"/>
        <w:pageBreakBefore w:val="0"/>
        <w:widowControl w:val="0"/>
        <w:kinsoku/>
        <w:wordWrap/>
        <w:overflowPunct/>
        <w:topLinePunct w:val="0"/>
        <w:autoSpaceDE/>
        <w:autoSpaceDN/>
        <w:bidi w:val="0"/>
        <w:adjustRightInd w:val="0"/>
        <w:snapToGrid/>
        <w:spacing w:line="590" w:lineRule="exact"/>
        <w:jc w:val="both"/>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　　</w:t>
      </w:r>
      <w:r>
        <w:rPr>
          <w:rFonts w:hint="eastAsia" w:ascii="Times New Roman" w:hAnsi="Times New Roman" w:eastAsia="仿宋_GB2312" w:cs="Times New Roman"/>
          <w:b/>
          <w:bCs/>
          <w:spacing w:val="0"/>
          <w:kern w:val="2"/>
          <w:sz w:val="32"/>
          <w:szCs w:val="32"/>
          <w:lang w:val="en-US" w:eastAsia="zh-CN" w:bidi="ar-SA"/>
        </w:rPr>
        <w:t>第三十四条</w:t>
      </w:r>
      <w:r>
        <w:rPr>
          <w:rFonts w:hint="eastAsia" w:ascii="Times New Roman" w:hAnsi="Times New Roman" w:eastAsia="仿宋_GB2312" w:cs="Times New Roman"/>
          <w:spacing w:val="0"/>
          <w:kern w:val="2"/>
          <w:sz w:val="32"/>
          <w:szCs w:val="32"/>
          <w:lang w:val="en-US" w:eastAsia="zh-CN" w:bidi="ar-SA"/>
        </w:rPr>
        <w:t>  本办法由市地方金融监管局负责具体解释工作。</w:t>
      </w:r>
    </w:p>
    <w:p>
      <w:pPr>
        <w:pStyle w:val="2"/>
        <w:keepNext w:val="0"/>
        <w:keepLines w:val="0"/>
        <w:pageBreakBefore w:val="0"/>
        <w:widowControl w:val="0"/>
        <w:kinsoku/>
        <w:wordWrap/>
        <w:overflowPunct/>
        <w:topLinePunct w:val="0"/>
        <w:autoSpaceDE/>
        <w:autoSpaceDN/>
        <w:bidi w:val="0"/>
        <w:adjustRightInd w:val="0"/>
        <w:snapToGrid/>
        <w:spacing w:line="590" w:lineRule="exact"/>
        <w:ind w:firstLine="643" w:firstLineChars="200"/>
        <w:jc w:val="both"/>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b/>
          <w:bCs/>
          <w:spacing w:val="0"/>
          <w:kern w:val="2"/>
          <w:sz w:val="32"/>
          <w:szCs w:val="32"/>
          <w:lang w:val="en-US" w:eastAsia="zh-CN" w:bidi="ar-SA"/>
        </w:rPr>
        <w:t xml:space="preserve">第三十五条 </w:t>
      </w:r>
      <w:r>
        <w:rPr>
          <w:rFonts w:hint="eastAsia" w:ascii="Times New Roman" w:hAnsi="Times New Roman" w:eastAsia="仿宋_GB2312" w:cs="Times New Roman"/>
          <w:spacing w:val="0"/>
          <w:kern w:val="2"/>
          <w:sz w:val="32"/>
          <w:szCs w:val="32"/>
          <w:lang w:val="en-US" w:eastAsia="zh-CN" w:bidi="ar-SA"/>
        </w:rPr>
        <w:t xml:space="preserve">本办法自发布之日起施行，有效期至2026年12 月。 </w:t>
      </w:r>
    </w:p>
    <w:p>
      <w:pPr>
        <w:keepNext w:val="0"/>
        <w:keepLines w:val="0"/>
        <w:pageBreakBefore w:val="0"/>
        <w:widowControl w:val="0"/>
        <w:kinsoku/>
        <w:wordWrap/>
        <w:overflowPunct/>
        <w:topLinePunct w:val="0"/>
        <w:autoSpaceDE/>
        <w:autoSpaceDN/>
        <w:bidi w:val="0"/>
        <w:snapToGrid/>
        <w:spacing w:line="590" w:lineRule="exact"/>
        <w:ind w:firstLine="803"/>
        <w:textAlignment w:val="auto"/>
        <w:rPr>
          <w:rFonts w:hint="default"/>
          <w:lang w:val="en-US"/>
        </w:rPr>
      </w:pPr>
    </w:p>
    <w:p>
      <w:pPr>
        <w:pStyle w:val="2"/>
        <w:rPr>
          <w:rFonts w:hint="default"/>
          <w:lang w:val="en-US"/>
        </w:rPr>
      </w:pPr>
    </w:p>
    <w:p>
      <w:pPr>
        <w:rPr>
          <w:rFonts w:hint="default"/>
          <w:lang w:val="en-US"/>
        </w:rPr>
      </w:pPr>
    </w:p>
    <w:p>
      <w:pPr>
        <w:pStyle w:val="2"/>
        <w:rPr>
          <w:rFonts w:hint="default"/>
          <w:lang w:val="en-US"/>
        </w:rPr>
      </w:pPr>
    </w:p>
    <w:p>
      <w:pPr>
        <w:rPr>
          <w:rFonts w:hint="default"/>
          <w:lang w:val="en-US"/>
        </w:rPr>
      </w:pPr>
    </w:p>
    <w:p>
      <w:pPr>
        <w:pStyle w:val="2"/>
        <w:rPr>
          <w:rFonts w:hint="default"/>
          <w:lang w:val="en-US"/>
        </w:rPr>
      </w:pPr>
    </w:p>
    <w:p>
      <w:pPr>
        <w:pStyle w:val="2"/>
        <w:rPr>
          <w:rFonts w:hint="default"/>
          <w:lang w:val="en-US"/>
        </w:rPr>
      </w:pPr>
    </w:p>
    <w:p>
      <w:pPr>
        <w:rPr>
          <w:rFonts w:hint="default"/>
          <w:lang w:val="en-US"/>
        </w:rPr>
      </w:pPr>
    </w:p>
    <w:p>
      <w:pPr>
        <w:pStyle w:val="2"/>
        <w:rPr>
          <w:rFonts w:hint="default"/>
          <w:lang w:val="en-US"/>
        </w:rPr>
      </w:pPr>
    </w:p>
    <w:p>
      <w:pPr>
        <w:rPr>
          <w:rFonts w:hint="default"/>
          <w:lang w:val="en-US"/>
        </w:rPr>
      </w:pPr>
    </w:p>
    <w:p>
      <w:pPr>
        <w:pStyle w:val="2"/>
        <w:rPr>
          <w:rFonts w:hint="default"/>
          <w:lang w:val="en-US"/>
        </w:rPr>
      </w:pPr>
    </w:p>
    <w:p>
      <w:pPr>
        <w:rPr>
          <w:rFonts w:hint="default"/>
          <w:lang w:val="en-US"/>
        </w:rPr>
      </w:pPr>
    </w:p>
    <w:p>
      <w:pPr>
        <w:pStyle w:val="2"/>
        <w:rPr>
          <w:rFonts w:hint="default"/>
          <w:lang w:val="en-US"/>
        </w:rPr>
      </w:pPr>
    </w:p>
    <w:p>
      <w:pPr>
        <w:rPr>
          <w:rFonts w:hint="default"/>
          <w:lang w:val="en-US"/>
        </w:rPr>
      </w:pPr>
    </w:p>
    <w:p>
      <w:pPr>
        <w:pStyle w:val="2"/>
        <w:rPr>
          <w:rFonts w:hint="default"/>
          <w:lang w:val="en-US"/>
        </w:rPr>
      </w:pPr>
    </w:p>
    <w:p>
      <w:pPr>
        <w:rPr>
          <w:rFonts w:hint="default"/>
          <w:lang w:val="en-US"/>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814" w:right="1531" w:bottom="1984" w:left="1531" w:header="720" w:footer="147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C96B3E-7B74-4AD9-A5AC-6C86BD32A6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embedRegular r:id="rId2" w:fontKey="{4981076C-6B66-4603-BA65-3951C802640F}"/>
  </w:font>
  <w:font w:name="方正小标宋_GBK">
    <w:panose1 w:val="03000509000000000000"/>
    <w:charset w:val="86"/>
    <w:family w:val="script"/>
    <w:pitch w:val="default"/>
    <w:sig w:usb0="00000001" w:usb1="080E0000" w:usb2="00000000" w:usb3="00000000" w:csb0="00040000" w:csb1="00000000"/>
    <w:embedRegular r:id="rId3" w:fontKey="{E0679DC4-4C2F-43E3-BE83-F4C049AE84FD}"/>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E425C874-25D8-4A4B-90CC-8DD57DF51E88}"/>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5" w:fontKey="{99B6CD9E-BBA9-4169-BBFB-1CE9F7CF2709}"/>
  </w:font>
  <w:font w:name="方正楷体_GBK">
    <w:panose1 w:val="03000509000000000000"/>
    <w:charset w:val="86"/>
    <w:family w:val="script"/>
    <w:pitch w:val="default"/>
    <w:sig w:usb0="00000001" w:usb1="080E0000" w:usb2="00000000" w:usb3="00000000" w:csb0="00040000" w:csb1="00000000"/>
    <w:embedRegular r:id="rId6" w:fontKey="{1032AD5D-77BE-4D9D-8260-80FFF96FD1B3}"/>
  </w:font>
  <w:font w:name="楷体_GB2312">
    <w:panose1 w:val="02010609030101010101"/>
    <w:charset w:val="86"/>
    <w:family w:val="auto"/>
    <w:pitch w:val="default"/>
    <w:sig w:usb0="00000001" w:usb1="080E0000" w:usb2="00000000" w:usb3="00000000" w:csb0="00040000" w:csb1="00000000"/>
    <w:embedRegular r:id="rId7" w:fontKey="{823EC363-1EB1-4811-AC8E-1B872EF8EA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keepNext w:val="0"/>
                  <w:keepLines w:val="0"/>
                  <w:pageBreakBefore w:val="0"/>
                  <w:widowControl w:val="0"/>
                  <w:kinsoku/>
                  <w:wordWrap/>
                  <w:overflowPunct w:val="0"/>
                  <w:topLinePunct w:val="0"/>
                  <w:autoSpaceDE/>
                  <w:autoSpaceDN/>
                  <w:bidi w:val="0"/>
                  <w:adjustRightInd/>
                  <w:snapToGrid w:val="0"/>
                  <w:ind w:right="40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92875"/>
    <w:multiLevelType w:val="singleLevel"/>
    <w:tmpl w:val="2E492875"/>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jNjg0OTUzYzM0NDdlODRmMTYwZjM2OTAwZmJiZTcifQ=="/>
  </w:docVars>
  <w:rsids>
    <w:rsidRoot w:val="00614054"/>
    <w:rsid w:val="0000324E"/>
    <w:rsid w:val="000077F1"/>
    <w:rsid w:val="00043881"/>
    <w:rsid w:val="000466A9"/>
    <w:rsid w:val="00067F41"/>
    <w:rsid w:val="00112957"/>
    <w:rsid w:val="001C3119"/>
    <w:rsid w:val="002143BB"/>
    <w:rsid w:val="00260F31"/>
    <w:rsid w:val="002828D4"/>
    <w:rsid w:val="003362E1"/>
    <w:rsid w:val="00351EE6"/>
    <w:rsid w:val="0039674D"/>
    <w:rsid w:val="003A19DB"/>
    <w:rsid w:val="003E75C7"/>
    <w:rsid w:val="00480889"/>
    <w:rsid w:val="004860A3"/>
    <w:rsid w:val="00510E05"/>
    <w:rsid w:val="00560E2D"/>
    <w:rsid w:val="005B3D86"/>
    <w:rsid w:val="005F4184"/>
    <w:rsid w:val="00614054"/>
    <w:rsid w:val="006B4F97"/>
    <w:rsid w:val="006C7952"/>
    <w:rsid w:val="006F46EF"/>
    <w:rsid w:val="00755F3B"/>
    <w:rsid w:val="007B073E"/>
    <w:rsid w:val="007B5A7F"/>
    <w:rsid w:val="007C2B9D"/>
    <w:rsid w:val="007C770D"/>
    <w:rsid w:val="007D1B57"/>
    <w:rsid w:val="00823CCF"/>
    <w:rsid w:val="00833BBA"/>
    <w:rsid w:val="008B2D96"/>
    <w:rsid w:val="008B48A1"/>
    <w:rsid w:val="00A72C93"/>
    <w:rsid w:val="00BB413F"/>
    <w:rsid w:val="00C70BFB"/>
    <w:rsid w:val="00CA2FF8"/>
    <w:rsid w:val="00D7586A"/>
    <w:rsid w:val="00D85CD2"/>
    <w:rsid w:val="00DC2F61"/>
    <w:rsid w:val="00E65BB8"/>
    <w:rsid w:val="00F02F99"/>
    <w:rsid w:val="00F230B3"/>
    <w:rsid w:val="00F7674A"/>
    <w:rsid w:val="00F92DF8"/>
    <w:rsid w:val="00FE50C2"/>
    <w:rsid w:val="040F216C"/>
    <w:rsid w:val="04796F52"/>
    <w:rsid w:val="08817A0C"/>
    <w:rsid w:val="091320A7"/>
    <w:rsid w:val="09454BBF"/>
    <w:rsid w:val="095F0E85"/>
    <w:rsid w:val="09AB7DE6"/>
    <w:rsid w:val="09E638BB"/>
    <w:rsid w:val="0A1977EC"/>
    <w:rsid w:val="0A801619"/>
    <w:rsid w:val="0B2D1015"/>
    <w:rsid w:val="0BEB6F66"/>
    <w:rsid w:val="0CB35867"/>
    <w:rsid w:val="0CBB102F"/>
    <w:rsid w:val="0CE258B1"/>
    <w:rsid w:val="0FCB0426"/>
    <w:rsid w:val="11B524F0"/>
    <w:rsid w:val="125053DB"/>
    <w:rsid w:val="12C0114D"/>
    <w:rsid w:val="13464EA3"/>
    <w:rsid w:val="13D529D6"/>
    <w:rsid w:val="146401FE"/>
    <w:rsid w:val="14954E96"/>
    <w:rsid w:val="165C616A"/>
    <w:rsid w:val="16A3500D"/>
    <w:rsid w:val="17F3167D"/>
    <w:rsid w:val="18585984"/>
    <w:rsid w:val="1B903686"/>
    <w:rsid w:val="1FF73CD4"/>
    <w:rsid w:val="20D075AF"/>
    <w:rsid w:val="2129610F"/>
    <w:rsid w:val="21FA5591"/>
    <w:rsid w:val="227635D6"/>
    <w:rsid w:val="23683A07"/>
    <w:rsid w:val="2485147F"/>
    <w:rsid w:val="272657A2"/>
    <w:rsid w:val="27673E35"/>
    <w:rsid w:val="28B22916"/>
    <w:rsid w:val="294A756A"/>
    <w:rsid w:val="2A7C3754"/>
    <w:rsid w:val="2B12230A"/>
    <w:rsid w:val="2B3F75B2"/>
    <w:rsid w:val="2B7B1DC1"/>
    <w:rsid w:val="2BAC1E16"/>
    <w:rsid w:val="2C8D1C48"/>
    <w:rsid w:val="2E174D5B"/>
    <w:rsid w:val="2F3157FE"/>
    <w:rsid w:val="30053916"/>
    <w:rsid w:val="304C2062"/>
    <w:rsid w:val="32C831C6"/>
    <w:rsid w:val="3375050C"/>
    <w:rsid w:val="338866DE"/>
    <w:rsid w:val="3394317E"/>
    <w:rsid w:val="33CD045F"/>
    <w:rsid w:val="355E653E"/>
    <w:rsid w:val="36C114D4"/>
    <w:rsid w:val="36DC07FD"/>
    <w:rsid w:val="37364881"/>
    <w:rsid w:val="37BF3D44"/>
    <w:rsid w:val="3D2263DC"/>
    <w:rsid w:val="3DDE5493"/>
    <w:rsid w:val="3DFF7E84"/>
    <w:rsid w:val="3E2E1BE3"/>
    <w:rsid w:val="3F43088C"/>
    <w:rsid w:val="3FA43BD2"/>
    <w:rsid w:val="40791145"/>
    <w:rsid w:val="41F30347"/>
    <w:rsid w:val="426A3C06"/>
    <w:rsid w:val="42993DDB"/>
    <w:rsid w:val="42C436AE"/>
    <w:rsid w:val="43761230"/>
    <w:rsid w:val="45153531"/>
    <w:rsid w:val="46A11D57"/>
    <w:rsid w:val="4B4C0571"/>
    <w:rsid w:val="4C304D42"/>
    <w:rsid w:val="4C7A5C01"/>
    <w:rsid w:val="4CA71484"/>
    <w:rsid w:val="4D6E4D26"/>
    <w:rsid w:val="4DB042BB"/>
    <w:rsid w:val="4E850ED0"/>
    <w:rsid w:val="4EBA4110"/>
    <w:rsid w:val="4F2856D9"/>
    <w:rsid w:val="5030133E"/>
    <w:rsid w:val="50A128CA"/>
    <w:rsid w:val="532E5F1B"/>
    <w:rsid w:val="53803A05"/>
    <w:rsid w:val="55B96520"/>
    <w:rsid w:val="584E4F06"/>
    <w:rsid w:val="590A43E9"/>
    <w:rsid w:val="5AD00DCE"/>
    <w:rsid w:val="5BD42B40"/>
    <w:rsid w:val="5EB03614"/>
    <w:rsid w:val="5EBF4AD0"/>
    <w:rsid w:val="5FB54A36"/>
    <w:rsid w:val="60964868"/>
    <w:rsid w:val="60980E01"/>
    <w:rsid w:val="60BC032F"/>
    <w:rsid w:val="60D84E80"/>
    <w:rsid w:val="62E33669"/>
    <w:rsid w:val="63461871"/>
    <w:rsid w:val="634820D0"/>
    <w:rsid w:val="638F36C4"/>
    <w:rsid w:val="63A4104A"/>
    <w:rsid w:val="64D374C4"/>
    <w:rsid w:val="65AD033E"/>
    <w:rsid w:val="65BF216B"/>
    <w:rsid w:val="65D025CA"/>
    <w:rsid w:val="675A65EF"/>
    <w:rsid w:val="6BE30399"/>
    <w:rsid w:val="6CE10308"/>
    <w:rsid w:val="6D1B431D"/>
    <w:rsid w:val="6D6B4986"/>
    <w:rsid w:val="6F482DC3"/>
    <w:rsid w:val="70A55E3D"/>
    <w:rsid w:val="70B054D2"/>
    <w:rsid w:val="71221BCB"/>
    <w:rsid w:val="71773FD0"/>
    <w:rsid w:val="737B5605"/>
    <w:rsid w:val="73A87A1C"/>
    <w:rsid w:val="74201E8A"/>
    <w:rsid w:val="7487654A"/>
    <w:rsid w:val="749570A3"/>
    <w:rsid w:val="76E16336"/>
    <w:rsid w:val="791C1F95"/>
    <w:rsid w:val="79674B0D"/>
    <w:rsid w:val="79875523"/>
    <w:rsid w:val="7DF06F0E"/>
    <w:rsid w:val="7ECE2DE8"/>
    <w:rsid w:val="7ED61495"/>
    <w:rsid w:val="7F706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Cs w:val="24"/>
      <w:lang w:val="en-US" w:eastAsia="zh-CN" w:bidi="ar-SA"/>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napToGrid/>
      <w:ind w:firstLine="0"/>
      <w:jc w:val="left"/>
    </w:pPr>
    <w:rPr>
      <w:spacing w:val="-25"/>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overflowPunct w:val="0"/>
      <w:snapToGrid w:val="0"/>
      <w:spacing w:line="240" w:lineRule="atLeast"/>
      <w:ind w:firstLine="200" w:firstLineChars="200"/>
      <w:jc w:val="left"/>
    </w:pPr>
    <w:rPr>
      <w:rFonts w:ascii="Times" w:hAnsi="Times" w:eastAsia="方正仿宋_GBK"/>
      <w:sz w:val="18"/>
      <w:szCs w:val="18"/>
    </w:rPr>
  </w:style>
  <w:style w:type="paragraph" w:styleId="6">
    <w:name w:val="header"/>
    <w:basedOn w:val="1"/>
    <w:link w:val="13"/>
    <w:unhideWhenUsed/>
    <w:qFormat/>
    <w:uiPriority w:val="99"/>
    <w:pPr>
      <w:tabs>
        <w:tab w:val="center" w:pos="4153"/>
        <w:tab w:val="right" w:pos="8306"/>
      </w:tabs>
      <w:overflowPunct w:val="0"/>
      <w:snapToGrid w:val="0"/>
      <w:spacing w:line="240" w:lineRule="atLeast"/>
      <w:ind w:firstLine="200" w:firstLineChars="200"/>
      <w:jc w:val="center"/>
    </w:pPr>
    <w:rPr>
      <w:rFonts w:ascii="Times" w:hAnsi="Times" w:eastAsia="方正仿宋_GBK"/>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页眉 Char"/>
    <w:basedOn w:val="10"/>
    <w:link w:val="6"/>
    <w:qFormat/>
    <w:uiPriority w:val="99"/>
    <w:rPr>
      <w:rFonts w:ascii="Times" w:hAnsi="Times" w:eastAsia="方正仿宋_GBK"/>
      <w:sz w:val="18"/>
      <w:szCs w:val="18"/>
    </w:rPr>
  </w:style>
  <w:style w:type="character" w:customStyle="1" w:styleId="14">
    <w:name w:val="页脚 Char"/>
    <w:basedOn w:val="10"/>
    <w:link w:val="5"/>
    <w:qFormat/>
    <w:uiPriority w:val="99"/>
    <w:rPr>
      <w:rFonts w:ascii="Times" w:hAnsi="Times" w:eastAsia="方正仿宋_GBK"/>
      <w:sz w:val="18"/>
      <w:szCs w:val="18"/>
    </w:rPr>
  </w:style>
  <w:style w:type="character" w:customStyle="1" w:styleId="15">
    <w:name w:val="标题 2 Char"/>
    <w:basedOn w:val="10"/>
    <w:link w:val="3"/>
    <w:qFormat/>
    <w:uiPriority w:val="9"/>
    <w:rPr>
      <w:rFonts w:ascii="宋体" w:hAnsi="宋体" w:cs="宋体"/>
      <w:b/>
      <w:bCs/>
      <w:kern w:val="0"/>
      <w:sz w:val="36"/>
      <w:szCs w:val="36"/>
    </w:rPr>
  </w:style>
  <w:style w:type="character" w:customStyle="1" w:styleId="16">
    <w:name w:val="po_weblink"/>
    <w:basedOn w:val="10"/>
    <w:qFormat/>
    <w:uiPriority w:val="0"/>
  </w:style>
  <w:style w:type="character" w:customStyle="1" w:styleId="17">
    <w:name w:val="批注框文本 Char"/>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5386</Words>
  <Characters>5451</Characters>
  <Lines>38</Lines>
  <Paragraphs>10</Paragraphs>
  <TotalTime>52</TotalTime>
  <ScaleCrop>false</ScaleCrop>
  <LinksUpToDate>false</LinksUpToDate>
  <CharactersWithSpaces>5672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2021-12-22T09:08:00Z</dcterms:created>
  <dc:creator>user</dc:creator>
  <cp:lastModifiedBy>Hp</cp:lastModifiedBy>
  <cp:lastPrinted>2022-11-04T08:40:00Z</cp:lastPrinted>
  <dcterms:modified xsi:type="dcterms:W3CDTF">2022-11-24T07:52:33Z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17742ECC7CE04E1C9FA2DD51A2768D0D</vt:lpwstr>
  </property>
</Properties>
</file>