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color w:val="333333"/>
        </w:rPr>
      </w:pPr>
      <w:r>
        <w:rPr>
          <w:rFonts w:ascii="黑体" w:hAnsi="宋体" w:eastAsia="黑体" w:cs="黑体"/>
          <w:color w:val="000000"/>
          <w:sz w:val="31"/>
          <w:szCs w:val="31"/>
          <w:bdr w:val="none" w:color="auto" w:sz="0" w:space="0"/>
          <w:vertAlign w:val="baseli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Fonts w:ascii="方正小标宋_GBK" w:hAnsi="方正小标宋_GBK" w:eastAsia="方正小标宋_GBK" w:cs="方正小标宋_GBK"/>
          <w:color w:val="000000"/>
          <w:sz w:val="43"/>
          <w:szCs w:val="43"/>
          <w:bdr w:val="none" w:color="auto" w:sz="0" w:space="0"/>
          <w:vertAlign w:val="baseline"/>
        </w:rPr>
        <w:t>小量危废产生单位现场排查表</w:t>
      </w:r>
    </w:p>
    <w:tbl>
      <w:tblPr>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55"/>
        <w:gridCol w:w="1347"/>
        <w:gridCol w:w="1301"/>
        <w:gridCol w:w="1318"/>
        <w:gridCol w:w="26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1089" w:type="pct"/>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ascii="方正仿宋_GBK" w:hAnsi="方正仿宋_GBK" w:eastAsia="方正仿宋_GBK" w:cs="方正仿宋_GBK"/>
                <w:color w:val="333333"/>
                <w:kern w:val="0"/>
                <w:sz w:val="22"/>
                <w:szCs w:val="22"/>
                <w:bdr w:val="none" w:color="auto" w:sz="0" w:space="0"/>
                <w:lang w:val="en-US" w:eastAsia="zh-CN" w:bidi="ar"/>
              </w:rPr>
              <w:t>企业名称</w:t>
            </w:r>
          </w:p>
        </w:tc>
        <w:tc>
          <w:tcPr>
            <w:tcW w:w="1555" w:type="pct"/>
            <w:gridSpan w:val="2"/>
            <w:tcBorders>
              <w:top w:val="single" w:color="auto" w:sz="6" w:space="0"/>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773" w:type="pct"/>
            <w:tcBorders>
              <w:top w:val="single" w:color="auto" w:sz="6" w:space="0"/>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地址</w:t>
            </w:r>
          </w:p>
        </w:tc>
        <w:tc>
          <w:tcPr>
            <w:tcW w:w="1581" w:type="pct"/>
            <w:tcBorders>
              <w:top w:val="single" w:color="auto" w:sz="6" w:space="0"/>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企业联系人</w:t>
            </w: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联系方式</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危废产生种类</w:t>
            </w: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种类1：（企业实际运行中会产生，但目前产生量为0的危险废物也须填报）</w:t>
            </w: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年产生量</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（以2021年计，投运未满一年的以环评文件等预估）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种类2：</w:t>
            </w: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产生量</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1089"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:种类3：</w:t>
            </w: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产生量</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w:t>
            </w: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危废贮存情况</w:t>
            </w: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种类1：</w:t>
            </w: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贮存量</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种类2：</w:t>
            </w: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贮存量</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:种类3：</w:t>
            </w: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贮存量</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555" w:type="pct"/>
            <w:gridSpan w:val="2"/>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w:t>
            </w:r>
          </w:p>
        </w:tc>
        <w:tc>
          <w:tcPr>
            <w:tcW w:w="773"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1089" w:type="pct"/>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危废利用处置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情况</w:t>
            </w:r>
          </w:p>
        </w:tc>
        <w:tc>
          <w:tcPr>
            <w:tcW w:w="2329" w:type="pct"/>
            <w:gridSpan w:val="3"/>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是否委托有资质的企业利用处置</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£是       £否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89"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329" w:type="pct"/>
            <w:gridSpan w:val="3"/>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是否执行电子转移联单</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£是       £否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9" w:type="pct"/>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329" w:type="pct"/>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000000"/>
                <w:kern w:val="0"/>
                <w:sz w:val="24"/>
                <w:szCs w:val="24"/>
                <w:bdr w:val="none" w:color="auto" w:sz="0" w:space="0"/>
                <w:lang w:val="en-US" w:eastAsia="zh-CN" w:bidi="ar"/>
              </w:rPr>
              <w:t>是否纳入市级或省级系统平台管理</w:t>
            </w:r>
          </w:p>
        </w:tc>
        <w:tc>
          <w:tcPr>
            <w:tcW w:w="1581" w:type="pct"/>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£纳入市级平台管理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£纳入省级平台管理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£未纳入平台管理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25" w:hRule="atLeast"/>
          <w:jc w:val="center"/>
        </w:trPr>
        <w:tc>
          <w:tcPr>
            <w:tcW w:w="1880" w:type="pct"/>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color w:val="333333"/>
                <w:sz w:val="21"/>
                <w:szCs w:val="21"/>
              </w:rPr>
            </w:pPr>
            <w:r>
              <w:rPr>
                <w:rFonts w:hint="eastAsia" w:ascii="方正仿宋_GBK" w:hAnsi="方正仿宋_GBK" w:eastAsia="方正仿宋_GBK" w:cs="方正仿宋_GBK"/>
                <w:color w:val="333333"/>
                <w:kern w:val="0"/>
                <w:sz w:val="22"/>
                <w:szCs w:val="22"/>
                <w:bdr w:val="none" w:color="auto" w:sz="0" w:space="0"/>
                <w:lang w:val="en-US" w:eastAsia="zh-CN" w:bidi="ar"/>
              </w:rPr>
              <w:t>检查中发现的问题</w:t>
            </w:r>
          </w:p>
        </w:tc>
        <w:tc>
          <w:tcPr>
            <w:tcW w:w="3119" w:type="pct"/>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rFonts w:hint="eastAsia" w:ascii="方正黑体_GBK" w:hAnsi="方正黑体_GBK" w:eastAsia="方正黑体_GBK" w:cs="方正黑体_GBK"/>
          <w:color w:val="000000"/>
          <w:sz w:val="31"/>
          <w:szCs w:val="31"/>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color w:val="333333"/>
        </w:rPr>
      </w:pPr>
      <w:r>
        <w:rPr>
          <w:rFonts w:hint="eastAsia" w:ascii="方正黑体_GBK" w:hAnsi="方正黑体_GBK" w:eastAsia="方正黑体_GBK" w:cs="方正黑体_GBK"/>
          <w:color w:val="000000"/>
          <w:sz w:val="31"/>
          <w:szCs w:val="31"/>
          <w:bdr w:val="none" w:color="auto" w:sz="0" w:space="0"/>
          <w:vertAlign w:val="baseline"/>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Fonts w:hint="eastAsia" w:ascii="方正小标宋_GBK" w:hAnsi="方正小标宋_GBK" w:eastAsia="方正小标宋_GBK" w:cs="方正小标宋_GBK"/>
          <w:color w:val="000000"/>
          <w:sz w:val="43"/>
          <w:szCs w:val="43"/>
          <w:bdr w:val="none" w:color="auto" w:sz="0" w:space="0"/>
          <w:vertAlign w:val="baseline"/>
        </w:rPr>
        <w:t>小量危废产生单位现场检查要点</w:t>
      </w:r>
    </w:p>
    <w:tbl>
      <w:tblPr>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88"/>
        <w:gridCol w:w="1889"/>
        <w:gridCol w:w="47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Style w:val="5"/>
                <w:rFonts w:hint="eastAsia" w:ascii="方正仿宋_GBK" w:hAnsi="方正仿宋_GBK" w:eastAsia="方正仿宋_GBK" w:cs="方正仿宋_GBK"/>
                <w:b/>
                <w:bCs/>
                <w:color w:val="000000"/>
                <w:sz w:val="24"/>
                <w:szCs w:val="24"/>
                <w:bdr w:val="none" w:color="auto" w:sz="0" w:space="0"/>
                <w:vertAlign w:val="baseline"/>
              </w:rPr>
              <w:t>序号</w:t>
            </w:r>
          </w:p>
        </w:tc>
        <w:tc>
          <w:tcPr>
            <w:tcW w:w="1109" w:type="pct"/>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Style w:val="5"/>
                <w:rFonts w:hint="eastAsia" w:ascii="方正仿宋_GBK" w:hAnsi="方正仿宋_GBK" w:eastAsia="方正仿宋_GBK" w:cs="方正仿宋_GBK"/>
                <w:b/>
                <w:bCs/>
                <w:color w:val="000000"/>
                <w:sz w:val="24"/>
                <w:szCs w:val="24"/>
                <w:bdr w:val="none" w:color="auto" w:sz="0" w:space="0"/>
                <w:vertAlign w:val="baseline"/>
              </w:rPr>
              <w:t>排查项目</w:t>
            </w:r>
          </w:p>
        </w:tc>
        <w:tc>
          <w:tcPr>
            <w:tcW w:w="2781" w:type="pct"/>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Style w:val="5"/>
                <w:rFonts w:hint="eastAsia" w:ascii="方正仿宋_GBK" w:hAnsi="方正仿宋_GBK" w:eastAsia="方正仿宋_GBK" w:cs="方正仿宋_GBK"/>
                <w:b/>
                <w:bCs/>
                <w:color w:val="000000"/>
                <w:sz w:val="24"/>
                <w:szCs w:val="24"/>
                <w:bdr w:val="none" w:color="auto" w:sz="0" w:space="0"/>
                <w:vertAlign w:val="baseline"/>
              </w:rPr>
              <w:t>主要内容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1</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污染环境防治责任制度</w:t>
            </w:r>
          </w:p>
        </w:tc>
        <w:tc>
          <w:tcPr>
            <w:tcW w:w="2781"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1</w:t>
            </w:r>
            <w:r>
              <w:rPr>
                <w:rFonts w:hint="eastAsia" w:ascii="方正仿宋_GBK" w:hAnsi="方正仿宋_GBK" w:eastAsia="方正仿宋_GBK" w:cs="方正仿宋_GBK"/>
                <w:color w:val="000000"/>
                <w:sz w:val="24"/>
                <w:szCs w:val="24"/>
                <w:bdr w:val="none" w:color="auto" w:sz="0" w:space="0"/>
                <w:vertAlign w:val="baseline"/>
              </w:rPr>
              <w:t>、建立涵盖危险废物产生、内部收集、贮存、转移、利用、处置全过程的污染环境防治责任制度，并在显著位置张贴危险废物污染防治责任信息。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2</w:t>
            </w:r>
            <w:r>
              <w:rPr>
                <w:rFonts w:hint="eastAsia" w:ascii="方正仿宋_GBK" w:hAnsi="方正仿宋_GBK" w:eastAsia="方正仿宋_GBK" w:cs="方正仿宋_GBK"/>
                <w:color w:val="000000"/>
                <w:sz w:val="24"/>
                <w:szCs w:val="24"/>
                <w:bdr w:val="none" w:color="auto" w:sz="0" w:space="0"/>
                <w:vertAlign w:val="baseline"/>
              </w:rPr>
              <w:t>、明确任务分配及人员安排，将责任落实到具体岗位、具体人员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2</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标识</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1</w:t>
            </w:r>
            <w:r>
              <w:rPr>
                <w:rFonts w:hint="eastAsia" w:ascii="方正仿宋_GBK" w:hAnsi="方正仿宋_GBK" w:eastAsia="方正仿宋_GBK" w:cs="方正仿宋_GBK"/>
                <w:color w:val="000000"/>
                <w:sz w:val="24"/>
                <w:szCs w:val="24"/>
                <w:bdr w:val="none" w:color="auto" w:sz="0" w:space="0"/>
                <w:vertAlign w:val="baseline"/>
              </w:rPr>
              <w:t>、设置贮存设施警示标志牌。（详见《危险废物贮存污染控制标志》（</w:t>
            </w:r>
            <w:r>
              <w:rPr>
                <w:rFonts w:hint="default" w:ascii="Times New Roman" w:hAnsi="Times New Roman" w:eastAsia="方正仿宋_GBK" w:cs="Times New Roman"/>
                <w:color w:val="000000"/>
                <w:sz w:val="24"/>
                <w:szCs w:val="24"/>
                <w:bdr w:val="none" w:color="auto" w:sz="0" w:space="0"/>
                <w:vertAlign w:val="baseline"/>
              </w:rPr>
              <w:t>GB 18597</w:t>
            </w:r>
            <w:r>
              <w:rPr>
                <w:rFonts w:hint="eastAsia" w:ascii="方正仿宋_GBK" w:hAnsi="方正仿宋_GBK" w:eastAsia="方正仿宋_GBK" w:cs="方正仿宋_GBK"/>
                <w:color w:val="000000"/>
                <w:sz w:val="24"/>
                <w:szCs w:val="24"/>
                <w:bdr w:val="none" w:color="auto" w:sz="0" w:space="0"/>
                <w:vertAlign w:val="baseline"/>
              </w:rPr>
              <w:t>）、《关于进一步加强危险废物污染防治工作的实施意见》（苏环办﹝</w:t>
            </w:r>
            <w:r>
              <w:rPr>
                <w:rFonts w:hint="default" w:ascii="Times New Roman" w:hAnsi="Times New Roman" w:eastAsia="方正仿宋_GBK" w:cs="Times New Roman"/>
                <w:color w:val="000000"/>
                <w:sz w:val="24"/>
                <w:szCs w:val="24"/>
                <w:bdr w:val="none" w:color="auto" w:sz="0" w:space="0"/>
                <w:vertAlign w:val="baseline"/>
              </w:rPr>
              <w:t>2019</w:t>
            </w:r>
            <w:r>
              <w:rPr>
                <w:rFonts w:hint="eastAsia" w:ascii="方正仿宋_GBK" w:hAnsi="方正仿宋_GBK" w:eastAsia="方正仿宋_GBK" w:cs="方正仿宋_GBK"/>
                <w:color w:val="000000"/>
                <w:sz w:val="24"/>
                <w:szCs w:val="24"/>
                <w:bdr w:val="none" w:color="auto" w:sz="0" w:space="0"/>
                <w:vertAlign w:val="baseline"/>
              </w:rPr>
              <w:t>﹞</w:t>
            </w:r>
            <w:r>
              <w:rPr>
                <w:rFonts w:hint="default" w:ascii="Times New Roman" w:hAnsi="Times New Roman" w:eastAsia="方正仿宋_GBK" w:cs="Times New Roman"/>
                <w:color w:val="000000"/>
                <w:sz w:val="24"/>
                <w:szCs w:val="24"/>
                <w:bdr w:val="none" w:color="auto" w:sz="0" w:space="0"/>
                <w:vertAlign w:val="baseline"/>
              </w:rPr>
              <w:t>327</w:t>
            </w:r>
            <w:r>
              <w:rPr>
                <w:rFonts w:hint="eastAsia" w:ascii="方正仿宋_GBK" w:hAnsi="方正仿宋_GBK" w:eastAsia="方正仿宋_GBK" w:cs="方正仿宋_GBK"/>
                <w:color w:val="000000"/>
                <w:sz w:val="24"/>
                <w:szCs w:val="24"/>
                <w:bdr w:val="none" w:color="auto" w:sz="0" w:space="0"/>
                <w:vertAlign w:val="baseline"/>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2</w:t>
            </w:r>
            <w:r>
              <w:rPr>
                <w:rFonts w:hint="eastAsia" w:ascii="方正仿宋_GBK" w:hAnsi="方正仿宋_GBK" w:eastAsia="方正仿宋_GBK" w:cs="方正仿宋_GBK"/>
                <w:color w:val="000000"/>
                <w:sz w:val="24"/>
                <w:szCs w:val="24"/>
                <w:bdr w:val="none" w:color="auto" w:sz="0" w:space="0"/>
                <w:vertAlign w:val="baseline"/>
              </w:rPr>
              <w:t>、危险废物包装识别标签。（详见《省生态环境厅关于印发</w:t>
            </w:r>
            <w:r>
              <w:rPr>
                <w:rFonts w:hint="default" w:ascii="Times New Roman" w:hAnsi="Times New Roman" w:eastAsia="方正仿宋_GBK" w:cs="Times New Roman"/>
                <w:color w:val="000000"/>
                <w:sz w:val="24"/>
                <w:szCs w:val="24"/>
                <w:bdr w:val="none" w:color="auto" w:sz="0" w:space="0"/>
                <w:vertAlign w:val="baseline"/>
              </w:rPr>
              <w:t>&lt;</w:t>
            </w:r>
            <w:r>
              <w:rPr>
                <w:rFonts w:hint="eastAsia" w:ascii="方正仿宋_GBK" w:hAnsi="方正仿宋_GBK" w:eastAsia="方正仿宋_GBK" w:cs="方正仿宋_GBK"/>
                <w:color w:val="000000"/>
                <w:sz w:val="24"/>
                <w:szCs w:val="24"/>
                <w:bdr w:val="none" w:color="auto" w:sz="0" w:space="0"/>
                <w:vertAlign w:val="baseline"/>
              </w:rPr>
              <w:t>江苏省危险废物集中收集体系建设工作方案（试行）</w:t>
            </w:r>
            <w:r>
              <w:rPr>
                <w:rFonts w:hint="default" w:ascii="Times New Roman" w:hAnsi="Times New Roman" w:eastAsia="方正仿宋_GBK" w:cs="Times New Roman"/>
                <w:color w:val="000000"/>
                <w:sz w:val="24"/>
                <w:szCs w:val="24"/>
                <w:bdr w:val="none" w:color="auto" w:sz="0" w:space="0"/>
                <w:vertAlign w:val="baseline"/>
              </w:rPr>
              <w:t>&gt;</w:t>
            </w:r>
            <w:r>
              <w:rPr>
                <w:rFonts w:hint="eastAsia" w:ascii="方正仿宋_GBK" w:hAnsi="方正仿宋_GBK" w:eastAsia="方正仿宋_GBK" w:cs="方正仿宋_GBK"/>
                <w:color w:val="000000"/>
                <w:sz w:val="24"/>
                <w:szCs w:val="24"/>
                <w:bdr w:val="none" w:color="auto" w:sz="0" w:space="0"/>
                <w:vertAlign w:val="baseline"/>
              </w:rPr>
              <w:t>的通知》（苏环办﹝</w:t>
            </w:r>
            <w:r>
              <w:rPr>
                <w:rFonts w:hint="default" w:ascii="Times New Roman" w:hAnsi="Times New Roman" w:eastAsia="方正仿宋_GBK" w:cs="Times New Roman"/>
                <w:color w:val="000000"/>
                <w:sz w:val="24"/>
                <w:szCs w:val="24"/>
                <w:bdr w:val="none" w:color="auto" w:sz="0" w:space="0"/>
                <w:vertAlign w:val="baseline"/>
              </w:rPr>
              <w:t>2021</w:t>
            </w:r>
            <w:r>
              <w:rPr>
                <w:rFonts w:hint="eastAsia" w:ascii="方正仿宋_GBK" w:hAnsi="方正仿宋_GBK" w:eastAsia="方正仿宋_GBK" w:cs="方正仿宋_GBK"/>
                <w:color w:val="000000"/>
                <w:sz w:val="24"/>
                <w:szCs w:val="24"/>
                <w:bdr w:val="none" w:color="auto" w:sz="0" w:space="0"/>
                <w:vertAlign w:val="baseline"/>
              </w:rPr>
              <w:t>﹞</w:t>
            </w:r>
            <w:r>
              <w:rPr>
                <w:rFonts w:hint="default" w:ascii="Times New Roman" w:hAnsi="Times New Roman" w:eastAsia="方正仿宋_GBK" w:cs="Times New Roman"/>
                <w:color w:val="000000"/>
                <w:sz w:val="24"/>
                <w:szCs w:val="24"/>
                <w:bdr w:val="none" w:color="auto" w:sz="0" w:space="0"/>
                <w:vertAlign w:val="baseline"/>
              </w:rPr>
              <w:t>290</w:t>
            </w:r>
            <w:r>
              <w:rPr>
                <w:rFonts w:hint="eastAsia" w:ascii="方正仿宋_GBK" w:hAnsi="方正仿宋_GBK" w:eastAsia="方正仿宋_GBK" w:cs="方正仿宋_GBK"/>
                <w:color w:val="000000"/>
                <w:sz w:val="24"/>
                <w:szCs w:val="24"/>
                <w:bdr w:val="none" w:color="auto" w:sz="0" w:space="0"/>
                <w:vertAlign w:val="baseline"/>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3</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管理计划</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应每年申报年度管理计划，经属地生态环境部门确认后备案。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4</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排污许可</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依法取得排污许可证，并按照许可证要求落实危险废物贮存、委托外单位利用处置等活动。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5</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台账和申报</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1、应在小量危废收集管理系统平台或省危险废物全生命周期监控系统中申报产生、贮存、转移等相关信息，实现废物的信息化追溯。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2、实验室单位向收集容器投放危险废物时，应填写实验室危险废物投放登记表。（详见《省生态环境厅关于印发</w:t>
            </w:r>
            <w:r>
              <w:rPr>
                <w:rFonts w:hint="default" w:ascii="Times New Roman" w:hAnsi="Times New Roman" w:eastAsia="方正仿宋_GBK" w:cs="Times New Roman"/>
                <w:color w:val="000000"/>
                <w:sz w:val="24"/>
                <w:szCs w:val="24"/>
                <w:bdr w:val="none" w:color="auto" w:sz="0" w:space="0"/>
                <w:vertAlign w:val="baseline"/>
              </w:rPr>
              <w:t>&lt;</w:t>
            </w:r>
            <w:r>
              <w:rPr>
                <w:rFonts w:hint="eastAsia" w:ascii="方正仿宋_GBK" w:hAnsi="方正仿宋_GBK" w:eastAsia="方正仿宋_GBK" w:cs="方正仿宋_GBK"/>
                <w:color w:val="000000"/>
                <w:sz w:val="24"/>
                <w:szCs w:val="24"/>
                <w:bdr w:val="none" w:color="auto" w:sz="0" w:space="0"/>
                <w:vertAlign w:val="baseline"/>
              </w:rPr>
              <w:t>江苏省危险废物集中收集体系建设工作方案（试行）</w:t>
            </w:r>
            <w:r>
              <w:rPr>
                <w:rFonts w:hint="default" w:ascii="Times New Roman" w:hAnsi="Times New Roman" w:eastAsia="方正仿宋_GBK" w:cs="Times New Roman"/>
                <w:color w:val="000000"/>
                <w:sz w:val="24"/>
                <w:szCs w:val="24"/>
                <w:bdr w:val="none" w:color="auto" w:sz="0" w:space="0"/>
                <w:vertAlign w:val="baseline"/>
              </w:rPr>
              <w:t>&gt;</w:t>
            </w:r>
            <w:r>
              <w:rPr>
                <w:rFonts w:hint="eastAsia" w:ascii="方正仿宋_GBK" w:hAnsi="方正仿宋_GBK" w:eastAsia="方正仿宋_GBK" w:cs="方正仿宋_GBK"/>
                <w:color w:val="000000"/>
                <w:sz w:val="24"/>
                <w:szCs w:val="24"/>
                <w:bdr w:val="none" w:color="auto" w:sz="0" w:space="0"/>
                <w:vertAlign w:val="baseline"/>
              </w:rPr>
              <w:t>的通知》（苏环办﹝</w:t>
            </w:r>
            <w:r>
              <w:rPr>
                <w:rFonts w:hint="default" w:ascii="Times New Roman" w:hAnsi="Times New Roman" w:eastAsia="方正仿宋_GBK" w:cs="Times New Roman"/>
                <w:color w:val="000000"/>
                <w:sz w:val="24"/>
                <w:szCs w:val="24"/>
                <w:bdr w:val="none" w:color="auto" w:sz="0" w:space="0"/>
                <w:vertAlign w:val="baseline"/>
              </w:rPr>
              <w:t>2021</w:t>
            </w:r>
            <w:r>
              <w:rPr>
                <w:rFonts w:hint="eastAsia" w:ascii="方正仿宋_GBK" w:hAnsi="方正仿宋_GBK" w:eastAsia="方正仿宋_GBK" w:cs="方正仿宋_GBK"/>
                <w:color w:val="000000"/>
                <w:sz w:val="24"/>
                <w:szCs w:val="24"/>
                <w:bdr w:val="none" w:color="auto" w:sz="0" w:space="0"/>
                <w:vertAlign w:val="baseline"/>
              </w:rPr>
              <w:t>﹞</w:t>
            </w:r>
            <w:r>
              <w:rPr>
                <w:rFonts w:hint="default" w:ascii="Times New Roman" w:hAnsi="Times New Roman" w:eastAsia="方正仿宋_GBK" w:cs="Times New Roman"/>
                <w:color w:val="000000"/>
                <w:sz w:val="24"/>
                <w:szCs w:val="24"/>
                <w:bdr w:val="none" w:color="auto" w:sz="0" w:space="0"/>
                <w:vertAlign w:val="baseline"/>
              </w:rPr>
              <w:t>290</w:t>
            </w:r>
            <w:r>
              <w:rPr>
                <w:rFonts w:hint="eastAsia" w:ascii="方正仿宋_GBK" w:hAnsi="方正仿宋_GBK" w:eastAsia="方正仿宋_GBK" w:cs="方正仿宋_GBK"/>
                <w:color w:val="000000"/>
                <w:sz w:val="24"/>
                <w:szCs w:val="24"/>
                <w:bdr w:val="none" w:color="auto" w:sz="0" w:space="0"/>
                <w:vertAlign w:val="baseline"/>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6</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源头分类</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根据危险废物的类别及危险特性进行分类收集、贮存；禁止混合收集、贮存、运输、处置性质不相容的危险废物。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7</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转移联单</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1</w:t>
            </w:r>
            <w:r>
              <w:rPr>
                <w:rFonts w:hint="eastAsia" w:ascii="方正仿宋_GBK" w:hAnsi="方正仿宋_GBK" w:eastAsia="方正仿宋_GBK" w:cs="方正仿宋_GBK"/>
                <w:color w:val="000000"/>
                <w:sz w:val="24"/>
                <w:szCs w:val="24"/>
                <w:bdr w:val="none" w:color="auto" w:sz="0" w:space="0"/>
                <w:vertAlign w:val="baseline"/>
              </w:rPr>
              <w:t>、在小量危废收集管理系统平台或省危险废物全生命周期监控系统中如实填写、运行危险废物转移电子联单。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2</w:t>
            </w:r>
            <w:r>
              <w:rPr>
                <w:rFonts w:hint="eastAsia" w:ascii="方正仿宋_GBK" w:hAnsi="方正仿宋_GBK" w:eastAsia="方正仿宋_GBK" w:cs="方正仿宋_GBK"/>
                <w:color w:val="000000"/>
                <w:sz w:val="24"/>
                <w:szCs w:val="24"/>
                <w:bdr w:val="none" w:color="auto" w:sz="0" w:space="0"/>
                <w:vertAlign w:val="baseline"/>
              </w:rPr>
              <w:t>、涉及跨省转移危险废物的，在转移危险废物前应向生态环境部门申请并获得批准。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8</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环境应急预案备案</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1</w:t>
            </w:r>
            <w:r>
              <w:rPr>
                <w:rFonts w:hint="eastAsia" w:ascii="方正仿宋_GBK" w:hAnsi="方正仿宋_GBK" w:eastAsia="方正仿宋_GBK" w:cs="方正仿宋_GBK"/>
                <w:color w:val="000000"/>
                <w:sz w:val="24"/>
                <w:szCs w:val="24"/>
                <w:bdr w:val="none" w:color="auto" w:sz="0" w:space="0"/>
                <w:vertAlign w:val="baseline"/>
              </w:rPr>
              <w:t>、应制定危险废物意外事故的环境污染防范措施和应急预案，向所在地生态环境主管部门和其他负有固体废物污染环境防治监督管理职责的部门备案。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2</w:t>
            </w:r>
            <w:r>
              <w:rPr>
                <w:rFonts w:hint="eastAsia" w:ascii="方正仿宋_GBK" w:hAnsi="方正仿宋_GBK" w:eastAsia="方正仿宋_GBK" w:cs="方正仿宋_GBK"/>
                <w:color w:val="000000"/>
                <w:sz w:val="24"/>
                <w:szCs w:val="24"/>
                <w:bdr w:val="none" w:color="auto" w:sz="0" w:space="0"/>
                <w:vertAlign w:val="baseline"/>
              </w:rPr>
              <w:t>、产废单位应按照预案要求定期组织环境应急演练，对于危险废物年产生量</w:t>
            </w:r>
            <w:r>
              <w:rPr>
                <w:rFonts w:hint="default" w:ascii="Times New Roman" w:hAnsi="Times New Roman" w:eastAsia="方正仿宋_GBK" w:cs="Times New Roman"/>
                <w:color w:val="000000"/>
                <w:sz w:val="24"/>
                <w:szCs w:val="24"/>
                <w:bdr w:val="none" w:color="auto" w:sz="0" w:space="0"/>
                <w:vertAlign w:val="baseline"/>
              </w:rPr>
              <w:t>10</w:t>
            </w:r>
            <w:r>
              <w:rPr>
                <w:rFonts w:hint="eastAsia" w:ascii="方正仿宋_GBK" w:hAnsi="方正仿宋_GBK" w:eastAsia="方正仿宋_GBK" w:cs="方正仿宋_GBK"/>
                <w:color w:val="000000"/>
                <w:sz w:val="24"/>
                <w:szCs w:val="24"/>
                <w:bdr w:val="none" w:color="auto" w:sz="0" w:space="0"/>
                <w:vertAlign w:val="baseline"/>
              </w:rPr>
              <w:t>吨以下的企业应做好图片、文字或视频记录；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9</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贮存（或收集）管理</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1、不具备建设危险废物贮存设施条件的企业可在危险废物产生区域设置收集点，在地面上涂覆或张贴黄色警戒线，张贴警示标志，明确收集点的区域范围。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cs="Times New Roman"/>
                <w:color w:val="000000"/>
                <w:sz w:val="24"/>
                <w:szCs w:val="24"/>
                <w:bdr w:val="none" w:color="auto" w:sz="0" w:space="0"/>
                <w:vertAlign w:val="baseline"/>
              </w:rPr>
              <w:t>2、</w:t>
            </w:r>
            <w:r>
              <w:rPr>
                <w:rFonts w:hint="eastAsia" w:ascii="方正仿宋_GBK" w:hAnsi="方正仿宋_GBK" w:eastAsia="方正仿宋_GBK" w:cs="方正仿宋_GBK"/>
                <w:color w:val="000000"/>
                <w:sz w:val="24"/>
                <w:szCs w:val="24"/>
                <w:bdr w:val="none" w:color="auto" w:sz="0" w:space="0"/>
                <w:vertAlign w:val="baseline"/>
              </w:rPr>
              <w:t>存放两种及以上不相容危险废物时，应分类分区存放，设置一定距离的间隔。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cs="Times New Roman"/>
                <w:color w:val="000000"/>
                <w:sz w:val="24"/>
                <w:szCs w:val="24"/>
                <w:bdr w:val="none" w:color="auto" w:sz="0" w:space="0"/>
                <w:vertAlign w:val="baseline"/>
              </w:rPr>
              <w:t>3、</w:t>
            </w:r>
            <w:r>
              <w:rPr>
                <w:rFonts w:hint="eastAsia" w:ascii="方正仿宋_GBK" w:hAnsi="方正仿宋_GBK" w:eastAsia="方正仿宋_GBK" w:cs="方正仿宋_GBK"/>
                <w:color w:val="000000"/>
                <w:sz w:val="24"/>
                <w:szCs w:val="24"/>
                <w:bdr w:val="none" w:color="auto" w:sz="0" w:space="0"/>
                <w:vertAlign w:val="baseline"/>
              </w:rPr>
              <w:t>泄露液体收集装置容积应不低于单只容器的最大储存量。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4、需安装</w:t>
            </w:r>
            <w:r>
              <w:rPr>
                <w:rFonts w:hint="default" w:ascii="Times New Roman" w:hAnsi="Times New Roman" w:eastAsia="方正仿宋_GBK" w:cs="Times New Roman"/>
                <w:color w:val="000000"/>
                <w:sz w:val="24"/>
                <w:szCs w:val="24"/>
                <w:bdr w:val="none" w:color="auto" w:sz="0" w:space="0"/>
                <w:vertAlign w:val="baseline"/>
              </w:rPr>
              <w:t>24 h</w:t>
            </w:r>
            <w:r>
              <w:rPr>
                <w:rFonts w:hint="eastAsia" w:ascii="方正仿宋_GBK" w:hAnsi="方正仿宋_GBK" w:eastAsia="方正仿宋_GBK" w:cs="方正仿宋_GBK"/>
                <w:color w:val="000000"/>
                <w:sz w:val="24"/>
                <w:szCs w:val="24"/>
                <w:bdr w:val="none" w:color="auto" w:sz="0" w:space="0"/>
                <w:vertAlign w:val="baseline"/>
              </w:rPr>
              <w:t>视频监控系统。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cs="Times New Roman"/>
                <w:color w:val="000000"/>
                <w:sz w:val="24"/>
                <w:szCs w:val="24"/>
                <w:bdr w:val="none" w:color="auto" w:sz="0" w:space="0"/>
                <w:vertAlign w:val="baseline"/>
              </w:rPr>
              <w:t>5、I</w:t>
            </w:r>
            <w:r>
              <w:rPr>
                <w:rFonts w:hint="eastAsia" w:ascii="方正仿宋_GBK" w:hAnsi="方正仿宋_GBK" w:eastAsia="方正仿宋_GBK" w:cs="方正仿宋_GBK"/>
                <w:color w:val="000000"/>
                <w:sz w:val="24"/>
                <w:szCs w:val="24"/>
                <w:bdr w:val="none" w:color="auto" w:sz="0" w:space="0"/>
                <w:vertAlign w:val="baseline"/>
              </w:rPr>
              <w:t>级、</w:t>
            </w:r>
            <w:r>
              <w:rPr>
                <w:rFonts w:hint="default" w:ascii="Times New Roman" w:hAnsi="Times New Roman" w:cs="Times New Roman"/>
                <w:color w:val="000000"/>
                <w:sz w:val="24"/>
                <w:szCs w:val="24"/>
                <w:bdr w:val="none" w:color="auto" w:sz="0" w:space="0"/>
                <w:vertAlign w:val="baseline"/>
              </w:rPr>
              <w:t>II</w:t>
            </w:r>
            <w:r>
              <w:rPr>
                <w:rFonts w:hint="eastAsia" w:ascii="方正仿宋_GBK" w:hAnsi="方正仿宋_GBK" w:eastAsia="方正仿宋_GBK" w:cs="方正仿宋_GBK"/>
                <w:color w:val="000000"/>
                <w:sz w:val="24"/>
                <w:szCs w:val="24"/>
                <w:bdr w:val="none" w:color="auto" w:sz="0" w:space="0"/>
                <w:vertAlign w:val="baseline"/>
              </w:rPr>
              <w:t>级、</w:t>
            </w:r>
            <w:r>
              <w:rPr>
                <w:rFonts w:hint="default" w:ascii="Times New Roman" w:hAnsi="Times New Roman" w:cs="Times New Roman"/>
                <w:color w:val="000000"/>
                <w:sz w:val="24"/>
                <w:szCs w:val="24"/>
                <w:bdr w:val="none" w:color="auto" w:sz="0" w:space="0"/>
                <w:vertAlign w:val="baseline"/>
              </w:rPr>
              <w:t>III</w:t>
            </w:r>
            <w:r>
              <w:rPr>
                <w:rFonts w:hint="eastAsia" w:ascii="方正仿宋_GBK" w:hAnsi="方正仿宋_GBK" w:eastAsia="方正仿宋_GBK" w:cs="方正仿宋_GBK"/>
                <w:color w:val="000000"/>
                <w:sz w:val="24"/>
                <w:szCs w:val="24"/>
                <w:bdr w:val="none" w:color="auto" w:sz="0" w:space="0"/>
                <w:vertAlign w:val="baseline"/>
              </w:rPr>
              <w:t>级危险废物在收集点存放时间分别不应超过</w:t>
            </w:r>
            <w:r>
              <w:rPr>
                <w:rFonts w:hint="default" w:ascii="Times New Roman" w:hAnsi="Times New Roman" w:cs="Times New Roman"/>
                <w:color w:val="000000"/>
                <w:sz w:val="24"/>
                <w:szCs w:val="24"/>
                <w:bdr w:val="none" w:color="auto" w:sz="0" w:space="0"/>
                <w:vertAlign w:val="baseline"/>
              </w:rPr>
              <w:t>30</w:t>
            </w:r>
            <w:r>
              <w:rPr>
                <w:rFonts w:hint="eastAsia" w:ascii="方正仿宋_GBK" w:hAnsi="方正仿宋_GBK" w:eastAsia="方正仿宋_GBK" w:cs="方正仿宋_GBK"/>
                <w:color w:val="000000"/>
                <w:sz w:val="24"/>
                <w:szCs w:val="24"/>
                <w:bdr w:val="none" w:color="auto" w:sz="0" w:space="0"/>
                <w:vertAlign w:val="baseline"/>
              </w:rPr>
              <w:t>天、</w:t>
            </w:r>
            <w:r>
              <w:rPr>
                <w:rFonts w:hint="default" w:ascii="Times New Roman" w:hAnsi="Times New Roman" w:cs="Times New Roman"/>
                <w:color w:val="000000"/>
                <w:sz w:val="24"/>
                <w:szCs w:val="24"/>
                <w:bdr w:val="none" w:color="auto" w:sz="0" w:space="0"/>
                <w:vertAlign w:val="baseline"/>
              </w:rPr>
              <w:t>60</w:t>
            </w:r>
            <w:r>
              <w:rPr>
                <w:rFonts w:hint="eastAsia" w:ascii="方正仿宋_GBK" w:hAnsi="方正仿宋_GBK" w:eastAsia="方正仿宋_GBK" w:cs="方正仿宋_GBK"/>
                <w:color w:val="000000"/>
                <w:sz w:val="24"/>
                <w:szCs w:val="24"/>
                <w:bdr w:val="none" w:color="auto" w:sz="0" w:space="0"/>
                <w:vertAlign w:val="baseline"/>
              </w:rPr>
              <w:t>天、</w:t>
            </w:r>
            <w:r>
              <w:rPr>
                <w:rFonts w:hint="default" w:ascii="Times New Roman" w:hAnsi="Times New Roman" w:cs="Times New Roman"/>
                <w:color w:val="000000"/>
                <w:sz w:val="24"/>
                <w:szCs w:val="24"/>
                <w:bdr w:val="none" w:color="auto" w:sz="0" w:space="0"/>
                <w:vertAlign w:val="baseline"/>
              </w:rPr>
              <w:t>90</w:t>
            </w:r>
            <w:r>
              <w:rPr>
                <w:rFonts w:hint="eastAsia" w:ascii="方正仿宋_GBK" w:hAnsi="方正仿宋_GBK" w:eastAsia="方正仿宋_GBK" w:cs="方正仿宋_GBK"/>
                <w:color w:val="000000"/>
                <w:sz w:val="24"/>
                <w:szCs w:val="24"/>
                <w:bdr w:val="none" w:color="auto" w:sz="0" w:space="0"/>
                <w:vertAlign w:val="baseline"/>
              </w:rPr>
              <w:t>天，单个收集点最大贮存量不得超过</w:t>
            </w:r>
            <w:r>
              <w:rPr>
                <w:rFonts w:hint="default" w:ascii="Times New Roman" w:hAnsi="Times New Roman" w:cs="Times New Roman"/>
                <w:color w:val="000000"/>
                <w:sz w:val="24"/>
                <w:szCs w:val="24"/>
                <w:bdr w:val="none" w:color="auto" w:sz="0" w:space="0"/>
                <w:vertAlign w:val="baseline"/>
              </w:rPr>
              <w:t>1 t</w:t>
            </w:r>
            <w:r>
              <w:rPr>
                <w:rFonts w:hint="eastAsia" w:ascii="方正仿宋_GBK" w:hAnsi="方正仿宋_GBK" w:eastAsia="方正仿宋_GBK" w:cs="方正仿宋_GBK"/>
                <w:color w:val="000000"/>
                <w:sz w:val="24"/>
                <w:szCs w:val="24"/>
                <w:bdr w:val="none" w:color="auto" w:sz="0" w:space="0"/>
                <w:vertAlign w:val="baseli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5" w:hRule="atLeast"/>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10</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包装</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1</w:t>
            </w:r>
            <w:r>
              <w:rPr>
                <w:rFonts w:hint="eastAsia" w:ascii="方正仿宋_GBK" w:hAnsi="方正仿宋_GBK" w:eastAsia="方正仿宋_GBK" w:cs="方正仿宋_GBK"/>
                <w:color w:val="000000"/>
                <w:sz w:val="24"/>
                <w:szCs w:val="24"/>
                <w:bdr w:val="none" w:color="auto" w:sz="0" w:space="0"/>
                <w:vertAlign w:val="baseline"/>
              </w:rPr>
              <w:t>、实验室：（</w:t>
            </w:r>
            <w:r>
              <w:rPr>
                <w:rFonts w:hint="default" w:ascii="Times New Roman" w:hAnsi="Times New Roman" w:eastAsia="方正仿宋_GBK" w:cs="Times New Roman"/>
                <w:color w:val="000000"/>
                <w:sz w:val="24"/>
                <w:szCs w:val="24"/>
                <w:bdr w:val="none" w:color="auto" w:sz="0" w:space="0"/>
                <w:vertAlign w:val="baseline"/>
              </w:rPr>
              <w:t>1</w:t>
            </w:r>
            <w:r>
              <w:rPr>
                <w:rFonts w:hint="eastAsia" w:ascii="方正仿宋_GBK" w:hAnsi="方正仿宋_GBK" w:eastAsia="方正仿宋_GBK" w:cs="方正仿宋_GBK"/>
                <w:color w:val="000000"/>
                <w:sz w:val="24"/>
                <w:szCs w:val="24"/>
                <w:bdr w:val="none" w:color="auto" w:sz="0" w:space="0"/>
                <w:vertAlign w:val="baseline"/>
              </w:rPr>
              <w:t>）液态废物使用的塑料容器应符合《包装容器危险品包装用塑料桶》（</w:t>
            </w:r>
            <w:r>
              <w:rPr>
                <w:rFonts w:hint="default" w:ascii="Times New Roman" w:hAnsi="Times New Roman" w:eastAsia="方正仿宋_GBK" w:cs="Times New Roman"/>
                <w:color w:val="000000"/>
                <w:sz w:val="24"/>
                <w:szCs w:val="24"/>
                <w:bdr w:val="none" w:color="auto" w:sz="0" w:space="0"/>
                <w:vertAlign w:val="baseline"/>
              </w:rPr>
              <w:t>GB18191-2008</w:t>
            </w:r>
            <w:r>
              <w:rPr>
                <w:rFonts w:hint="eastAsia" w:ascii="方正仿宋_GBK" w:hAnsi="方正仿宋_GBK" w:eastAsia="方正仿宋_GBK" w:cs="方正仿宋_GBK"/>
                <w:color w:val="000000"/>
                <w:sz w:val="24"/>
                <w:szCs w:val="24"/>
                <w:bdr w:val="none" w:color="auto" w:sz="0" w:space="0"/>
                <w:vertAlign w:val="baseline"/>
              </w:rPr>
              <w:t>）的要求。固态的危险废物包装前应不含残留液体，收集容器应满足相应强度要求且可封闭；破碎试剂瓶等玻璃器皿应存放于锐器盒内，无法装入常用容器的危险废物可用防漏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胶袋等存放；废弃试剂瓶（含空瓶）应瓶口朝上码放于满足相应强度且可封闭的包装容器中，确保稳固，防止泄漏、磕碰，并在容器外部标注朝上的方向标识。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2</w:t>
            </w:r>
            <w:r>
              <w:rPr>
                <w:rFonts w:hint="eastAsia" w:ascii="方正仿宋_GBK" w:hAnsi="方正仿宋_GBK" w:eastAsia="方正仿宋_GBK" w:cs="方正仿宋_GBK"/>
                <w:color w:val="000000"/>
                <w:sz w:val="24"/>
                <w:szCs w:val="24"/>
                <w:bdr w:val="none" w:color="auto" w:sz="0" w:space="0"/>
                <w:vertAlign w:val="baseline"/>
              </w:rPr>
              <w:t>、机动车修理：液态废物使用的包装容器应满足相应强度要求，顶部应加盖密封并留有液体灌注孔；固态废物的收集容器应满足相应强度要求且可封闭；破损废铅酸蓄电池的收集容器应配备耐腐蚀的内衬，且具有一定强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5" w:hRule="atLeast"/>
          <w:jc w:val="center"/>
        </w:trPr>
        <w:tc>
          <w:tcPr>
            <w:tcW w:w="1109"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default" w:ascii="Times New Roman" w:hAnsi="Times New Roman" w:eastAsia="方正仿宋_GBK" w:cs="Times New Roman"/>
                <w:color w:val="000000"/>
                <w:sz w:val="24"/>
                <w:szCs w:val="24"/>
                <w:bdr w:val="none" w:color="auto" w:sz="0" w:space="0"/>
                <w:vertAlign w:val="baseline"/>
              </w:rPr>
              <w:t>11</w:t>
            </w:r>
          </w:p>
        </w:tc>
        <w:tc>
          <w:tcPr>
            <w:tcW w:w="1109" w:type="pc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污染防治信息公开</w:t>
            </w:r>
          </w:p>
        </w:tc>
        <w:tc>
          <w:tcPr>
            <w:tcW w:w="2781" w:type="pc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textAlignment w:val="baseline"/>
              <w:rPr>
                <w:color w:val="333333"/>
              </w:rPr>
            </w:pPr>
            <w:r>
              <w:rPr>
                <w:rFonts w:hint="eastAsia" w:ascii="方正仿宋_GBK" w:hAnsi="方正仿宋_GBK" w:eastAsia="方正仿宋_GBK" w:cs="方正仿宋_GBK"/>
                <w:color w:val="000000"/>
                <w:sz w:val="24"/>
                <w:szCs w:val="24"/>
                <w:bdr w:val="none" w:color="auto" w:sz="0" w:space="0"/>
                <w:vertAlign w:val="baseline"/>
              </w:rPr>
              <w:t>产废单位应定期（每年至少一次）通过网站、电子屏幕、微信公众号等方式公开危险废物污染防治信息，公开信息包括但不限于产废单位基础信息、危险废物产生规模、危险废物名称、危险废物代码、危险废物产生量、利用处置去向、环评批文、环境污染防治措施、监督举报途径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textAlignment w:val="baseline"/>
        <w:rPr>
          <w:color w:val="333333"/>
        </w:rPr>
      </w:pPr>
      <w:r>
        <w:rPr>
          <w:rFonts w:hint="default" w:ascii="Times New Roman" w:hAnsi="Times New Roman" w:cs="Times New Roman"/>
          <w:color w:val="000000"/>
          <w:sz w:val="31"/>
          <w:szCs w:val="31"/>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textAlignment w:val="baseline"/>
        <w:rPr>
          <w:color w:val="333333"/>
        </w:rPr>
      </w:pPr>
      <w:r>
        <w:rPr>
          <w:rFonts w:hint="default" w:ascii="Times New Roman" w:hAnsi="Times New Roman" w:cs="Times New Roman"/>
          <w:color w:val="000000"/>
          <w:sz w:val="31"/>
          <w:szCs w:val="31"/>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textAlignment w:val="baseline"/>
        <w:rPr>
          <w:color w:val="333333"/>
        </w:rPr>
      </w:pPr>
      <w:r>
        <w:rPr>
          <w:rFonts w:hint="default" w:ascii="Times New Roman" w:hAnsi="Times New Roman" w:cs="Times New Roman"/>
          <w:color w:val="000000"/>
          <w:sz w:val="31"/>
          <w:szCs w:val="31"/>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textAlignment w:val="baseline"/>
        <w:rPr>
          <w:color w:val="333333"/>
        </w:rPr>
      </w:pPr>
      <w:r>
        <w:rPr>
          <w:rFonts w:hint="default" w:ascii="Times New Roman" w:hAnsi="Times New Roman" w:cs="Times New Roman"/>
          <w:color w:val="000000"/>
          <w:sz w:val="31"/>
          <w:szCs w:val="31"/>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95"/>
        <w:textAlignment w:val="baseline"/>
        <w:rPr>
          <w:color w:val="333333"/>
        </w:rPr>
      </w:pPr>
      <w:r>
        <w:rPr>
          <w:rFonts w:hint="eastAsia" w:ascii="黑体" w:hAnsi="宋体" w:eastAsia="黑体" w:cs="黑体"/>
          <w:color w:val="000000"/>
          <w:sz w:val="31"/>
          <w:szCs w:val="31"/>
          <w:bdr w:val="none" w:color="auto" w:sz="0" w:space="0"/>
          <w:vertAlign w:val="baseline"/>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bookmarkStart w:id="0" w:name="_GoBack"/>
      <w:bookmarkEnd w:id="0"/>
      <w:r>
        <w:rPr>
          <w:rFonts w:hint="eastAsia" w:ascii="方正小标宋_GBK" w:hAnsi="方正小标宋_GBK" w:eastAsia="方正小标宋_GBK" w:cs="方正小标宋_GBK"/>
          <w:color w:val="000000"/>
          <w:sz w:val="43"/>
          <w:szCs w:val="43"/>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Fonts w:hint="eastAsia" w:ascii="方正小标宋_GBK" w:hAnsi="方正小标宋_GBK" w:eastAsia="方正小标宋_GBK" w:cs="方正小标宋_GBK"/>
          <w:color w:val="000000"/>
          <w:sz w:val="43"/>
          <w:szCs w:val="43"/>
          <w:bdr w:val="none" w:color="auto" w:sz="0" w:space="0"/>
          <w:vertAlign w:val="baseline"/>
        </w:rPr>
        <w:t>联系人员信息表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Fonts w:ascii="方正楷体_GBK" w:hAnsi="方正楷体_GBK" w:eastAsia="方正楷体_GBK" w:cs="方正楷体_GBK"/>
          <w:color w:val="000000"/>
          <w:sz w:val="31"/>
          <w:szCs w:val="31"/>
          <w:bdr w:val="none" w:color="auto" w:sz="0" w:space="0"/>
          <w:vertAlign w:val="baseline"/>
        </w:rPr>
        <w:t>（部门）</w:t>
      </w:r>
    </w:p>
    <w:tbl>
      <w:tblPr>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124"/>
        <w:gridCol w:w="1436"/>
        <w:gridCol w:w="2199"/>
        <w:gridCol w:w="27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1247" w:type="pct"/>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Style w:val="5"/>
                <w:rFonts w:hint="eastAsia" w:ascii="方正仿宋_GBK" w:hAnsi="方正仿宋_GBK" w:eastAsia="方正仿宋_GBK" w:cs="方正仿宋_GBK"/>
                <w:b/>
                <w:bCs/>
                <w:color w:val="000000"/>
                <w:sz w:val="21"/>
                <w:szCs w:val="21"/>
                <w:bdr w:val="none" w:color="auto" w:sz="0" w:space="0"/>
                <w:vertAlign w:val="baseline"/>
              </w:rPr>
              <w:t>市直</w:t>
            </w:r>
          </w:p>
        </w:tc>
        <w:tc>
          <w:tcPr>
            <w:tcW w:w="843"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Style w:val="5"/>
                <w:rFonts w:hint="eastAsia" w:ascii="方正仿宋_GBK" w:hAnsi="方正仿宋_GBK" w:eastAsia="方正仿宋_GBK" w:cs="方正仿宋_GBK"/>
                <w:b/>
                <w:bCs/>
                <w:color w:val="000000"/>
                <w:sz w:val="21"/>
                <w:szCs w:val="21"/>
                <w:bdr w:val="none" w:color="auto" w:sz="0" w:space="0"/>
                <w:vertAlign w:val="baseline"/>
              </w:rPr>
              <w:t>姓名</w:t>
            </w:r>
          </w:p>
        </w:tc>
        <w:tc>
          <w:tcPr>
            <w:tcW w:w="1291"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Style w:val="5"/>
                <w:rFonts w:hint="eastAsia" w:ascii="方正仿宋_GBK" w:hAnsi="方正仿宋_GBK" w:eastAsia="方正仿宋_GBK" w:cs="方正仿宋_GBK"/>
                <w:b/>
                <w:bCs/>
                <w:color w:val="000000"/>
                <w:sz w:val="21"/>
                <w:szCs w:val="21"/>
                <w:bdr w:val="none" w:color="auto" w:sz="0" w:space="0"/>
                <w:vertAlign w:val="baseline"/>
              </w:rPr>
              <w:t>职务</w:t>
            </w:r>
          </w:p>
        </w:tc>
        <w:tc>
          <w:tcPr>
            <w:tcW w:w="1616" w:type="pc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Style w:val="5"/>
                <w:rFonts w:hint="eastAsia" w:ascii="方正仿宋_GBK" w:hAnsi="方正仿宋_GBK" w:eastAsia="方正仿宋_GBK" w:cs="方正仿宋_GBK"/>
                <w:b/>
                <w:bCs/>
                <w:color w:val="000000"/>
                <w:sz w:val="21"/>
                <w:szCs w:val="21"/>
                <w:bdr w:val="none" w:color="auto" w:sz="0" w:space="0"/>
                <w:vertAlign w:val="baseli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textAlignment w:val="baseline"/>
              <w:rPr>
                <w:color w:val="333333"/>
              </w:rPr>
            </w:pPr>
            <w:r>
              <w:rPr>
                <w:rStyle w:val="5"/>
                <w:rFonts w:hint="eastAsia" w:ascii="方正仿宋_GBK" w:hAnsi="方正仿宋_GBK" w:eastAsia="方正仿宋_GBK" w:cs="方正仿宋_GBK"/>
                <w:b/>
                <w:bCs/>
                <w:color w:val="000000"/>
                <w:sz w:val="21"/>
                <w:szCs w:val="21"/>
                <w:bdr w:val="none" w:color="auto" w:sz="0" w:space="0"/>
                <w:vertAlign w:val="baseline"/>
              </w:rPr>
              <w:t>县（市、区）局</w:t>
            </w: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1247" w:type="pct"/>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91"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16" w:type="pct"/>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1AB2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2022-12-12T06:44:29Z</dcterms:created>
  <dc:creator>Administrator</dc:creator>
  <cp:lastModifiedBy>阿淼</cp:lastModifiedBy>
  <dcterms:modified xsi:type="dcterms:W3CDTF">2022-12-12T06:46:59Z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30861C773A8D43608CB3CD7385212BCA</vt:lpwstr>
  </property>
</Properties>
</file>