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9"/>
          <w:szCs w:val="29"/>
          <w:bdr w:val="none" w:color="auto" w:sz="0" w:space="0"/>
        </w:rPr>
        <w:t>江苏省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29"/>
          <w:szCs w:val="29"/>
          <w:bdr w:val="none" w:color="auto" w:sz="0" w:space="0"/>
        </w:rPr>
        <w:t>符合进口税收政策的外资研发中心名单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14"/>
          <w:szCs w:val="14"/>
          <w:bdr w:val="none" w:color="auto" w:sz="0" w:space="0"/>
        </w:rPr>
        <w:t> </w:t>
      </w:r>
    </w:p>
    <w:tbl>
      <w:tblPr>
        <w:tblW w:w="8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7165"/>
        <w:gridCol w:w="1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7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研发中心名称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认定</w:t>
            </w:r>
            <w:r>
              <w:rPr>
                <w:rFonts w:hint="default" w:ascii="Calibri" w:hAnsi="Calibri" w:eastAsia="仿宋_GB2312" w:cs="Calibri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/</w:t>
            </w:r>
            <w:r>
              <w:rPr>
                <w:rFonts w:hint="default" w:ascii="仿宋_GB2312" w:hAnsi="Calibri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汉桑（南京）科技股份有限公司（研发中心）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南京传奇生物科技有限公司（研发中心）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南京金斯瑞生物科技有限公司（研发中心）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无锡生基医药科技有限公司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健亚（常州）生物技术有限公司（研发中心）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安波福电子（苏州）有限公司（研发中心）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7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耐世特汽车系统（苏州）有限公司（研发中心）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14"/>
                <w:szCs w:val="14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认定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YjQ5YmYwODUxOWIwOGZhOTI2NDdlYzhlYWE2YjQifQ=="/>
  </w:docVars>
  <w:rsids>
    <w:rsidRoot w:val="00000000"/>
    <w:rsid w:val="6CCB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2022-12-15T08:28:20Z</dcterms:created>
  <dc:creator>weiny</dc:creator>
  <cp:lastModifiedBy>泠.酒祈</cp:lastModifiedBy>
  <dcterms:modified xsi:type="dcterms:W3CDTF">2022-12-15T08:28:28Z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DDBF62C855224646BC6176B33ED6D1CF</vt:lpwstr>
  </property>
</Properties>
</file>