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6"/>
        </w:tabs>
        <w:autoSpaceDE/>
        <w:autoSpaceDN/>
        <w:snapToGrid/>
        <w:spacing w:line="600" w:lineRule="exact"/>
        <w:ind w:firstLine="2400" w:firstLineChars="500"/>
        <w:rPr>
          <w:rFonts w:hint="eastAsia" w:ascii="方正大标宋_GBK" w:eastAsia="方正大标宋_GBK" w:cs="Times New Roman"/>
          <w:color w:val="000000"/>
          <w:sz w:val="48"/>
          <w:szCs w:val="48"/>
        </w:rPr>
      </w:pPr>
      <w:bookmarkStart w:id="0" w:name="_GoBack"/>
      <w:bookmarkEnd w:id="0"/>
      <w:r>
        <w:rPr>
          <w:rFonts w:hint="eastAsia" w:ascii="方正大标宋_GBK" w:eastAsia="方正大标宋_GBK"/>
          <w:sz w:val="48"/>
          <w:szCs w:val="48"/>
          <w:lang w:val="en-US" w:eastAsia="zh-CN"/>
        </w:rPr>
        <w:t>第四届</w:t>
      </w:r>
      <w:r>
        <w:rPr>
          <w:rFonts w:hint="eastAsia" w:ascii="方正大标宋_GBK" w:eastAsia="方正大标宋_GBK"/>
          <w:sz w:val="48"/>
          <w:szCs w:val="48"/>
        </w:rPr>
        <w:t>宿迁市专利奖</w:t>
      </w:r>
      <w:r>
        <w:rPr>
          <w:rFonts w:hint="eastAsia" w:ascii="方正大标宋_GBK" w:eastAsia="方正大标宋_GBK"/>
          <w:sz w:val="48"/>
          <w:szCs w:val="48"/>
          <w:lang w:val="en-US" w:eastAsia="zh-CN"/>
        </w:rPr>
        <w:t>拟授奖项目信息公示表</w:t>
      </w:r>
    </w:p>
    <w:tbl>
      <w:tblPr>
        <w:tblStyle w:val="2"/>
        <w:tblpPr w:leftFromText="180" w:rightFromText="180" w:vertAnchor="text" w:horzAnchor="page" w:tblpX="1896" w:tblpY="960"/>
        <w:tblOverlap w:val="never"/>
        <w:tblW w:w="136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2617"/>
        <w:gridCol w:w="5600"/>
        <w:gridCol w:w="45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rPr>
              <w:t>序号</w:t>
            </w:r>
          </w:p>
        </w:tc>
        <w:tc>
          <w:tcPr>
            <w:tcW w:w="2617" w:type="dxa"/>
            <w:noWrap w:val="0"/>
            <w:vAlign w:val="center"/>
          </w:tcPr>
          <w:p>
            <w:pPr>
              <w:spacing w:line="48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rPr>
              <w:t>专利号</w:t>
            </w:r>
          </w:p>
        </w:tc>
        <w:tc>
          <w:tcPr>
            <w:tcW w:w="5600" w:type="dxa"/>
            <w:noWrap w:val="0"/>
            <w:vAlign w:val="center"/>
          </w:tcPr>
          <w:p>
            <w:pPr>
              <w:spacing w:line="48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rPr>
              <w:t>专利名称</w:t>
            </w:r>
          </w:p>
        </w:tc>
        <w:tc>
          <w:tcPr>
            <w:tcW w:w="4516" w:type="dxa"/>
            <w:noWrap w:val="0"/>
            <w:vAlign w:val="center"/>
          </w:tcPr>
          <w:p>
            <w:pPr>
              <w:spacing w:line="48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rPr>
              <w:t>专利权人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13616" w:type="dxa"/>
            <w:gridSpan w:val="4"/>
            <w:noWrap w:val="0"/>
            <w:vAlign w:val="center"/>
          </w:tcPr>
          <w:p>
            <w:pPr>
              <w:spacing w:line="480" w:lineRule="exact"/>
              <w:jc w:val="center"/>
              <w:rPr>
                <w:rFonts w:hint="eastAsia" w:eastAsia="仿宋_GB2312"/>
                <w:b/>
                <w:sz w:val="30"/>
                <w:szCs w:val="30"/>
                <w:lang w:val="en-US" w:eastAsia="zh-CN"/>
              </w:rPr>
            </w:pPr>
            <w:r>
              <w:rPr>
                <w:rFonts w:hint="eastAsia" w:ascii="黑体" w:hAnsi="黑体" w:eastAsia="黑体" w:cs="黑体"/>
                <w:b w:val="0"/>
                <w:bCs/>
                <w:sz w:val="30"/>
                <w:szCs w:val="30"/>
                <w:lang w:val="en-US" w:eastAsia="zh-CN"/>
              </w:rPr>
              <w:t>一等奖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tcBorders>
              <w:bottom w:val="single" w:color="auto" w:sz="4" w:space="0"/>
            </w:tcBorders>
            <w:noWrap w:val="0"/>
            <w:vAlign w:val="center"/>
          </w:tcPr>
          <w:p>
            <w:pPr>
              <w:spacing w:line="480" w:lineRule="exact"/>
              <w:jc w:val="center"/>
              <w:rPr>
                <w:rFonts w:hint="eastAsia" w:ascii="宋体" w:hAnsi="宋体" w:eastAsia="宋体" w:cs="宋体"/>
                <w:sz w:val="30"/>
                <w:szCs w:val="30"/>
              </w:rPr>
            </w:pPr>
            <w:r>
              <w:rPr>
                <w:rFonts w:hint="eastAsia" w:ascii="宋体" w:hAnsi="宋体" w:eastAsia="宋体" w:cs="宋体"/>
                <w:sz w:val="30"/>
                <w:szCs w:val="30"/>
              </w:rPr>
              <w:t>1</w:t>
            </w:r>
          </w:p>
        </w:tc>
        <w:tc>
          <w:tcPr>
            <w:tcW w:w="2617" w:type="dxa"/>
            <w:tcBorders>
              <w:bottom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ZL201811609173.8</w:t>
            </w:r>
          </w:p>
        </w:tc>
        <w:tc>
          <w:tcPr>
            <w:tcW w:w="5600" w:type="dxa"/>
            <w:tcBorders>
              <w:bottom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利用臭氧氧化作用增加金属粉末氧含量的装置和方法</w:t>
            </w:r>
          </w:p>
        </w:tc>
        <w:tc>
          <w:tcPr>
            <w:tcW w:w="4516" w:type="dxa"/>
            <w:tcBorders>
              <w:bottom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江苏博迁新材料股份有限公司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30"/>
                <w:szCs w:val="30"/>
              </w:rPr>
            </w:pPr>
            <w:r>
              <w:rPr>
                <w:rFonts w:hint="eastAsia" w:ascii="宋体" w:hAnsi="宋体" w:eastAsia="宋体" w:cs="宋体"/>
                <w:sz w:val="30"/>
                <w:szCs w:val="30"/>
              </w:rPr>
              <w:t>2</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ZL201510662497.8</w:t>
            </w:r>
          </w:p>
        </w:tc>
        <w:tc>
          <w:tcPr>
            <w:tcW w:w="56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一种制备电子级甲酰胺类化合物的方法</w:t>
            </w:r>
          </w:p>
        </w:tc>
        <w:tc>
          <w:tcPr>
            <w:tcW w:w="451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宿迁新亚科技有限公司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30"/>
                <w:szCs w:val="30"/>
                <w:lang w:eastAsia="zh-CN"/>
              </w:rPr>
            </w:pPr>
            <w:r>
              <w:rPr>
                <w:rFonts w:hint="eastAsia" w:ascii="宋体" w:hAnsi="宋体" w:eastAsia="宋体" w:cs="宋体"/>
                <w:sz w:val="30"/>
                <w:szCs w:val="30"/>
                <w:lang w:val="en-US" w:eastAsia="zh-CN"/>
              </w:rPr>
              <w:t>3</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sz w:val="30"/>
                <w:szCs w:val="30"/>
              </w:rPr>
              <w:t>ZL202011528110.7</w:t>
            </w:r>
          </w:p>
        </w:tc>
        <w:tc>
          <w:tcPr>
            <w:tcW w:w="56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sz w:val="30"/>
                <w:szCs w:val="30"/>
              </w:rPr>
              <w:t>一种高均匀性超细聚酯纤维生产设备及制备方法</w:t>
            </w:r>
          </w:p>
        </w:tc>
        <w:tc>
          <w:tcPr>
            <w:tcW w:w="451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sz w:val="30"/>
                <w:szCs w:val="30"/>
              </w:rPr>
              <w:t>江苏德力化纤有限公司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tblHeader/>
          <w:jc w:val="center"/>
        </w:trPr>
        <w:tc>
          <w:tcPr>
            <w:tcW w:w="883" w:type="dxa"/>
            <w:tcBorders>
              <w:top w:val="single" w:color="auto" w:sz="4" w:space="0"/>
            </w:tcBorders>
            <w:noWrap w:val="0"/>
            <w:vAlign w:val="center"/>
          </w:tcPr>
          <w:p>
            <w:pPr>
              <w:spacing w:line="480" w:lineRule="exact"/>
              <w:jc w:val="center"/>
              <w:rPr>
                <w:rFonts w:hint="eastAsia" w:ascii="宋体" w:hAnsi="宋体" w:eastAsia="宋体" w:cs="宋体"/>
                <w:sz w:val="30"/>
                <w:szCs w:val="30"/>
              </w:rPr>
            </w:pPr>
            <w:r>
              <w:rPr>
                <w:rFonts w:hint="eastAsia" w:ascii="宋体" w:hAnsi="宋体" w:eastAsia="宋体" w:cs="宋体"/>
                <w:sz w:val="30"/>
                <w:szCs w:val="30"/>
              </w:rPr>
              <w:t>4</w:t>
            </w:r>
          </w:p>
        </w:tc>
        <w:tc>
          <w:tcPr>
            <w:tcW w:w="2617" w:type="dxa"/>
            <w:tcBorders>
              <w:top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ZL201910410651.0</w:t>
            </w:r>
          </w:p>
        </w:tc>
        <w:tc>
          <w:tcPr>
            <w:tcW w:w="5600" w:type="dxa"/>
            <w:tcBorders>
              <w:top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一种全铅炭电池负极板栅合金的制备方法</w:t>
            </w:r>
          </w:p>
        </w:tc>
        <w:tc>
          <w:tcPr>
            <w:tcW w:w="4516" w:type="dxa"/>
            <w:tcBorders>
              <w:top w:val="single" w:color="auto" w:sz="4" w:space="0"/>
            </w:tcBorders>
            <w:noWrap w:val="0"/>
            <w:vAlign w:val="center"/>
          </w:tcPr>
          <w:p>
            <w:pPr>
              <w:spacing w:line="48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旭派电源有限公司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lang w:val="en-US" w:eastAsia="zh-CN"/>
              </w:rPr>
              <w:t>5</w:t>
            </w:r>
          </w:p>
        </w:tc>
        <w:tc>
          <w:tcPr>
            <w:tcW w:w="2617" w:type="dxa"/>
            <w:noWrap w:val="0"/>
            <w:vAlign w:val="center"/>
          </w:tcPr>
          <w:p>
            <w:pPr>
              <w:spacing w:line="480" w:lineRule="exact"/>
              <w:jc w:val="center"/>
              <w:rPr>
                <w:rFonts w:hint="eastAsia" w:ascii="宋体" w:hAnsi="宋体" w:eastAsia="宋体" w:cs="宋体"/>
                <w:color w:val="000000"/>
                <w:kern w:val="2"/>
                <w:sz w:val="30"/>
                <w:szCs w:val="30"/>
                <w:lang w:val="en-US" w:eastAsia="zh-CN" w:bidi="ar-SA"/>
              </w:rPr>
            </w:pPr>
            <w:r>
              <w:rPr>
                <w:rFonts w:hint="eastAsia" w:ascii="宋体" w:hAnsi="宋体" w:eastAsia="宋体" w:cs="宋体"/>
                <w:color w:val="000000"/>
                <w:sz w:val="30"/>
                <w:szCs w:val="30"/>
              </w:rPr>
              <w:t>ZL202111151941.1</w:t>
            </w:r>
          </w:p>
        </w:tc>
        <w:tc>
          <w:tcPr>
            <w:tcW w:w="5600" w:type="dxa"/>
            <w:noWrap w:val="0"/>
            <w:vAlign w:val="center"/>
          </w:tcPr>
          <w:p>
            <w:pPr>
              <w:spacing w:line="480" w:lineRule="exact"/>
              <w:jc w:val="center"/>
              <w:rPr>
                <w:rFonts w:hint="eastAsia" w:ascii="宋体" w:hAnsi="宋体" w:eastAsia="宋体" w:cs="宋体"/>
                <w:color w:val="000000"/>
                <w:kern w:val="2"/>
                <w:sz w:val="30"/>
                <w:szCs w:val="30"/>
                <w:lang w:val="en-US" w:eastAsia="zh-CN" w:bidi="ar-SA"/>
              </w:rPr>
            </w:pPr>
            <w:r>
              <w:rPr>
                <w:rFonts w:hint="eastAsia" w:ascii="宋体" w:hAnsi="宋体" w:eastAsia="宋体" w:cs="宋体"/>
                <w:color w:val="000000"/>
                <w:sz w:val="30"/>
                <w:szCs w:val="30"/>
              </w:rPr>
              <w:t>一种玻璃管加工设备及生产线</w:t>
            </w:r>
          </w:p>
        </w:tc>
        <w:tc>
          <w:tcPr>
            <w:tcW w:w="4516" w:type="dxa"/>
            <w:noWrap w:val="0"/>
            <w:vAlign w:val="center"/>
          </w:tcPr>
          <w:p>
            <w:pPr>
              <w:spacing w:line="480" w:lineRule="exact"/>
              <w:jc w:val="center"/>
              <w:rPr>
                <w:rFonts w:hint="eastAsia" w:ascii="宋体" w:hAnsi="宋体" w:eastAsia="宋体" w:cs="宋体"/>
                <w:color w:val="000000"/>
                <w:kern w:val="2"/>
                <w:sz w:val="30"/>
                <w:szCs w:val="30"/>
                <w:lang w:val="en-US" w:eastAsia="zh-CN" w:bidi="ar-SA"/>
              </w:rPr>
            </w:pPr>
            <w:r>
              <w:rPr>
                <w:rFonts w:hint="eastAsia" w:ascii="宋体" w:hAnsi="宋体" w:eastAsia="宋体" w:cs="宋体"/>
                <w:color w:val="000000"/>
                <w:sz w:val="30"/>
                <w:szCs w:val="30"/>
              </w:rPr>
              <w:t>江苏泗阳协力轻工机械有限公司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13616" w:type="dxa"/>
            <w:gridSpan w:val="4"/>
            <w:noWrap w:val="0"/>
            <w:vAlign w:val="center"/>
          </w:tcPr>
          <w:p>
            <w:pPr>
              <w:spacing w:line="480" w:lineRule="exact"/>
              <w:jc w:val="center"/>
              <w:rPr>
                <w:rFonts w:hint="eastAsia" w:eastAsia="仿宋_GB2312"/>
                <w:color w:val="000000"/>
                <w:sz w:val="30"/>
                <w:szCs w:val="30"/>
                <w:lang w:val="en-US" w:eastAsia="zh-CN"/>
              </w:rPr>
            </w:pPr>
            <w:r>
              <w:rPr>
                <w:rFonts w:hint="eastAsia" w:ascii="黑体" w:hAnsi="黑体" w:eastAsia="黑体" w:cs="黑体"/>
                <w:color w:val="000000"/>
                <w:sz w:val="30"/>
                <w:szCs w:val="30"/>
                <w:lang w:val="en-US" w:eastAsia="zh-CN"/>
              </w:rPr>
              <w:t>二等奖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ZL201710551765.8</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喷淋式铝灰渣除氮方法</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江苏海光金属有限公司; 南通大学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ZL201711406805.6</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一种新型高性能抗菌防雾膜</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宿迁市金田塑业有限公司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ZL202010790335.3</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一种光稳定剂及合成工艺</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宿迁市振兴化工有限公司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ZL201510958845.6</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一种生产高纯石英砂用高效环保生产系统</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江苏鑫亿鼎石英科技股份有限公司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ZL202110585972.1</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一种LED外延结构、LED芯片及LED外延结构制备方法</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聚灿光电科技(宿迁)有限公司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ZL201510452772.3</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微量配方计量装置</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正将自动化设备(江苏)有限公司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ZL201611129316.6</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一种纺机用电子综丝提花装置</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江苏宋和宋智能科技有限公司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ZL202021092175.7</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一种带有按摩功能的地上水池</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江苏吉龙运动休闲用品有限公司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tblHeader/>
          <w:jc w:val="center"/>
        </w:trPr>
        <w:tc>
          <w:tcPr>
            <w:tcW w:w="13616" w:type="dxa"/>
            <w:gridSpan w:val="4"/>
            <w:noWrap w:val="0"/>
            <w:vAlign w:val="center"/>
          </w:tcPr>
          <w:p>
            <w:pPr>
              <w:spacing w:line="480" w:lineRule="exact"/>
              <w:jc w:val="center"/>
              <w:rPr>
                <w:rFonts w:hint="eastAsia" w:eastAsia="仿宋_GB2312"/>
                <w:b/>
                <w:sz w:val="30"/>
                <w:szCs w:val="30"/>
                <w:lang w:val="en-US" w:eastAsia="zh-CN"/>
              </w:rPr>
            </w:pPr>
            <w:r>
              <w:rPr>
                <w:rFonts w:hint="eastAsia" w:ascii="黑体" w:hAnsi="黑体" w:eastAsia="黑体" w:cs="黑体"/>
                <w:b w:val="0"/>
                <w:bCs/>
                <w:sz w:val="30"/>
                <w:szCs w:val="30"/>
                <w:lang w:val="en-US" w:eastAsia="zh-CN"/>
              </w:rPr>
              <w:t>三等奖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ZL202110447894.9</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一种超细高强度合金钨丝金刚石线锯及其制备方法</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江苏聚成金刚石科技股份有限公司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ZL202021651902.9</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一种方便调节的切割机</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海容激光(江苏)智能设备有限公司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ZL202022097635.1</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一种轻量化汽车轮毂</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江苏新安驰铝业有限公司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ZL202010453397.5</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一种自动化家具生产用木材浸渍设备及其清洁方法</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江苏金迪木业股份有限公司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ZL201710256285.9</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一种聚合物增强用共聚树脂插层改性纳米级有机硅酸镁锂的制备方法</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江苏海明斯新材料科技有限公司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ZL202011062085.8</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一种高储能陶瓷电容器介质材料及其制备工艺</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泗阳群鑫电子有限公司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ZL201510519074.0</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一种抗菌肽PD22及其用途</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江苏傲农生物科技有限公司; 辽宁傲农饲料有限公司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ZL202111151918.2</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可生物降解聚酯热收缩膜及其制备方法</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江苏景宏新材料科技有限公司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ZL201810111740.0</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MBUS通信系统及方法</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江苏中科君达物联网股份有限公司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ZL202110560824.4</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一种便于施工的蝶形入室复合光缆</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江苏华脉新材料有限公司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ZL201910363754.6</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分布式组网的声光视械控制系统</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江苏领焰智能科技股份有限公司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12</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ZL201810997858.8</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纺丝系统及其储气装置</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江苏鑫博高分子材料有限公司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13</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ZL202023318198.8</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一种多功能空气净化冷风扇</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格力大松(宿迁)生活电器有限公司; 珠海格力电器股份有限公司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blHeader/>
          <w:jc w:val="center"/>
        </w:trPr>
        <w:tc>
          <w:tcPr>
            <w:tcW w:w="883"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14</w:t>
            </w:r>
          </w:p>
        </w:tc>
        <w:tc>
          <w:tcPr>
            <w:tcW w:w="2617"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ZL202020435080.4</w:t>
            </w:r>
          </w:p>
        </w:tc>
        <w:tc>
          <w:tcPr>
            <w:tcW w:w="5600"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一种新型抗菌除味面料</w:t>
            </w:r>
          </w:p>
        </w:tc>
        <w:tc>
          <w:tcPr>
            <w:tcW w:w="4516" w:type="dxa"/>
            <w:noWrap w:val="0"/>
            <w:vAlign w:val="center"/>
          </w:tcPr>
          <w:p>
            <w:pPr>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江苏晨越高新材料有限公司</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ODlmZDczNGNlZTg3MzhiMDQxMzJiNGI1NDk1ZWMifQ=="/>
  </w:docVars>
  <w:rsids>
    <w:rsidRoot w:val="2E11061E"/>
    <w:rsid w:val="2E11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2022-12-14T02:57:00Z</dcterms:created>
  <dc:creator>YOLO</dc:creator>
  <cp:lastModifiedBy>YOLO</cp:lastModifiedBy>
  <dcterms:modified xsi:type="dcterms:W3CDTF">2022-12-14T02:57:28Z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95AA5BB3EB134B15967DB973BC13C463</vt:lpwstr>
  </property>
</Properties>
</file>