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rPr>
          <w:rFonts w:hint="default" w:ascii="Times New Roman" w:hAnsi="Times New Roman" w:eastAsia="方正黑体_GBK" w:cs="Times New Roman"/>
          <w:spacing w:val="-20"/>
          <w:sz w:val="32"/>
          <w:szCs w:val="32"/>
        </w:rPr>
      </w:pPr>
      <w:bookmarkStart w:id="0" w:name="_Hlk120956656"/>
      <w:r>
        <w:rPr>
          <w:rFonts w:hint="default" w:ascii="Times New Roman" w:hAnsi="Times New Roman" w:eastAsia="方正黑体_GBK" w:cs="Times New Roman"/>
          <w:spacing w:val="-20"/>
          <w:sz w:val="32"/>
          <w:szCs w:val="32"/>
        </w:rPr>
        <w:t>附件1-1</w:t>
      </w:r>
    </w:p>
    <w:p>
      <w:pPr>
        <w:adjustRightInd w:val="0"/>
        <w:snapToGrid w:val="0"/>
        <w:spacing w:line="600" w:lineRule="exact"/>
        <w:jc w:val="center"/>
        <w:rPr>
          <w:rFonts w:hint="default" w:ascii="Times New Roman" w:hAnsi="Times New Roman" w:eastAsia="方正小标宋_GBK" w:cs="Times New Roman"/>
          <w:spacing w:val="-20"/>
          <w:sz w:val="44"/>
          <w:szCs w:val="44"/>
        </w:rPr>
      </w:pPr>
      <w:r>
        <w:rPr>
          <w:rFonts w:hint="default" w:ascii="Times New Roman" w:hAnsi="Times New Roman" w:eastAsia="方正小标宋_GBK" w:cs="Times New Roman"/>
          <w:spacing w:val="-20"/>
          <w:sz w:val="44"/>
          <w:szCs w:val="44"/>
        </w:rPr>
        <w:t>《危险化学品生产企业安全生产许可证》申请</w:t>
      </w:r>
      <w:bookmarkEnd w:id="0"/>
    </w:p>
    <w:p>
      <w:pPr>
        <w:adjustRightInd w:val="0"/>
        <w:snapToGrid w:val="0"/>
        <w:spacing w:line="600" w:lineRule="exact"/>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受理审查表－新领、延期、项目变更</w:t>
      </w:r>
    </w:p>
    <w:p>
      <w:pPr>
        <w:adjustRightInd w:val="0"/>
        <w:snapToGrid w:val="0"/>
        <w:spacing w:line="600" w:lineRule="exact"/>
        <w:jc w:val="center"/>
        <w:rPr>
          <w:rFonts w:hint="default" w:ascii="Times New Roman" w:hAnsi="Times New Roman" w:cs="Times New Roman"/>
          <w:b/>
          <w:sz w:val="32"/>
          <w:szCs w:val="32"/>
        </w:rPr>
      </w:pPr>
      <w:r>
        <w:rPr>
          <w:rFonts w:hint="default" w:ascii="Times New Roman" w:hAnsi="Times New Roman" w:cs="Times New Roman"/>
          <w:b/>
          <w:sz w:val="44"/>
          <w:szCs w:val="44"/>
        </w:rPr>
        <w:t>（试行）</w:t>
      </w:r>
    </w:p>
    <w:p>
      <w:pPr>
        <w:adjustRightInd w:val="0"/>
        <w:snapToGrid w:val="0"/>
        <w:spacing w:line="600" w:lineRule="exact"/>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企业名称：</w:t>
      </w:r>
      <w:r>
        <w:rPr>
          <w:rFonts w:hint="eastAsia" w:ascii="方正仿宋_GBK" w:hAnsi="方正仿宋_GBK" w:eastAsia="方正仿宋_GBK" w:cs="方正仿宋_GBK"/>
          <w:sz w:val="28"/>
          <w:szCs w:val="28"/>
          <w:u w:val="single"/>
          <w:lang w:val="en-US" w:eastAsia="zh-CN"/>
        </w:rPr>
        <w:t xml:space="preserve">                                 </w:t>
      </w:r>
    </w:p>
    <w:p>
      <w:pPr>
        <w:adjustRightInd w:val="0"/>
        <w:snapToGrid w:val="0"/>
        <w:spacing w:line="600" w:lineRule="exac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许可类别：</w:t>
      </w:r>
      <w:r>
        <w:rPr>
          <w:rFonts w:hint="eastAsia" w:ascii="方正仿宋_GBK" w:hAnsi="方正仿宋_GBK" w:eastAsia="方正仿宋_GBK" w:cs="方正仿宋_GBK"/>
          <w:sz w:val="28"/>
          <w:szCs w:val="28"/>
          <w:u w:val="single"/>
          <w:lang w:val="en-US" w:eastAsia="zh-CN"/>
        </w:rPr>
        <w:t xml:space="preserve">                           </w:t>
      </w:r>
      <w:r>
        <w:rPr>
          <w:rFonts w:hint="eastAsia" w:ascii="方正仿宋_GBK" w:hAnsi="方正仿宋_GBK" w:eastAsia="方正仿宋_GBK" w:cs="方正仿宋_GBK"/>
          <w:sz w:val="28"/>
          <w:szCs w:val="28"/>
        </w:rPr>
        <w:t>（新领、延期、项目变更）</w:t>
      </w:r>
    </w:p>
    <w:p>
      <w:pPr>
        <w:adjustRightInd w:val="0"/>
        <w:snapToGrid w:val="0"/>
        <w:spacing w:line="600" w:lineRule="exac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安全风险等级：</w:t>
      </w:r>
      <w:r>
        <w:rPr>
          <w:rFonts w:hint="eastAsia" w:ascii="方正仿宋_GBK" w:hAnsi="方正仿宋_GBK" w:eastAsia="方正仿宋_GBK" w:cs="方正仿宋_GBK"/>
          <w:sz w:val="28"/>
          <w:szCs w:val="28"/>
          <w:u w:val="single"/>
          <w:lang w:val="en-US" w:eastAsia="zh-CN"/>
        </w:rPr>
        <w:t xml:space="preserve">                             </w:t>
      </w:r>
      <w:r>
        <w:rPr>
          <w:rFonts w:hint="eastAsia" w:ascii="方正仿宋_GBK" w:hAnsi="方正仿宋_GBK" w:eastAsia="方正仿宋_GBK" w:cs="方正仿宋_GBK"/>
          <w:sz w:val="28"/>
          <w:szCs w:val="28"/>
        </w:rPr>
        <w:t>（红、橙、黄、蓝）</w:t>
      </w:r>
    </w:p>
    <w:tbl>
      <w:tblPr>
        <w:tblStyle w:val="4"/>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1650"/>
        <w:gridCol w:w="5940"/>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737" w:type="dxa"/>
            <w:vAlign w:val="center"/>
          </w:tcPr>
          <w:p>
            <w:pPr>
              <w:keepNext w:val="0"/>
              <w:keepLines w:val="0"/>
              <w:pageBreakBefore w:val="0"/>
              <w:kinsoku/>
              <w:wordWrap/>
              <w:overflowPunct/>
              <w:topLinePunct w:val="0"/>
              <w:autoSpaceDE/>
              <w:autoSpaceDN/>
              <w:bidi w:val="0"/>
              <w:spacing w:line="260" w:lineRule="exact"/>
              <w:jc w:val="center"/>
              <w:textAlignment w:val="auto"/>
              <w:rPr>
                <w:rFonts w:hint="default" w:ascii="Times New Roman" w:hAnsi="Times New Roman" w:eastAsia="方正黑体_GBK" w:cs="Times New Roman"/>
                <w:b w:val="0"/>
                <w:bCs/>
                <w:sz w:val="24"/>
                <w:szCs w:val="24"/>
              </w:rPr>
            </w:pPr>
            <w:r>
              <w:rPr>
                <w:rFonts w:hint="default" w:ascii="Times New Roman" w:hAnsi="Times New Roman" w:eastAsia="方正黑体_GBK" w:cs="Times New Roman"/>
                <w:b w:val="0"/>
                <w:bCs/>
                <w:sz w:val="24"/>
                <w:szCs w:val="24"/>
              </w:rPr>
              <w:t>序号</w:t>
            </w:r>
          </w:p>
        </w:tc>
        <w:tc>
          <w:tcPr>
            <w:tcW w:w="1650" w:type="dxa"/>
            <w:vAlign w:val="center"/>
          </w:tcPr>
          <w:p>
            <w:pPr>
              <w:keepNext w:val="0"/>
              <w:keepLines w:val="0"/>
              <w:pageBreakBefore w:val="0"/>
              <w:kinsoku/>
              <w:wordWrap/>
              <w:overflowPunct/>
              <w:topLinePunct w:val="0"/>
              <w:autoSpaceDE/>
              <w:autoSpaceDN/>
              <w:bidi w:val="0"/>
              <w:spacing w:line="260" w:lineRule="exact"/>
              <w:jc w:val="center"/>
              <w:textAlignment w:val="auto"/>
              <w:rPr>
                <w:rFonts w:hint="default" w:ascii="Times New Roman" w:hAnsi="Times New Roman" w:eastAsia="方正黑体_GBK" w:cs="Times New Roman"/>
                <w:b w:val="0"/>
                <w:bCs/>
                <w:sz w:val="24"/>
                <w:szCs w:val="24"/>
              </w:rPr>
            </w:pPr>
            <w:r>
              <w:rPr>
                <w:rFonts w:hint="default" w:ascii="Times New Roman" w:hAnsi="Times New Roman" w:eastAsia="方正黑体_GBK" w:cs="Times New Roman"/>
                <w:b w:val="0"/>
                <w:bCs/>
                <w:sz w:val="24"/>
                <w:szCs w:val="24"/>
              </w:rPr>
              <w:t>材料目录</w:t>
            </w:r>
          </w:p>
        </w:tc>
        <w:tc>
          <w:tcPr>
            <w:tcW w:w="5940" w:type="dxa"/>
            <w:vAlign w:val="center"/>
          </w:tcPr>
          <w:p>
            <w:pPr>
              <w:keepNext w:val="0"/>
              <w:keepLines w:val="0"/>
              <w:pageBreakBefore w:val="0"/>
              <w:kinsoku/>
              <w:wordWrap/>
              <w:overflowPunct/>
              <w:topLinePunct w:val="0"/>
              <w:autoSpaceDE/>
              <w:autoSpaceDN/>
              <w:bidi w:val="0"/>
              <w:spacing w:line="260" w:lineRule="exact"/>
              <w:ind w:firstLine="420" w:firstLineChars="175"/>
              <w:jc w:val="center"/>
              <w:textAlignment w:val="auto"/>
              <w:rPr>
                <w:rFonts w:hint="default" w:ascii="Times New Roman" w:hAnsi="Times New Roman" w:eastAsia="方正黑体_GBK" w:cs="Times New Roman"/>
                <w:b w:val="0"/>
                <w:bCs/>
                <w:sz w:val="24"/>
                <w:szCs w:val="24"/>
              </w:rPr>
            </w:pPr>
            <w:r>
              <w:rPr>
                <w:rFonts w:hint="default" w:ascii="Times New Roman" w:hAnsi="Times New Roman" w:eastAsia="方正黑体_GBK" w:cs="Times New Roman"/>
                <w:b w:val="0"/>
                <w:bCs/>
                <w:sz w:val="24"/>
                <w:szCs w:val="24"/>
              </w:rPr>
              <w:t>审查要点</w:t>
            </w:r>
          </w:p>
        </w:tc>
        <w:tc>
          <w:tcPr>
            <w:tcW w:w="1307" w:type="dxa"/>
            <w:vAlign w:val="center"/>
          </w:tcPr>
          <w:p>
            <w:pPr>
              <w:keepNext w:val="0"/>
              <w:keepLines w:val="0"/>
              <w:pageBreakBefore w:val="0"/>
              <w:kinsoku/>
              <w:wordWrap/>
              <w:overflowPunct/>
              <w:topLinePunct w:val="0"/>
              <w:autoSpaceDE/>
              <w:autoSpaceDN/>
              <w:bidi w:val="0"/>
              <w:spacing w:line="260" w:lineRule="exact"/>
              <w:jc w:val="center"/>
              <w:textAlignment w:val="auto"/>
              <w:rPr>
                <w:rFonts w:hint="default" w:ascii="Times New Roman" w:hAnsi="Times New Roman" w:eastAsia="方正黑体_GBK" w:cs="Times New Roman"/>
                <w:b w:val="0"/>
                <w:bCs/>
                <w:sz w:val="24"/>
                <w:szCs w:val="24"/>
              </w:rPr>
            </w:pPr>
            <w:r>
              <w:rPr>
                <w:rFonts w:hint="default" w:ascii="Times New Roman" w:hAnsi="Times New Roman" w:eastAsia="方正黑体_GBK" w:cs="Times New Roman"/>
                <w:b w:val="0"/>
                <w:bCs/>
                <w:sz w:val="24"/>
                <w:szCs w:val="24"/>
              </w:rPr>
              <w:t>审查结果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737" w:type="dxa"/>
            <w:vMerge w:val="restart"/>
            <w:vAlign w:val="center"/>
          </w:tcPr>
          <w:p>
            <w:pPr>
              <w:keepNext w:val="0"/>
              <w:keepLines w:val="0"/>
              <w:pageBreakBefore w:val="0"/>
              <w:kinsoku/>
              <w:wordWrap/>
              <w:overflowPunct/>
              <w:topLinePunct w:val="0"/>
              <w:autoSpaceDE/>
              <w:autoSpaceDN/>
              <w:bidi w:val="0"/>
              <w:spacing w:line="260" w:lineRule="exact"/>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1</w:t>
            </w:r>
          </w:p>
        </w:tc>
        <w:tc>
          <w:tcPr>
            <w:tcW w:w="1650" w:type="dxa"/>
            <w:vMerge w:val="restart"/>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《危险化学品生产企业安全生产许可证申请书》</w:t>
            </w:r>
          </w:p>
        </w:tc>
        <w:tc>
          <w:tcPr>
            <w:tcW w:w="5940" w:type="dxa"/>
            <w:vAlign w:val="center"/>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1.申请书内容完整准确，主要负责人签字，加盖企业公章。</w:t>
            </w:r>
          </w:p>
        </w:tc>
        <w:tc>
          <w:tcPr>
            <w:tcW w:w="1307" w:type="dxa"/>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737" w:type="dxa"/>
            <w:vMerge w:val="continue"/>
            <w:vAlign w:val="center"/>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c>
          <w:tcPr>
            <w:tcW w:w="1650" w:type="dxa"/>
            <w:vMerge w:val="continue"/>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2.申请的最终产品、副产品和中间产品的品种、生产能力应与安全评价报告一致。同一企业有多个生产场所（地址）的，应分别注明各生产场所对应的产品和产能情况。</w:t>
            </w:r>
          </w:p>
        </w:tc>
        <w:tc>
          <w:tcPr>
            <w:tcW w:w="1307" w:type="dxa"/>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37" w:type="dxa"/>
            <w:vMerge w:val="restart"/>
            <w:vAlign w:val="center"/>
          </w:tcPr>
          <w:p>
            <w:pPr>
              <w:keepNext w:val="0"/>
              <w:keepLines w:val="0"/>
              <w:pageBreakBefore w:val="0"/>
              <w:kinsoku/>
              <w:wordWrap/>
              <w:overflowPunct/>
              <w:topLinePunct w:val="0"/>
              <w:autoSpaceDE/>
              <w:autoSpaceDN/>
              <w:bidi w:val="0"/>
              <w:spacing w:line="260" w:lineRule="exact"/>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2</w:t>
            </w:r>
          </w:p>
        </w:tc>
        <w:tc>
          <w:tcPr>
            <w:tcW w:w="1650" w:type="dxa"/>
            <w:vMerge w:val="restart"/>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发布安全生产责任制的文件和责任制清单</w:t>
            </w:r>
          </w:p>
        </w:tc>
        <w:tc>
          <w:tcPr>
            <w:tcW w:w="5940" w:type="dxa"/>
            <w:vAlign w:val="center"/>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1.企业发布安全生产责任制的正式文件。</w:t>
            </w:r>
          </w:p>
        </w:tc>
        <w:tc>
          <w:tcPr>
            <w:tcW w:w="1307" w:type="dxa"/>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737" w:type="dxa"/>
            <w:vMerge w:val="continue"/>
            <w:vAlign w:val="center"/>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c>
          <w:tcPr>
            <w:tcW w:w="1650" w:type="dxa"/>
            <w:vMerge w:val="continue"/>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2.企业主要负责人、分管安全负责人、分管生产负责人、分管技术负责人、安全生产管理人员以及各职能部门、各岗位安全生产责任制的清单，加盖企业公章。</w:t>
            </w:r>
          </w:p>
        </w:tc>
        <w:tc>
          <w:tcPr>
            <w:tcW w:w="1307" w:type="dxa"/>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737" w:type="dxa"/>
            <w:vMerge w:val="restart"/>
            <w:vAlign w:val="center"/>
          </w:tcPr>
          <w:p>
            <w:pPr>
              <w:keepNext w:val="0"/>
              <w:keepLines w:val="0"/>
              <w:pageBreakBefore w:val="0"/>
              <w:kinsoku/>
              <w:wordWrap/>
              <w:overflowPunct/>
              <w:topLinePunct w:val="0"/>
              <w:autoSpaceDE/>
              <w:autoSpaceDN/>
              <w:bidi w:val="0"/>
              <w:spacing w:line="260" w:lineRule="exact"/>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3</w:t>
            </w:r>
          </w:p>
        </w:tc>
        <w:tc>
          <w:tcPr>
            <w:tcW w:w="1650" w:type="dxa"/>
            <w:vMerge w:val="restart"/>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安全生产规章制度、各岗位安全操作规程清单</w:t>
            </w:r>
          </w:p>
        </w:tc>
        <w:tc>
          <w:tcPr>
            <w:tcW w:w="5940" w:type="dxa"/>
            <w:vAlign w:val="center"/>
          </w:tcPr>
          <w:p>
            <w:pPr>
              <w:keepNext w:val="0"/>
              <w:keepLines w:val="0"/>
              <w:pageBreakBefore w:val="0"/>
              <w:kinsoku/>
              <w:wordWrap/>
              <w:overflowPunct/>
              <w:topLinePunct w:val="0"/>
              <w:autoSpaceDE/>
              <w:autoSpaceDN/>
              <w:bidi w:val="0"/>
              <w:spacing w:line="260" w:lineRule="exac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sz w:val="21"/>
                <w:szCs w:val="21"/>
              </w:rPr>
              <w:t>1.三年内的安全生产规章制度清单，加盖企业公章</w:t>
            </w:r>
            <w:r>
              <w:rPr>
                <w:rFonts w:hint="eastAsia" w:eastAsia="方正仿宋_GBK" w:cs="Times New Roman"/>
                <w:sz w:val="21"/>
                <w:szCs w:val="21"/>
                <w:lang w:eastAsia="zh-CN"/>
              </w:rPr>
              <w:t>。</w:t>
            </w:r>
          </w:p>
        </w:tc>
        <w:tc>
          <w:tcPr>
            <w:tcW w:w="1307" w:type="dxa"/>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37" w:type="dxa"/>
            <w:vMerge w:val="continue"/>
            <w:vAlign w:val="center"/>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c>
          <w:tcPr>
            <w:tcW w:w="1650" w:type="dxa"/>
            <w:vMerge w:val="continue"/>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p>
        </w:tc>
        <w:tc>
          <w:tcPr>
            <w:tcW w:w="5940" w:type="dxa"/>
            <w:vAlign w:val="center"/>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2.三年内的岗位安全操作规程清单，加盖企业公章。</w:t>
            </w:r>
          </w:p>
        </w:tc>
        <w:tc>
          <w:tcPr>
            <w:tcW w:w="1307" w:type="dxa"/>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7" w:type="dxa"/>
            <w:vMerge w:val="restart"/>
            <w:vAlign w:val="center"/>
          </w:tcPr>
          <w:p>
            <w:pPr>
              <w:keepNext w:val="0"/>
              <w:keepLines w:val="0"/>
              <w:pageBreakBefore w:val="0"/>
              <w:kinsoku/>
              <w:wordWrap/>
              <w:overflowPunct/>
              <w:topLinePunct w:val="0"/>
              <w:autoSpaceDE/>
              <w:autoSpaceDN/>
              <w:bidi w:val="0"/>
              <w:spacing w:line="260" w:lineRule="exact"/>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4</w:t>
            </w:r>
          </w:p>
        </w:tc>
        <w:tc>
          <w:tcPr>
            <w:tcW w:w="1650" w:type="dxa"/>
            <w:vMerge w:val="restart"/>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设置安全生产管理机构和配备专职安全生产管理人员的文件、设置安全总监、配备注册安全工程师情况</w:t>
            </w: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1.企业设置安全生产管理机构和配备安全管理人员的正式文件（明确主要负责人、分管安全的负责人、安全总监、专职安全管理人员等）。</w:t>
            </w:r>
          </w:p>
        </w:tc>
        <w:tc>
          <w:tcPr>
            <w:tcW w:w="1307" w:type="dxa"/>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7" w:type="dxa"/>
            <w:vMerge w:val="continue"/>
            <w:vAlign w:val="center"/>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c>
          <w:tcPr>
            <w:tcW w:w="1650" w:type="dxa"/>
            <w:vMerge w:val="continue"/>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2.专职安全管理人员数量符</w:t>
            </w:r>
            <w:bookmarkStart w:id="1" w:name="_GoBack"/>
            <w:bookmarkEnd w:id="1"/>
            <w:r>
              <w:rPr>
                <w:rFonts w:hint="default" w:ascii="Times New Roman" w:hAnsi="Times New Roman" w:eastAsia="方正仿宋_GBK" w:cs="Times New Roman"/>
                <w:sz w:val="21"/>
                <w:szCs w:val="21"/>
              </w:rPr>
              <w:t>文件规定要求：</w:t>
            </w:r>
          </w:p>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(1)从业人员不足三十人的，配备一名以上专职安全生产管理人员；</w:t>
            </w:r>
          </w:p>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(2)从业人员三十人以上不足一百人的，配备两名以上专职安全生产管理人员；</w:t>
            </w:r>
          </w:p>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(3)从业人员一百人以上的，专职安全生产管理人员应不少于企业员工总数的2%。</w:t>
            </w:r>
          </w:p>
        </w:tc>
        <w:tc>
          <w:tcPr>
            <w:tcW w:w="1307" w:type="dxa"/>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7" w:type="dxa"/>
            <w:vMerge w:val="continue"/>
            <w:vAlign w:val="center"/>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c>
          <w:tcPr>
            <w:tcW w:w="1650" w:type="dxa"/>
            <w:vMerge w:val="continue"/>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3.企业按规定设置安全总监，配备注册安全工程师。</w:t>
            </w:r>
          </w:p>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(1)从业人员在100人及以上或年主营业务收入2000万元及以上的，应按规定设置安全总监，安全总监应满足任职条件；</w:t>
            </w:r>
          </w:p>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(2)企业应按照不少于安全生产管理人员15%的比例配备注册安全工程师，安全生产管理人员在7人以下的，至少配备1名注册安全工程师，且注册在本企业。</w:t>
            </w:r>
          </w:p>
        </w:tc>
        <w:tc>
          <w:tcPr>
            <w:tcW w:w="1307" w:type="dxa"/>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37" w:type="dxa"/>
            <w:vMerge w:val="restart"/>
            <w:vAlign w:val="center"/>
          </w:tcPr>
          <w:p>
            <w:pPr>
              <w:keepNext w:val="0"/>
              <w:keepLines w:val="0"/>
              <w:pageBreakBefore w:val="0"/>
              <w:kinsoku/>
              <w:wordWrap/>
              <w:overflowPunct/>
              <w:topLinePunct w:val="0"/>
              <w:autoSpaceDE/>
              <w:autoSpaceDN/>
              <w:bidi w:val="0"/>
              <w:spacing w:line="260" w:lineRule="exact"/>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5</w:t>
            </w:r>
          </w:p>
        </w:tc>
        <w:tc>
          <w:tcPr>
            <w:tcW w:w="1650" w:type="dxa"/>
            <w:vMerge w:val="restart"/>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从业人员的任职条件及安全生产知识和管理能力考核合格证</w:t>
            </w: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1.主要负责人（法定代表人、实际控制人、董事长、总经理）、分管安全负责人、安全生产管理人员的安全生产知识和管理能力考核合格证及再培训记录。</w:t>
            </w:r>
          </w:p>
        </w:tc>
        <w:tc>
          <w:tcPr>
            <w:tcW w:w="1307" w:type="dxa"/>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737" w:type="dxa"/>
            <w:vMerge w:val="continue"/>
            <w:vAlign w:val="center"/>
          </w:tcPr>
          <w:p>
            <w:pPr>
              <w:keepNext w:val="0"/>
              <w:keepLines w:val="0"/>
              <w:pageBreakBefore w:val="0"/>
              <w:kinsoku/>
              <w:wordWrap/>
              <w:overflowPunct/>
              <w:topLinePunct w:val="0"/>
              <w:autoSpaceDE/>
              <w:autoSpaceDN/>
              <w:bidi w:val="0"/>
              <w:spacing w:line="260" w:lineRule="exact"/>
              <w:jc w:val="center"/>
              <w:textAlignment w:val="auto"/>
              <w:rPr>
                <w:rFonts w:hint="default" w:ascii="Times New Roman" w:hAnsi="Times New Roman" w:eastAsia="方正仿宋_GBK" w:cs="Times New Roman"/>
                <w:sz w:val="21"/>
                <w:szCs w:val="21"/>
              </w:rPr>
            </w:pPr>
          </w:p>
        </w:tc>
        <w:tc>
          <w:tcPr>
            <w:tcW w:w="1650" w:type="dxa"/>
            <w:vMerge w:val="continue"/>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2.相关从业人员的任职条件满足《危险化学品企业重点人员安全资质达标导则(试行)》的规定。</w:t>
            </w:r>
          </w:p>
        </w:tc>
        <w:tc>
          <w:tcPr>
            <w:tcW w:w="1307" w:type="dxa"/>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737" w:type="dxa"/>
            <w:vAlign w:val="center"/>
          </w:tcPr>
          <w:p>
            <w:pPr>
              <w:keepNext w:val="0"/>
              <w:keepLines w:val="0"/>
              <w:pageBreakBefore w:val="0"/>
              <w:kinsoku/>
              <w:wordWrap/>
              <w:overflowPunct/>
              <w:topLinePunct w:val="0"/>
              <w:autoSpaceDE/>
              <w:autoSpaceDN/>
              <w:bidi w:val="0"/>
              <w:spacing w:line="260" w:lineRule="exact"/>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6</w:t>
            </w:r>
          </w:p>
        </w:tc>
        <w:tc>
          <w:tcPr>
            <w:tcW w:w="165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特种作业人员清单及特种作业操作证</w:t>
            </w: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特种作业人员清单应注明特种作业人员姓名、作业类别、证号、取证日期、复审日期和有效期，加盖企业公章。</w:t>
            </w:r>
          </w:p>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特种作业操作证应正反扫描，按期复训，与清单一致。</w:t>
            </w:r>
          </w:p>
        </w:tc>
        <w:tc>
          <w:tcPr>
            <w:tcW w:w="1307" w:type="dxa"/>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37" w:type="dxa"/>
            <w:vMerge w:val="restart"/>
            <w:vAlign w:val="center"/>
          </w:tcPr>
          <w:p>
            <w:pPr>
              <w:keepNext w:val="0"/>
              <w:keepLines w:val="0"/>
              <w:pageBreakBefore w:val="0"/>
              <w:kinsoku/>
              <w:wordWrap/>
              <w:overflowPunct/>
              <w:topLinePunct w:val="0"/>
              <w:autoSpaceDE/>
              <w:autoSpaceDN/>
              <w:bidi w:val="0"/>
              <w:spacing w:line="260" w:lineRule="exact"/>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7</w:t>
            </w:r>
          </w:p>
        </w:tc>
        <w:tc>
          <w:tcPr>
            <w:tcW w:w="1650" w:type="dxa"/>
            <w:vMerge w:val="restart"/>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三年内安全生产费用提取和使用情况报告</w:t>
            </w: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sz w:val="21"/>
                <w:szCs w:val="21"/>
              </w:rPr>
              <w:t>1.三年内安全生产费用提取和使用情况报告，经企业主要负责人和财务负责人签字，并加盖企业公章</w:t>
            </w:r>
            <w:r>
              <w:rPr>
                <w:rFonts w:hint="eastAsia" w:eastAsia="方正仿宋_GBK" w:cs="Times New Roman"/>
                <w:sz w:val="21"/>
                <w:szCs w:val="21"/>
                <w:lang w:eastAsia="zh-CN"/>
              </w:rPr>
              <w:t>。</w:t>
            </w:r>
          </w:p>
        </w:tc>
        <w:tc>
          <w:tcPr>
            <w:tcW w:w="1307" w:type="dxa"/>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737" w:type="dxa"/>
            <w:vMerge w:val="continue"/>
            <w:vAlign w:val="center"/>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c>
          <w:tcPr>
            <w:tcW w:w="1650" w:type="dxa"/>
            <w:vMerge w:val="continue"/>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p>
        </w:tc>
        <w:tc>
          <w:tcPr>
            <w:tcW w:w="5940" w:type="dxa"/>
            <w:vAlign w:val="center"/>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2.新建企业有安全生产费用提取和使用规定的文件。</w:t>
            </w:r>
          </w:p>
        </w:tc>
        <w:tc>
          <w:tcPr>
            <w:tcW w:w="1307" w:type="dxa"/>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0" w:hRule="atLeast"/>
          <w:jc w:val="center"/>
        </w:trPr>
        <w:tc>
          <w:tcPr>
            <w:tcW w:w="737" w:type="dxa"/>
            <w:vAlign w:val="center"/>
          </w:tcPr>
          <w:p>
            <w:pPr>
              <w:keepNext w:val="0"/>
              <w:keepLines w:val="0"/>
              <w:pageBreakBefore w:val="0"/>
              <w:kinsoku/>
              <w:wordWrap/>
              <w:overflowPunct/>
              <w:topLinePunct w:val="0"/>
              <w:autoSpaceDE/>
              <w:autoSpaceDN/>
              <w:bidi w:val="0"/>
              <w:spacing w:line="260" w:lineRule="exact"/>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8</w:t>
            </w:r>
          </w:p>
        </w:tc>
        <w:tc>
          <w:tcPr>
            <w:tcW w:w="165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为从业人员缴纳工伤保险费的税务部门专用发票或其他有效证明材料</w:t>
            </w:r>
          </w:p>
        </w:tc>
        <w:tc>
          <w:tcPr>
            <w:tcW w:w="5940" w:type="dxa"/>
            <w:vAlign w:val="center"/>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近三个月内缴纳工伤保险费的税务部门专用发票，且载明有工伤保险费用；明确缴纳人数，提供经社保部门盖章的缴纳人员明细表。</w:t>
            </w:r>
          </w:p>
        </w:tc>
        <w:tc>
          <w:tcPr>
            <w:tcW w:w="1307" w:type="dxa"/>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37" w:type="dxa"/>
            <w:vAlign w:val="center"/>
          </w:tcPr>
          <w:p>
            <w:pPr>
              <w:keepNext w:val="0"/>
              <w:keepLines w:val="0"/>
              <w:pageBreakBefore w:val="0"/>
              <w:kinsoku/>
              <w:wordWrap/>
              <w:overflowPunct/>
              <w:topLinePunct w:val="0"/>
              <w:autoSpaceDE/>
              <w:autoSpaceDN/>
              <w:bidi w:val="0"/>
              <w:spacing w:line="260" w:lineRule="exact"/>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9</w:t>
            </w:r>
          </w:p>
        </w:tc>
        <w:tc>
          <w:tcPr>
            <w:tcW w:w="165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《生产经营单位生产安全事故应急预案备案登记表》</w:t>
            </w: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三年内的危险化学品事故应急救援预案的备案证明文件，如企业有新、改、扩建危险化学品建设项目的，应按规定及时修订。</w:t>
            </w:r>
          </w:p>
        </w:tc>
        <w:tc>
          <w:tcPr>
            <w:tcW w:w="1307" w:type="dxa"/>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737" w:type="dxa"/>
            <w:vAlign w:val="center"/>
          </w:tcPr>
          <w:p>
            <w:pPr>
              <w:keepNext w:val="0"/>
              <w:keepLines w:val="0"/>
              <w:pageBreakBefore w:val="0"/>
              <w:kinsoku/>
              <w:wordWrap/>
              <w:overflowPunct/>
              <w:topLinePunct w:val="0"/>
              <w:autoSpaceDE/>
              <w:autoSpaceDN/>
              <w:bidi w:val="0"/>
              <w:spacing w:line="260" w:lineRule="exact"/>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10</w:t>
            </w:r>
          </w:p>
        </w:tc>
        <w:tc>
          <w:tcPr>
            <w:tcW w:w="165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应急救援组织或者救援人员及应急救援器材、设备设施的清单</w:t>
            </w: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应急救援组织或者应急救援人员，以及应急救援器材、设备设施清单，加盖企业公章。</w:t>
            </w:r>
          </w:p>
        </w:tc>
        <w:tc>
          <w:tcPr>
            <w:tcW w:w="1307" w:type="dxa"/>
            <w:vAlign w:val="center"/>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737" w:type="dxa"/>
            <w:vAlign w:val="center"/>
          </w:tcPr>
          <w:p>
            <w:pPr>
              <w:keepNext w:val="0"/>
              <w:keepLines w:val="0"/>
              <w:pageBreakBefore w:val="0"/>
              <w:kinsoku/>
              <w:wordWrap/>
              <w:overflowPunct/>
              <w:topLinePunct w:val="0"/>
              <w:autoSpaceDE/>
              <w:autoSpaceDN/>
              <w:bidi w:val="0"/>
              <w:spacing w:line="260" w:lineRule="exact"/>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11</w:t>
            </w:r>
          </w:p>
        </w:tc>
        <w:tc>
          <w:tcPr>
            <w:tcW w:w="165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工商营业执照副本或工商核准文件</w:t>
            </w:r>
          </w:p>
        </w:tc>
        <w:tc>
          <w:tcPr>
            <w:tcW w:w="5940" w:type="dxa"/>
            <w:vAlign w:val="center"/>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工商营业执照副本或者工商核准文件。</w:t>
            </w:r>
          </w:p>
        </w:tc>
        <w:tc>
          <w:tcPr>
            <w:tcW w:w="1307" w:type="dxa"/>
            <w:vAlign w:val="center"/>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737" w:type="dxa"/>
            <w:vAlign w:val="center"/>
          </w:tcPr>
          <w:p>
            <w:pPr>
              <w:keepNext w:val="0"/>
              <w:keepLines w:val="0"/>
              <w:pageBreakBefore w:val="0"/>
              <w:kinsoku/>
              <w:wordWrap/>
              <w:overflowPunct/>
              <w:topLinePunct w:val="0"/>
              <w:autoSpaceDE/>
              <w:autoSpaceDN/>
              <w:bidi w:val="0"/>
              <w:spacing w:line="260" w:lineRule="exact"/>
              <w:jc w:val="center"/>
              <w:textAlignment w:val="auto"/>
              <w:rPr>
                <w:rFonts w:hint="default" w:ascii="Times New Roman" w:hAnsi="Times New Roman" w:eastAsia="方正仿宋_GBK" w:cs="Times New Roman"/>
                <w:bCs/>
                <w:kern w:val="0"/>
                <w:sz w:val="21"/>
                <w:szCs w:val="21"/>
              </w:rPr>
            </w:pPr>
            <w:r>
              <w:rPr>
                <w:rFonts w:hint="default" w:ascii="Times New Roman" w:hAnsi="Times New Roman" w:eastAsia="方正仿宋_GBK" w:cs="Times New Roman"/>
                <w:bCs/>
                <w:kern w:val="0"/>
                <w:sz w:val="21"/>
                <w:szCs w:val="21"/>
              </w:rPr>
              <w:t>12</w:t>
            </w:r>
          </w:p>
        </w:tc>
        <w:tc>
          <w:tcPr>
            <w:tcW w:w="165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建设项目安全设施竣工验收材料</w:t>
            </w: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近3年有新、改、扩建危险化学品建设项目的，应提供竣工验收评价报告及安全设施竣工验收审核表。</w:t>
            </w:r>
          </w:p>
        </w:tc>
        <w:tc>
          <w:tcPr>
            <w:tcW w:w="1307" w:type="dxa"/>
            <w:vAlign w:val="center"/>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737" w:type="dxa"/>
            <w:vAlign w:val="center"/>
          </w:tcPr>
          <w:p>
            <w:pPr>
              <w:keepNext w:val="0"/>
              <w:keepLines w:val="0"/>
              <w:pageBreakBefore w:val="0"/>
              <w:kinsoku/>
              <w:wordWrap/>
              <w:overflowPunct/>
              <w:topLinePunct w:val="0"/>
              <w:autoSpaceDE/>
              <w:autoSpaceDN/>
              <w:bidi w:val="0"/>
              <w:spacing w:line="260" w:lineRule="exact"/>
              <w:jc w:val="center"/>
              <w:textAlignment w:val="auto"/>
              <w:rPr>
                <w:rFonts w:hint="default" w:ascii="Times New Roman" w:hAnsi="Times New Roman" w:eastAsia="方正仿宋_GBK" w:cs="Times New Roman"/>
                <w:b/>
                <w:sz w:val="21"/>
                <w:szCs w:val="21"/>
              </w:rPr>
            </w:pPr>
            <w:r>
              <w:rPr>
                <w:rFonts w:hint="default" w:ascii="Times New Roman" w:hAnsi="Times New Roman" w:eastAsia="方正仿宋_GBK" w:cs="Times New Roman"/>
                <w:sz w:val="21"/>
                <w:szCs w:val="21"/>
              </w:rPr>
              <w:t>13</w:t>
            </w:r>
          </w:p>
        </w:tc>
        <w:tc>
          <w:tcPr>
            <w:tcW w:w="165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重大危险源备案的证明文件</w:t>
            </w: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三年内重大危险源的备案证明文件，如企业有新、改、扩建危险化学品建设项目的，应提供重新辨识后的重大危险源备案证明。</w:t>
            </w:r>
          </w:p>
        </w:tc>
        <w:tc>
          <w:tcPr>
            <w:tcW w:w="1307" w:type="dxa"/>
            <w:vAlign w:val="center"/>
          </w:tcPr>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37" w:type="dxa"/>
            <w:vMerge w:val="restart"/>
            <w:vAlign w:val="center"/>
          </w:tcPr>
          <w:p>
            <w:pPr>
              <w:keepNext w:val="0"/>
              <w:keepLines w:val="0"/>
              <w:pageBreakBefore w:val="0"/>
              <w:kinsoku/>
              <w:wordWrap/>
              <w:overflowPunct/>
              <w:topLinePunct w:val="0"/>
              <w:autoSpaceDE/>
              <w:autoSpaceDN/>
              <w:bidi w:val="0"/>
              <w:adjustRightInd w:val="0"/>
              <w:spacing w:line="260" w:lineRule="exact"/>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14</w:t>
            </w:r>
          </w:p>
        </w:tc>
        <w:tc>
          <w:tcPr>
            <w:tcW w:w="1650" w:type="dxa"/>
            <w:vMerge w:val="restart"/>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安全评价报告</w:t>
            </w:r>
          </w:p>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1.报告封面、隐患整改确认页、与建设单位交换意见页等加盖企业公章；封二、隐患整改确认页、总体结论、安全生产条件评价表、与建设单位交换意见页、章节明确结论页、报告骑缝加盖评价机构公章。</w:t>
            </w:r>
          </w:p>
        </w:tc>
        <w:tc>
          <w:tcPr>
            <w:tcW w:w="1307" w:type="dxa"/>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37" w:type="dxa"/>
            <w:vMerge w:val="continue"/>
            <w:vAlign w:val="center"/>
          </w:tcPr>
          <w:p>
            <w:pPr>
              <w:keepNext w:val="0"/>
              <w:keepLines w:val="0"/>
              <w:pageBreakBefore w:val="0"/>
              <w:kinsoku/>
              <w:wordWrap/>
              <w:overflowPunct/>
              <w:topLinePunct w:val="0"/>
              <w:autoSpaceDE/>
              <w:autoSpaceDN/>
              <w:bidi w:val="0"/>
              <w:adjustRightInd w:val="0"/>
              <w:spacing w:line="260" w:lineRule="exact"/>
              <w:jc w:val="center"/>
              <w:textAlignment w:val="auto"/>
              <w:rPr>
                <w:rFonts w:hint="default" w:ascii="Times New Roman" w:hAnsi="Times New Roman" w:eastAsia="方正仿宋_GBK" w:cs="Times New Roman"/>
                <w:sz w:val="21"/>
                <w:szCs w:val="21"/>
              </w:rPr>
            </w:pPr>
          </w:p>
        </w:tc>
        <w:tc>
          <w:tcPr>
            <w:tcW w:w="1650"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2.新领证或项目变更时，评价报告的名称应与立项批文一致，不一致的，需说明情况。分期建设的，应在名称中加注本期内容。</w:t>
            </w:r>
          </w:p>
        </w:tc>
        <w:tc>
          <w:tcPr>
            <w:tcW w:w="1307" w:type="dxa"/>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37"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1650"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3.安全评价机构资质、业务范围、有效期符合要求。</w:t>
            </w:r>
          </w:p>
        </w:tc>
        <w:tc>
          <w:tcPr>
            <w:tcW w:w="1307" w:type="dxa"/>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1650"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4.评价人员、各类技术专家以及其它有关责任人名单（含报告的编制人、审核人、过程控制负责人、技术负责人），评价人员和技术专家均应签名（原件）。</w:t>
            </w:r>
          </w:p>
        </w:tc>
        <w:tc>
          <w:tcPr>
            <w:tcW w:w="1307" w:type="dxa"/>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1650"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5.编制说明中应明确申报安全生产许可证的危险化学品品种及其生产能力（产量按吨/年计），与企业申请书及危险化学品登记证中的品种和生产能力一致。</w:t>
            </w:r>
          </w:p>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（1）领证产品的名称需与《危险化学品目录》（2015版）一致，并注明申请品种在《危险化学品目录》中的序号；</w:t>
            </w:r>
          </w:p>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（2）延期换证时，应列表说明本次领证与上次领证品种及其生产能力的变化；</w:t>
            </w:r>
          </w:p>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（3）项目变更时，应列表说明本次验收后与现有领证品种对比情况，原领证品种因项目建设发生变化的，需进行说明。</w:t>
            </w:r>
          </w:p>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4）主要成分均为列入《危险化学品目录》的危险化学品，并且主要成分质量比或体积比之和不小于70%的混合物（经鉴定不属于危险化学品确定原则的除外），领证品种格式为：混合物（商品名称：组分1百分比、组分2百分比……）。</w:t>
            </w:r>
          </w:p>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（5）涉及2828类的应明确88项中具体类别，不在88项中的应提供危险化学品鉴别分类报告（以应急部认定的鉴定机构出具报告为准），领证品种格式为：2828类其他项（括号内填写鉴别分类报告中样品名称）。</w:t>
            </w:r>
          </w:p>
        </w:tc>
        <w:tc>
          <w:tcPr>
            <w:tcW w:w="1307" w:type="dxa"/>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1650"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6.评价报告的评价范围应完整，不得疏漏。</w:t>
            </w:r>
          </w:p>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（1）新领证时，评价范围应覆盖全厂所有区域。如果竣工验收报告的范围不能覆盖全厂，应同时提供全厂的现状评价报告作为申请许可的安全评价报告。</w:t>
            </w:r>
          </w:p>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2）延期换证时，评价范围应覆盖全厂所有区域，未通过竣工验收的建设项目不纳入评价范围，但在建项目应在总平面布置中对其防火间距符合性情况进行评价。评价报告应注明放弃生产的项目、装置与领证品种和生产能力对照表，停产的项目、装置与领证品种和生产能力对照表。</w:t>
            </w:r>
          </w:p>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3）项目变更时，评价范围应涵盖项目所有区域，包括依托的生产装置、储存设施、外管、公用及辅助设施等。评价范围与项目立项批文、安全条件审查、安全设施设计审查内容一致；不一致的，说明情况。分期建设、分步验收的，说明是否在安全条件审查、安全设施设计审查的范围内。</w:t>
            </w:r>
          </w:p>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（4）环评审批确定的危险废物品种、数量和环境治理设施应纳入评价范围，评价其采取的安全措施情况。</w:t>
            </w:r>
          </w:p>
        </w:tc>
        <w:tc>
          <w:tcPr>
            <w:tcW w:w="1307" w:type="dxa"/>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1650"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5940" w:type="dxa"/>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7.评价报告应对企业安全生产条件变化或建设项目安全设施设计变更的符合性给出明确结论。</w:t>
            </w:r>
          </w:p>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（1）延期换证时，评价报告应对上次领证后安全生产条件变化情况进行描述，对变更的符合性给出明确结论。</w:t>
            </w:r>
          </w:p>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（2）新领证或项目变更时，评价报告应对项目施工变更情况及试生产变更情况进行描述，对变更的符合性给出明确结论。</w:t>
            </w:r>
          </w:p>
        </w:tc>
        <w:tc>
          <w:tcPr>
            <w:tcW w:w="1307" w:type="dxa"/>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737"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1650"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8.隐患整改表，企业与评价机构应签字盖章予以确认。</w:t>
            </w:r>
          </w:p>
        </w:tc>
        <w:tc>
          <w:tcPr>
            <w:tcW w:w="1307" w:type="dxa"/>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737"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1650"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9.危险有害因素分析结果汇总表，与危险有害因素分析章节的结论一致，加盖评价机构公章。</w:t>
            </w:r>
          </w:p>
        </w:tc>
        <w:tc>
          <w:tcPr>
            <w:tcW w:w="1307" w:type="dxa"/>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737"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1650"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10.评价报告定性、定量分析评价结论汇总表，结论为“符合”、“不符合”、“不涉及”，不得漏项，加盖评价机构公章。</w:t>
            </w:r>
          </w:p>
        </w:tc>
        <w:tc>
          <w:tcPr>
            <w:tcW w:w="1307" w:type="dxa"/>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737"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1650"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11.领取安全生产许可证具备的安全生产条件评价表，结论为“是”、“否”、“不涉及”，不得漏项，加盖评价机构公章。</w:t>
            </w:r>
          </w:p>
        </w:tc>
        <w:tc>
          <w:tcPr>
            <w:tcW w:w="1307" w:type="dxa"/>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737"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1650"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5940" w:type="dxa"/>
            <w:vAlign w:val="center"/>
          </w:tcPr>
          <w:p>
            <w:pPr>
              <w:keepNext w:val="0"/>
              <w:keepLines w:val="0"/>
              <w:pageBreakBefore w:val="0"/>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12.评价报告结论为“符合安全生产条件”或“不符合安全生产条件”，加盖评价机构公章。</w:t>
            </w:r>
          </w:p>
        </w:tc>
        <w:tc>
          <w:tcPr>
            <w:tcW w:w="1307" w:type="dxa"/>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1650" w:type="dxa"/>
            <w:vMerge w:val="continue"/>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c>
          <w:tcPr>
            <w:tcW w:w="5940" w:type="dxa"/>
            <w:vAlign w:val="center"/>
          </w:tcPr>
          <w:p>
            <w:pPr>
              <w:keepNext w:val="0"/>
              <w:keepLines w:val="0"/>
              <w:pageBreakBefore w:val="0"/>
              <w:widowControl/>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bCs/>
                <w:kern w:val="0"/>
                <w:sz w:val="21"/>
                <w:szCs w:val="21"/>
              </w:rPr>
            </w:pPr>
            <w:r>
              <w:rPr>
                <w:rFonts w:hint="default" w:ascii="Times New Roman" w:hAnsi="Times New Roman" w:eastAsia="方正仿宋_GBK" w:cs="Times New Roman"/>
                <w:sz w:val="21"/>
                <w:szCs w:val="21"/>
              </w:rPr>
              <w:t>13.附图齐全，包括：地理位置图、区域位置图（周边环境图）、总平面布置图、</w:t>
            </w:r>
            <w:r>
              <w:rPr>
                <w:rFonts w:hint="default" w:ascii="Times New Roman" w:hAnsi="Times New Roman" w:eastAsia="方正仿宋_GBK" w:cs="Times New Roman"/>
                <w:bCs/>
                <w:kern w:val="0"/>
                <w:sz w:val="21"/>
                <w:szCs w:val="21"/>
              </w:rPr>
              <w:t>装置设备布置图、爆炸危险区域划分图、工艺管道和仪表流程图、安全联锁、紧急停车系统及安全仪表系统，可燃及有毒物料泄漏检测系统，火炬和安全泄放系统，应急系统和设施图等。</w:t>
            </w:r>
          </w:p>
          <w:p>
            <w:pPr>
              <w:keepNext w:val="0"/>
              <w:keepLines w:val="0"/>
              <w:pageBreakBefore w:val="0"/>
              <w:widowControl/>
              <w:kinsoku/>
              <w:wordWrap/>
              <w:overflowPunct/>
              <w:topLinePunct w:val="0"/>
              <w:autoSpaceDE/>
              <w:autoSpaceDN/>
              <w:bidi w:val="0"/>
              <w:adjustRightInd w:val="0"/>
              <w:snapToGrid w:val="0"/>
              <w:spacing w:line="260" w:lineRule="exact"/>
              <w:textAlignment w:val="auto"/>
              <w:rPr>
                <w:rFonts w:hint="default" w:ascii="Times New Roman" w:hAnsi="Times New Roman" w:eastAsia="方正仿宋_GBK" w:cs="Times New Roman"/>
                <w:bCs/>
                <w:kern w:val="0"/>
                <w:sz w:val="21"/>
                <w:szCs w:val="21"/>
              </w:rPr>
            </w:pPr>
            <w:r>
              <w:rPr>
                <w:rFonts w:hint="default" w:ascii="Times New Roman" w:hAnsi="Times New Roman" w:eastAsia="方正仿宋_GBK" w:cs="Times New Roman"/>
                <w:bCs/>
                <w:kern w:val="0"/>
                <w:sz w:val="21"/>
                <w:szCs w:val="21"/>
              </w:rPr>
              <w:t>设计图纸应为竣工图（加盖竣工图章、设计单位的设计出图专用章）或经设计诊断出具的现状图（加盖设计单位的设计出图专用章）。</w:t>
            </w:r>
          </w:p>
        </w:tc>
        <w:tc>
          <w:tcPr>
            <w:tcW w:w="1307" w:type="dxa"/>
            <w:vAlign w:val="center"/>
          </w:tcPr>
          <w:p>
            <w:pPr>
              <w:keepNext w:val="0"/>
              <w:keepLines w:val="0"/>
              <w:pageBreakBefore w:val="0"/>
              <w:kinsoku/>
              <w:wordWrap/>
              <w:overflowPunct/>
              <w:topLinePunct w:val="0"/>
              <w:autoSpaceDE/>
              <w:autoSpaceDN/>
              <w:bidi w:val="0"/>
              <w:adjustRightInd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jc w:val="center"/>
        </w:trPr>
        <w:tc>
          <w:tcPr>
            <w:tcW w:w="9634" w:type="dxa"/>
            <w:gridSpan w:val="4"/>
            <w:vAlign w:val="center"/>
          </w:tcPr>
          <w:p>
            <w:pPr>
              <w:keepNext w:val="0"/>
              <w:keepLines w:val="0"/>
              <w:pageBreakBefore w:val="0"/>
              <w:kinsoku/>
              <w:wordWrap/>
              <w:overflowPunct/>
              <w:topLinePunct w:val="0"/>
              <w:autoSpaceDE/>
              <w:autoSpaceDN/>
              <w:bidi w:val="0"/>
              <w:spacing w:before="312" w:beforeLines="100"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 xml:space="preserve">  审查人：        </w:t>
            </w:r>
          </w:p>
          <w:p>
            <w:pPr>
              <w:keepNext w:val="0"/>
              <w:keepLines w:val="0"/>
              <w:pageBreakBefore w:val="0"/>
              <w:kinsoku/>
              <w:wordWrap/>
              <w:overflowPunct/>
              <w:topLinePunct w:val="0"/>
              <w:autoSpaceDE/>
              <w:autoSpaceDN/>
              <w:bidi w:val="0"/>
              <w:spacing w:before="312" w:beforeLines="100" w:line="260" w:lineRule="exact"/>
              <w:ind w:firstLine="6720" w:firstLineChars="3200"/>
              <w:textAlignment w:val="auto"/>
              <w:rPr>
                <w:rFonts w:hint="default" w:ascii="Times New Roman" w:hAnsi="Times New Roman" w:eastAsia="方正仿宋_GBK" w:cs="Times New Roman"/>
                <w:sz w:val="21"/>
                <w:szCs w:val="21"/>
              </w:rPr>
            </w:pPr>
          </w:p>
          <w:p>
            <w:pPr>
              <w:keepNext w:val="0"/>
              <w:keepLines w:val="0"/>
              <w:pageBreakBefore w:val="0"/>
              <w:kinsoku/>
              <w:wordWrap/>
              <w:overflowPunct/>
              <w:topLinePunct w:val="0"/>
              <w:autoSpaceDE/>
              <w:autoSpaceDN/>
              <w:bidi w:val="0"/>
              <w:spacing w:before="312" w:beforeLines="100" w:line="260" w:lineRule="exact"/>
              <w:ind w:firstLine="6720" w:firstLineChars="3200"/>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年    月    日</w:t>
            </w:r>
          </w:p>
          <w:p>
            <w:pPr>
              <w:keepNext w:val="0"/>
              <w:keepLines w:val="0"/>
              <w:pageBreakBefore w:val="0"/>
              <w:kinsoku/>
              <w:wordWrap/>
              <w:overflowPunct/>
              <w:topLinePunct w:val="0"/>
              <w:autoSpaceDE/>
              <w:autoSpaceDN/>
              <w:bidi w:val="0"/>
              <w:spacing w:line="260" w:lineRule="exact"/>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1" w:hRule="atLeast"/>
          <w:jc w:val="center"/>
        </w:trPr>
        <w:tc>
          <w:tcPr>
            <w:tcW w:w="9634" w:type="dxa"/>
            <w:gridSpan w:val="4"/>
            <w:vAlign w:val="center"/>
          </w:tcPr>
          <w:p>
            <w:pPr>
              <w:keepNext w:val="0"/>
              <w:keepLines w:val="0"/>
              <w:pageBreakBefore w:val="0"/>
              <w:kinsoku/>
              <w:wordWrap/>
              <w:overflowPunct/>
              <w:topLinePunct w:val="0"/>
              <w:autoSpaceDE/>
              <w:autoSpaceDN/>
              <w:bidi w:val="0"/>
              <w:spacing w:before="312" w:beforeLines="100"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 xml:space="preserve">  处室负责人：     </w:t>
            </w:r>
          </w:p>
          <w:p>
            <w:pPr>
              <w:keepNext w:val="0"/>
              <w:keepLines w:val="0"/>
              <w:pageBreakBefore w:val="0"/>
              <w:kinsoku/>
              <w:wordWrap/>
              <w:overflowPunct/>
              <w:topLinePunct w:val="0"/>
              <w:autoSpaceDE/>
              <w:autoSpaceDN/>
              <w:bidi w:val="0"/>
              <w:spacing w:before="312" w:beforeLines="100" w:line="260" w:lineRule="exact"/>
              <w:ind w:firstLine="6720" w:firstLineChars="3200"/>
              <w:textAlignment w:val="auto"/>
              <w:rPr>
                <w:rFonts w:hint="default" w:ascii="Times New Roman" w:hAnsi="Times New Roman" w:eastAsia="方正仿宋_GBK" w:cs="Times New Roman"/>
                <w:sz w:val="21"/>
                <w:szCs w:val="21"/>
              </w:rPr>
            </w:pPr>
          </w:p>
          <w:p>
            <w:pPr>
              <w:keepNext w:val="0"/>
              <w:keepLines w:val="0"/>
              <w:pageBreakBefore w:val="0"/>
              <w:kinsoku/>
              <w:wordWrap/>
              <w:overflowPunct/>
              <w:topLinePunct w:val="0"/>
              <w:autoSpaceDE/>
              <w:autoSpaceDN/>
              <w:bidi w:val="0"/>
              <w:spacing w:before="312" w:beforeLines="100" w:line="260" w:lineRule="exact"/>
              <w:ind w:firstLine="6720" w:firstLineChars="3200"/>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年    月    日</w:t>
            </w:r>
          </w:p>
          <w:p>
            <w:pPr>
              <w:keepNext w:val="0"/>
              <w:keepLines w:val="0"/>
              <w:pageBreakBefore w:val="0"/>
              <w:kinsoku/>
              <w:wordWrap/>
              <w:overflowPunct/>
              <w:topLinePunct w:val="0"/>
              <w:autoSpaceDE/>
              <w:autoSpaceDN/>
              <w:bidi w:val="0"/>
              <w:spacing w:line="260" w:lineRule="exact"/>
              <w:ind w:firstLine="6720" w:firstLineChars="3200"/>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1" w:hRule="atLeast"/>
          <w:jc w:val="center"/>
        </w:trPr>
        <w:tc>
          <w:tcPr>
            <w:tcW w:w="9634" w:type="dxa"/>
            <w:gridSpan w:val="4"/>
            <w:vAlign w:val="center"/>
          </w:tcPr>
          <w:p>
            <w:pPr>
              <w:keepNext w:val="0"/>
              <w:keepLines w:val="0"/>
              <w:pageBreakBefore w:val="0"/>
              <w:kinsoku/>
              <w:wordWrap/>
              <w:overflowPunct/>
              <w:topLinePunct w:val="0"/>
              <w:autoSpaceDE/>
              <w:autoSpaceDN/>
              <w:bidi w:val="0"/>
              <w:spacing w:before="312" w:beforeLines="100"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 xml:space="preserve">  分管领导：       </w:t>
            </w:r>
          </w:p>
          <w:p>
            <w:pPr>
              <w:keepNext w:val="0"/>
              <w:keepLines w:val="0"/>
              <w:pageBreakBefore w:val="0"/>
              <w:kinsoku/>
              <w:wordWrap/>
              <w:overflowPunct/>
              <w:topLinePunct w:val="0"/>
              <w:autoSpaceDE/>
              <w:autoSpaceDN/>
              <w:bidi w:val="0"/>
              <w:spacing w:before="312" w:beforeLines="100" w:line="260" w:lineRule="exac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 xml:space="preserve">                                                                   印  章 </w:t>
            </w:r>
          </w:p>
          <w:p>
            <w:pPr>
              <w:keepNext w:val="0"/>
              <w:keepLines w:val="0"/>
              <w:pageBreakBefore w:val="0"/>
              <w:kinsoku/>
              <w:wordWrap/>
              <w:overflowPunct/>
              <w:topLinePunct w:val="0"/>
              <w:autoSpaceDE/>
              <w:autoSpaceDN/>
              <w:bidi w:val="0"/>
              <w:spacing w:before="312" w:beforeLines="100" w:line="260" w:lineRule="exact"/>
              <w:ind w:firstLine="6720" w:firstLineChars="3200"/>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年    月    日</w:t>
            </w:r>
          </w:p>
          <w:p>
            <w:pPr>
              <w:keepNext w:val="0"/>
              <w:keepLines w:val="0"/>
              <w:pageBreakBefore w:val="0"/>
              <w:kinsoku/>
              <w:wordWrap/>
              <w:overflowPunct/>
              <w:topLinePunct w:val="0"/>
              <w:autoSpaceDE/>
              <w:autoSpaceDN/>
              <w:bidi w:val="0"/>
              <w:spacing w:line="260" w:lineRule="exact"/>
              <w:ind w:firstLine="6720" w:firstLineChars="3200"/>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6" w:hRule="atLeast"/>
          <w:jc w:val="center"/>
        </w:trPr>
        <w:tc>
          <w:tcPr>
            <w:tcW w:w="9634" w:type="dxa"/>
            <w:gridSpan w:val="4"/>
            <w:vAlign w:val="center"/>
          </w:tcPr>
          <w:p>
            <w:pPr>
              <w:keepNext w:val="0"/>
              <w:keepLines w:val="0"/>
              <w:pageBreakBefore w:val="0"/>
              <w:kinsoku/>
              <w:wordWrap/>
              <w:overflowPunct/>
              <w:topLinePunct w:val="0"/>
              <w:autoSpaceDE/>
              <w:autoSpaceDN/>
              <w:bidi w:val="0"/>
              <w:adjustRightInd w:val="0"/>
              <w:spacing w:line="260" w:lineRule="exact"/>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注：</w:t>
            </w:r>
          </w:p>
          <w:p>
            <w:pPr>
              <w:keepNext w:val="0"/>
              <w:keepLines w:val="0"/>
              <w:pageBreakBefore w:val="0"/>
              <w:kinsoku/>
              <w:wordWrap/>
              <w:overflowPunct/>
              <w:topLinePunct w:val="0"/>
              <w:autoSpaceDE/>
              <w:autoSpaceDN/>
              <w:bidi w:val="0"/>
              <w:adjustRightInd w:val="0"/>
              <w:spacing w:line="260" w:lineRule="exact"/>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1.所有材料原件扫描通过危险化学品行政许可系统申报；</w:t>
            </w:r>
          </w:p>
          <w:p>
            <w:pPr>
              <w:keepNext w:val="0"/>
              <w:keepLines w:val="0"/>
              <w:pageBreakBefore w:val="0"/>
              <w:kinsoku/>
              <w:wordWrap/>
              <w:overflowPunct/>
              <w:topLinePunct w:val="0"/>
              <w:autoSpaceDE/>
              <w:autoSpaceDN/>
              <w:bidi w:val="0"/>
              <w:adjustRightInd w:val="0"/>
              <w:spacing w:line="260" w:lineRule="exact"/>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2.</w:t>
            </w:r>
            <w:r>
              <w:rPr>
                <w:rFonts w:hint="default" w:ascii="Times New Roman" w:hAnsi="Times New Roman" w:eastAsia="方正仿宋_GBK" w:cs="Times New Roman"/>
                <w:kern w:val="0"/>
                <w:sz w:val="21"/>
                <w:szCs w:val="21"/>
              </w:rPr>
              <w:t>评价过程</w:t>
            </w:r>
            <w:r>
              <w:rPr>
                <w:rFonts w:hint="default" w:ascii="Times New Roman" w:hAnsi="Times New Roman" w:eastAsia="方正仿宋_GBK" w:cs="Times New Roman"/>
                <w:sz w:val="21"/>
                <w:szCs w:val="21"/>
              </w:rPr>
              <w:t>给出的结论不得有前置条件，</w:t>
            </w:r>
            <w:r>
              <w:rPr>
                <w:rFonts w:hint="default" w:ascii="Times New Roman" w:hAnsi="Times New Roman" w:eastAsia="方正仿宋_GBK" w:cs="Times New Roman"/>
                <w:kern w:val="0"/>
                <w:sz w:val="21"/>
                <w:szCs w:val="21"/>
              </w:rPr>
              <w:t>有整改要求的，</w:t>
            </w:r>
            <w:r>
              <w:rPr>
                <w:rFonts w:hint="default" w:ascii="Times New Roman" w:hAnsi="Times New Roman" w:eastAsia="方正仿宋_GBK" w:cs="Times New Roman"/>
                <w:sz w:val="21"/>
                <w:szCs w:val="21"/>
              </w:rPr>
              <w:t>应先完成整改；</w:t>
            </w:r>
          </w:p>
          <w:p>
            <w:pPr>
              <w:keepNext w:val="0"/>
              <w:keepLines w:val="0"/>
              <w:pageBreakBefore w:val="0"/>
              <w:kinsoku/>
              <w:wordWrap/>
              <w:overflowPunct/>
              <w:topLinePunct w:val="0"/>
              <w:autoSpaceDE/>
              <w:autoSpaceDN/>
              <w:bidi w:val="0"/>
              <w:adjustRightInd w:val="0"/>
              <w:spacing w:line="260" w:lineRule="exact"/>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3.审查结果填写“符合”、“不符合”或“不涉及”。如有不符合项，应出具《补正告知书》，企业补正完毕合格后，出具《受理通知书》。</w:t>
            </w:r>
          </w:p>
          <w:p>
            <w:pPr>
              <w:keepNext w:val="0"/>
              <w:keepLines w:val="0"/>
              <w:pageBreakBefore w:val="0"/>
              <w:kinsoku/>
              <w:wordWrap/>
              <w:overflowPunct/>
              <w:topLinePunct w:val="0"/>
              <w:autoSpaceDE/>
              <w:autoSpaceDN/>
              <w:bidi w:val="0"/>
              <w:adjustRightInd w:val="0"/>
              <w:spacing w:line="260" w:lineRule="exact"/>
              <w:jc w:val="left"/>
              <w:textAlignment w:val="auto"/>
              <w:rPr>
                <w:rFonts w:hint="default" w:ascii="Times New Roman" w:hAnsi="Times New Roman" w:eastAsia="方正仿宋_GBK" w:cs="Times New Roman"/>
                <w:kern w:val="0"/>
                <w:sz w:val="21"/>
                <w:szCs w:val="21"/>
              </w:rPr>
            </w:pPr>
            <w:r>
              <w:rPr>
                <w:rFonts w:hint="default" w:ascii="Times New Roman" w:hAnsi="Times New Roman" w:eastAsia="方正仿宋_GBK" w:cs="Times New Roman"/>
                <w:sz w:val="21"/>
                <w:szCs w:val="21"/>
              </w:rPr>
              <w:t>4.审查部门应当在3个工作日内作出受理或补正告知。本审查表作为《受理通知书》附件一并上传。</w:t>
            </w:r>
          </w:p>
        </w:tc>
      </w:tr>
    </w:tbl>
    <w:p>
      <w:pPr>
        <w:rPr>
          <w:rFonts w:hint="default" w:ascii="Times New Roman" w:hAnsi="Times New Roman" w:cs="Times New Roman"/>
        </w:rPr>
      </w:pPr>
    </w:p>
    <w:p>
      <w:pPr>
        <w:widowControl/>
        <w:jc w:val="left"/>
        <w:rPr>
          <w:rFonts w:hint="default" w:ascii="Times New Roman" w:hAnsi="Times New Roman" w:cs="Times New Roman"/>
        </w:rPr>
      </w:pPr>
      <w:r>
        <w:rPr>
          <w:rFonts w:hint="default" w:ascii="Times New Roman" w:hAnsi="Times New Roman" w:cs="Times New Roman"/>
        </w:rPr>
        <w:br w:type="page"/>
      </w:r>
    </w:p>
    <w:p>
      <w:pPr>
        <w:adjustRightInd w:val="0"/>
        <w:snapToGrid w:val="0"/>
        <w:spacing w:line="600" w:lineRule="exact"/>
        <w:rPr>
          <w:rFonts w:hint="default" w:ascii="Times New Roman" w:hAnsi="Times New Roman" w:eastAsia="方正黑体_GBK" w:cs="Times New Roman"/>
          <w:spacing w:val="-20"/>
          <w:sz w:val="32"/>
          <w:szCs w:val="32"/>
        </w:rPr>
      </w:pPr>
      <w:r>
        <w:rPr>
          <w:rFonts w:hint="default" w:ascii="Times New Roman" w:hAnsi="Times New Roman" w:eastAsia="方正黑体_GBK" w:cs="Times New Roman"/>
          <w:spacing w:val="-20"/>
          <w:sz w:val="32"/>
          <w:szCs w:val="32"/>
        </w:rPr>
        <w:t>附件1-2</w:t>
      </w:r>
    </w:p>
    <w:p>
      <w:pPr>
        <w:adjustRightInd w:val="0"/>
        <w:snapToGrid w:val="0"/>
        <w:spacing w:line="600" w:lineRule="exact"/>
        <w:jc w:val="center"/>
        <w:rPr>
          <w:rFonts w:hint="default" w:ascii="Times New Roman" w:hAnsi="Times New Roman" w:eastAsia="方正小标宋_GBK" w:cs="Times New Roman"/>
          <w:spacing w:val="-20"/>
          <w:sz w:val="44"/>
          <w:szCs w:val="44"/>
        </w:rPr>
      </w:pPr>
      <w:r>
        <w:rPr>
          <w:rFonts w:hint="default" w:ascii="Times New Roman" w:hAnsi="Times New Roman" w:eastAsia="方正小标宋_GBK" w:cs="Times New Roman"/>
          <w:spacing w:val="-20"/>
          <w:sz w:val="44"/>
          <w:szCs w:val="44"/>
        </w:rPr>
        <w:t>《危险化学品生产企业安全生产许可证》申请</w:t>
      </w:r>
    </w:p>
    <w:p>
      <w:pPr>
        <w:adjustRightInd w:val="0"/>
        <w:snapToGrid w:val="0"/>
        <w:spacing w:line="600" w:lineRule="exact"/>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受理审查表－专项变更</w:t>
      </w:r>
    </w:p>
    <w:p>
      <w:pPr>
        <w:adjustRightInd w:val="0"/>
        <w:snapToGrid w:val="0"/>
        <w:spacing w:line="600" w:lineRule="exact"/>
        <w:jc w:val="center"/>
        <w:rPr>
          <w:rFonts w:hint="default" w:ascii="Times New Roman" w:hAnsi="Times New Roman" w:eastAsia="方正小标宋_GBK" w:cs="Times New Roman"/>
          <w:b/>
          <w:sz w:val="44"/>
          <w:szCs w:val="44"/>
        </w:rPr>
      </w:pPr>
      <w:r>
        <w:rPr>
          <w:rFonts w:hint="default" w:ascii="Times New Roman" w:hAnsi="Times New Roman" w:eastAsia="方正小标宋_GBK" w:cs="Times New Roman"/>
          <w:bCs/>
          <w:sz w:val="44"/>
          <w:szCs w:val="44"/>
        </w:rPr>
        <w:t>（试行）</w:t>
      </w:r>
    </w:p>
    <w:p>
      <w:pPr>
        <w:adjustRightInd w:val="0"/>
        <w:snapToGrid w:val="0"/>
        <w:spacing w:line="560" w:lineRule="exact"/>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企业名称：</w:t>
      </w:r>
      <w:r>
        <w:rPr>
          <w:rFonts w:hint="eastAsia" w:ascii="方正仿宋_GBK" w:hAnsi="方正仿宋_GBK" w:eastAsia="方正仿宋_GBK" w:cs="方正仿宋_GBK"/>
          <w:sz w:val="28"/>
          <w:szCs w:val="28"/>
          <w:u w:val="single"/>
          <w:lang w:val="en-US" w:eastAsia="zh-CN"/>
        </w:rPr>
        <w:t xml:space="preserve">                                         </w:t>
      </w:r>
    </w:p>
    <w:p>
      <w:pPr>
        <w:adjustRightInd w:val="0"/>
        <w:snapToGrid w:val="0"/>
        <w:spacing w:line="560" w:lineRule="exac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安全风险等级</w:t>
      </w:r>
      <w:r>
        <w:rPr>
          <w:rFonts w:hint="eastAsia" w:ascii="方正仿宋_GBK" w:hAnsi="方正仿宋_GBK" w:eastAsia="方正仿宋_GBK" w:cs="方正仿宋_GBK"/>
          <w:sz w:val="30"/>
          <w:szCs w:val="30"/>
        </w:rPr>
        <w:t>：</w:t>
      </w:r>
      <w:r>
        <w:rPr>
          <w:rFonts w:hint="eastAsia" w:ascii="方正仿宋_GBK" w:hAnsi="方正仿宋_GBK" w:eastAsia="方正仿宋_GBK" w:cs="方正仿宋_GBK"/>
          <w:sz w:val="28"/>
          <w:szCs w:val="28"/>
          <w:u w:val="single"/>
          <w:lang w:val="en-US" w:eastAsia="zh-CN"/>
        </w:rPr>
        <w:t xml:space="preserve">                </w:t>
      </w:r>
      <w:r>
        <w:rPr>
          <w:rFonts w:hint="eastAsia" w:ascii="方正仿宋_GBK" w:hAnsi="方正仿宋_GBK" w:eastAsia="方正仿宋_GBK" w:cs="方正仿宋_GBK"/>
          <w:sz w:val="28"/>
          <w:szCs w:val="28"/>
        </w:rPr>
        <w:t>（红、橙、黄、蓝）</w:t>
      </w:r>
    </w:p>
    <w:tbl>
      <w:tblPr>
        <w:tblStyle w:val="4"/>
        <w:tblW w:w="89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1560"/>
        <w:gridCol w:w="5215"/>
        <w:gridCol w:w="1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711" w:type="dxa"/>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方正黑体_GBK" w:hAnsi="方正黑体_GBK" w:eastAsia="方正黑体_GBK" w:cs="方正黑体_GBK"/>
                <w:b w:val="0"/>
                <w:bCs/>
                <w:sz w:val="24"/>
                <w:szCs w:val="24"/>
              </w:rPr>
            </w:pPr>
            <w:r>
              <w:rPr>
                <w:rFonts w:hint="eastAsia" w:ascii="方正黑体_GBK" w:hAnsi="方正黑体_GBK" w:eastAsia="方正黑体_GBK" w:cs="方正黑体_GBK"/>
                <w:b w:val="0"/>
                <w:bCs/>
                <w:sz w:val="24"/>
                <w:szCs w:val="24"/>
              </w:rPr>
              <w:t>序号</w:t>
            </w:r>
          </w:p>
        </w:tc>
        <w:tc>
          <w:tcPr>
            <w:tcW w:w="1560" w:type="dxa"/>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方正黑体_GBK" w:hAnsi="方正黑体_GBK" w:eastAsia="方正黑体_GBK" w:cs="方正黑体_GBK"/>
                <w:b w:val="0"/>
                <w:bCs/>
                <w:sz w:val="24"/>
                <w:szCs w:val="24"/>
              </w:rPr>
            </w:pPr>
            <w:r>
              <w:rPr>
                <w:rFonts w:hint="eastAsia" w:ascii="方正黑体_GBK" w:hAnsi="方正黑体_GBK" w:eastAsia="方正黑体_GBK" w:cs="方正黑体_GBK"/>
                <w:b w:val="0"/>
                <w:bCs/>
                <w:sz w:val="24"/>
                <w:szCs w:val="24"/>
              </w:rPr>
              <w:t>材料目录</w:t>
            </w:r>
          </w:p>
        </w:tc>
        <w:tc>
          <w:tcPr>
            <w:tcW w:w="5215" w:type="dxa"/>
            <w:vAlign w:val="center"/>
          </w:tcPr>
          <w:p>
            <w:pPr>
              <w:keepNext w:val="0"/>
              <w:keepLines w:val="0"/>
              <w:pageBreakBefore w:val="0"/>
              <w:widowControl w:val="0"/>
              <w:kinsoku/>
              <w:wordWrap/>
              <w:overflowPunct/>
              <w:topLinePunct w:val="0"/>
              <w:autoSpaceDE/>
              <w:autoSpaceDN/>
              <w:bidi w:val="0"/>
              <w:spacing w:line="280" w:lineRule="exact"/>
              <w:ind w:firstLine="427" w:firstLineChars="178"/>
              <w:jc w:val="center"/>
              <w:textAlignment w:val="auto"/>
              <w:rPr>
                <w:rFonts w:hint="eastAsia" w:ascii="方正黑体_GBK" w:hAnsi="方正黑体_GBK" w:eastAsia="方正黑体_GBK" w:cs="方正黑体_GBK"/>
                <w:b w:val="0"/>
                <w:bCs/>
                <w:sz w:val="24"/>
                <w:szCs w:val="24"/>
              </w:rPr>
            </w:pPr>
            <w:r>
              <w:rPr>
                <w:rFonts w:hint="eastAsia" w:ascii="方正黑体_GBK" w:hAnsi="方正黑体_GBK" w:eastAsia="方正黑体_GBK" w:cs="方正黑体_GBK"/>
                <w:b w:val="0"/>
                <w:bCs/>
                <w:sz w:val="24"/>
                <w:szCs w:val="24"/>
              </w:rPr>
              <w:t>审查要点</w:t>
            </w:r>
          </w:p>
        </w:tc>
        <w:tc>
          <w:tcPr>
            <w:tcW w:w="1450" w:type="dxa"/>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eastAsia" w:ascii="方正黑体_GBK" w:hAnsi="方正黑体_GBK" w:eastAsia="方正黑体_GBK" w:cs="方正黑体_GBK"/>
                <w:b w:val="0"/>
                <w:bCs/>
                <w:sz w:val="24"/>
                <w:szCs w:val="24"/>
              </w:rPr>
            </w:pPr>
            <w:r>
              <w:rPr>
                <w:rFonts w:hint="eastAsia" w:ascii="方正黑体_GBK" w:hAnsi="方正黑体_GBK" w:eastAsia="方正黑体_GBK" w:cs="方正黑体_GBK"/>
                <w:b w:val="0"/>
                <w:bCs/>
                <w:sz w:val="24"/>
                <w:szCs w:val="24"/>
              </w:rPr>
              <w:t>审查结果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1" w:type="dxa"/>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1</w:t>
            </w:r>
          </w:p>
        </w:tc>
        <w:tc>
          <w:tcPr>
            <w:tcW w:w="156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《危险化学品</w:t>
            </w:r>
          </w:p>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生产企业安全</w:t>
            </w:r>
          </w:p>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生产许可证变</w:t>
            </w:r>
          </w:p>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更申请书》</w:t>
            </w:r>
          </w:p>
        </w:tc>
        <w:tc>
          <w:tcPr>
            <w:tcW w:w="5215" w:type="dxa"/>
            <w:vAlign w:val="center"/>
          </w:tcPr>
          <w:p>
            <w:pPr>
              <w:keepNext w:val="0"/>
              <w:keepLines w:val="0"/>
              <w:pageBreakBefore w:val="0"/>
              <w:widowControl w:val="0"/>
              <w:kinsoku/>
              <w:wordWrap/>
              <w:overflowPunct/>
              <w:topLinePunct w:val="0"/>
              <w:autoSpaceDE/>
              <w:autoSpaceDN/>
              <w:bidi w:val="0"/>
              <w:spacing w:line="280" w:lineRule="exact"/>
              <w:jc w:val="left"/>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申请书填写完整，主要负责人签字，加盖企业公章。</w:t>
            </w:r>
          </w:p>
        </w:tc>
        <w:tc>
          <w:tcPr>
            <w:tcW w:w="1450" w:type="dxa"/>
          </w:tcPr>
          <w:p>
            <w:pPr>
              <w:keepNext w:val="0"/>
              <w:keepLines w:val="0"/>
              <w:pageBreakBefore w:val="0"/>
              <w:widowControl w:val="0"/>
              <w:kinsoku/>
              <w:wordWrap/>
              <w:overflowPunct/>
              <w:topLinePunct w:val="0"/>
              <w:autoSpaceDE/>
              <w:autoSpaceDN/>
              <w:bidi w:val="0"/>
              <w:spacing w:line="280" w:lineRule="exact"/>
              <w:jc w:val="center"/>
              <w:textAlignment w:val="auto"/>
              <w:rPr>
                <w:rFonts w:hint="default" w:ascii="Times New Roman" w:hAnsi="Times New Roman" w:eastAsia="方正仿宋_GBK"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1" w:type="dxa"/>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2</w:t>
            </w:r>
          </w:p>
        </w:tc>
        <w:tc>
          <w:tcPr>
            <w:tcW w:w="156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变更企业名称</w:t>
            </w:r>
          </w:p>
        </w:tc>
        <w:tc>
          <w:tcPr>
            <w:tcW w:w="5215"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变更后的工商营业执照副本或相关证明材料。</w:t>
            </w:r>
          </w:p>
        </w:tc>
        <w:tc>
          <w:tcPr>
            <w:tcW w:w="1450" w:type="dxa"/>
          </w:tcPr>
          <w:p>
            <w:pPr>
              <w:keepNext w:val="0"/>
              <w:keepLines w:val="0"/>
              <w:pageBreakBefore w:val="0"/>
              <w:widowControl w:val="0"/>
              <w:kinsoku/>
              <w:wordWrap/>
              <w:overflowPunct/>
              <w:topLinePunct w:val="0"/>
              <w:autoSpaceDE/>
              <w:autoSpaceDN/>
              <w:bidi w:val="0"/>
              <w:spacing w:line="280" w:lineRule="exact"/>
              <w:jc w:val="center"/>
              <w:textAlignment w:val="auto"/>
              <w:rPr>
                <w:rFonts w:hint="default" w:ascii="Times New Roman" w:hAnsi="Times New Roman" w:eastAsia="方正仿宋_GBK"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11" w:type="dxa"/>
            <w:vMerge w:val="restart"/>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3</w:t>
            </w:r>
          </w:p>
        </w:tc>
        <w:tc>
          <w:tcPr>
            <w:tcW w:w="1560"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变更</w:t>
            </w:r>
          </w:p>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主要负责人</w:t>
            </w:r>
          </w:p>
        </w:tc>
        <w:tc>
          <w:tcPr>
            <w:tcW w:w="5215"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变更后的工商营业执照副本或相关证明材料。</w:t>
            </w:r>
          </w:p>
        </w:tc>
        <w:tc>
          <w:tcPr>
            <w:tcW w:w="1450" w:type="dxa"/>
          </w:tcPr>
          <w:p>
            <w:pPr>
              <w:keepNext w:val="0"/>
              <w:keepLines w:val="0"/>
              <w:pageBreakBefore w:val="0"/>
              <w:widowControl w:val="0"/>
              <w:kinsoku/>
              <w:wordWrap/>
              <w:overflowPunct/>
              <w:topLinePunct w:val="0"/>
              <w:autoSpaceDE/>
              <w:autoSpaceDN/>
              <w:bidi w:val="0"/>
              <w:spacing w:line="280" w:lineRule="exact"/>
              <w:jc w:val="center"/>
              <w:textAlignment w:val="auto"/>
              <w:rPr>
                <w:rFonts w:hint="default" w:ascii="Times New Roman" w:hAnsi="Times New Roman" w:eastAsia="方正仿宋_GBK"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11" w:type="dxa"/>
            <w:vMerge w:val="continue"/>
            <w:vAlign w:val="center"/>
          </w:tcPr>
          <w:p>
            <w:pPr>
              <w:keepNext w:val="0"/>
              <w:keepLines w:val="0"/>
              <w:pageBreakBefore w:val="0"/>
              <w:widowControl w:val="0"/>
              <w:kinsoku/>
              <w:wordWrap/>
              <w:overflowPunct/>
              <w:topLinePunct w:val="0"/>
              <w:autoSpaceDE/>
              <w:autoSpaceDN/>
              <w:bidi w:val="0"/>
              <w:spacing w:line="280" w:lineRule="exact"/>
              <w:textAlignment w:val="auto"/>
              <w:rPr>
                <w:rFonts w:hint="default" w:ascii="Times New Roman" w:hAnsi="Times New Roman" w:eastAsia="方正仿宋_GBK" w:cs="Times New Roman"/>
                <w:szCs w:val="21"/>
              </w:rPr>
            </w:pPr>
          </w:p>
        </w:tc>
        <w:tc>
          <w:tcPr>
            <w:tcW w:w="1560"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default" w:ascii="Times New Roman" w:hAnsi="Times New Roman" w:eastAsia="方正仿宋_GBK" w:cs="Times New Roman"/>
                <w:szCs w:val="21"/>
              </w:rPr>
            </w:pPr>
          </w:p>
        </w:tc>
        <w:tc>
          <w:tcPr>
            <w:tcW w:w="5215"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变更后的主要负责人安全生产知识和管理能力考核合格证，任职条件满足《江苏省危险化学品企业重点人员安全资质达标导则(试行)》的规定。</w:t>
            </w:r>
          </w:p>
        </w:tc>
        <w:tc>
          <w:tcPr>
            <w:tcW w:w="1450" w:type="dxa"/>
          </w:tcPr>
          <w:p>
            <w:pPr>
              <w:keepNext w:val="0"/>
              <w:keepLines w:val="0"/>
              <w:pageBreakBefore w:val="0"/>
              <w:widowControl w:val="0"/>
              <w:kinsoku/>
              <w:wordWrap/>
              <w:overflowPunct/>
              <w:topLinePunct w:val="0"/>
              <w:autoSpaceDE/>
              <w:autoSpaceDN/>
              <w:bidi w:val="0"/>
              <w:spacing w:line="280" w:lineRule="exact"/>
              <w:jc w:val="center"/>
              <w:textAlignment w:val="auto"/>
              <w:rPr>
                <w:rFonts w:hint="default" w:ascii="Times New Roman" w:hAnsi="Times New Roman" w:eastAsia="方正仿宋_GBK"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11" w:type="dxa"/>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4</w:t>
            </w:r>
          </w:p>
        </w:tc>
        <w:tc>
          <w:tcPr>
            <w:tcW w:w="156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变更注册地址</w:t>
            </w:r>
          </w:p>
        </w:tc>
        <w:tc>
          <w:tcPr>
            <w:tcW w:w="5215"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变更后的工商营业执照副本或相关证明材料。</w:t>
            </w:r>
          </w:p>
        </w:tc>
        <w:tc>
          <w:tcPr>
            <w:tcW w:w="1450" w:type="dxa"/>
          </w:tcPr>
          <w:p>
            <w:pPr>
              <w:keepNext w:val="0"/>
              <w:keepLines w:val="0"/>
              <w:pageBreakBefore w:val="0"/>
              <w:widowControl w:val="0"/>
              <w:kinsoku/>
              <w:wordWrap/>
              <w:overflowPunct/>
              <w:topLinePunct w:val="0"/>
              <w:autoSpaceDE/>
              <w:autoSpaceDN/>
              <w:bidi w:val="0"/>
              <w:spacing w:line="280" w:lineRule="exact"/>
              <w:jc w:val="center"/>
              <w:textAlignment w:val="auto"/>
              <w:rPr>
                <w:rFonts w:hint="default" w:ascii="Times New Roman" w:hAnsi="Times New Roman" w:eastAsia="方正仿宋_GBK"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11" w:type="dxa"/>
            <w:vAlign w:val="center"/>
          </w:tcPr>
          <w:p>
            <w:pPr>
              <w:keepNext w:val="0"/>
              <w:keepLines w:val="0"/>
              <w:pageBreakBefore w:val="0"/>
              <w:widowControl w:val="0"/>
              <w:kinsoku/>
              <w:wordWrap/>
              <w:overflowPunct/>
              <w:topLinePunct w:val="0"/>
              <w:autoSpaceDE/>
              <w:autoSpaceDN/>
              <w:bidi w:val="0"/>
              <w:spacing w:line="280" w:lineRule="exact"/>
              <w:jc w:val="center"/>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5</w:t>
            </w:r>
          </w:p>
        </w:tc>
        <w:tc>
          <w:tcPr>
            <w:tcW w:w="156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变更隶属关系</w:t>
            </w:r>
          </w:p>
        </w:tc>
        <w:tc>
          <w:tcPr>
            <w:tcW w:w="5215"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变更隶属关系的证明材料。</w:t>
            </w:r>
          </w:p>
        </w:tc>
        <w:tc>
          <w:tcPr>
            <w:tcW w:w="1450" w:type="dxa"/>
          </w:tcPr>
          <w:p>
            <w:pPr>
              <w:keepNext w:val="0"/>
              <w:keepLines w:val="0"/>
              <w:pageBreakBefore w:val="0"/>
              <w:widowControl w:val="0"/>
              <w:kinsoku/>
              <w:wordWrap/>
              <w:overflowPunct/>
              <w:topLinePunct w:val="0"/>
              <w:autoSpaceDE/>
              <w:autoSpaceDN/>
              <w:bidi w:val="0"/>
              <w:spacing w:line="280" w:lineRule="exact"/>
              <w:jc w:val="center"/>
              <w:textAlignment w:val="auto"/>
              <w:rPr>
                <w:rFonts w:hint="default" w:ascii="Times New Roman" w:hAnsi="Times New Roman" w:eastAsia="方正仿宋_GBK"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jc w:val="center"/>
        </w:trPr>
        <w:tc>
          <w:tcPr>
            <w:tcW w:w="8936" w:type="dxa"/>
            <w:gridSpan w:val="4"/>
            <w:vAlign w:val="center"/>
          </w:tcPr>
          <w:p>
            <w:pPr>
              <w:keepNext w:val="0"/>
              <w:keepLines w:val="0"/>
              <w:pageBreakBefore w:val="0"/>
              <w:widowControl w:val="0"/>
              <w:kinsoku/>
              <w:wordWrap/>
              <w:overflowPunct/>
              <w:topLinePunct w:val="0"/>
              <w:autoSpaceDE/>
              <w:autoSpaceDN/>
              <w:bidi w:val="0"/>
              <w:spacing w:before="312" w:beforeLines="100" w:line="280" w:lineRule="exact"/>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 xml:space="preserve">   审查人：</w:t>
            </w:r>
          </w:p>
          <w:p>
            <w:pPr>
              <w:keepNext w:val="0"/>
              <w:keepLines w:val="0"/>
              <w:pageBreakBefore w:val="0"/>
              <w:widowControl w:val="0"/>
              <w:kinsoku/>
              <w:wordWrap/>
              <w:overflowPunct/>
              <w:topLinePunct w:val="0"/>
              <w:autoSpaceDE/>
              <w:autoSpaceDN/>
              <w:bidi w:val="0"/>
              <w:spacing w:before="312" w:beforeLines="100" w:line="280" w:lineRule="exact"/>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7" w:hRule="atLeast"/>
          <w:jc w:val="center"/>
        </w:trPr>
        <w:tc>
          <w:tcPr>
            <w:tcW w:w="8936" w:type="dxa"/>
            <w:gridSpan w:val="4"/>
            <w:vAlign w:val="center"/>
          </w:tcPr>
          <w:p>
            <w:pPr>
              <w:keepNext w:val="0"/>
              <w:keepLines w:val="0"/>
              <w:pageBreakBefore w:val="0"/>
              <w:widowControl w:val="0"/>
              <w:kinsoku/>
              <w:wordWrap/>
              <w:overflowPunct/>
              <w:topLinePunct w:val="0"/>
              <w:autoSpaceDE/>
              <w:autoSpaceDN/>
              <w:bidi w:val="0"/>
              <w:spacing w:before="312" w:beforeLines="100" w:line="280" w:lineRule="exact"/>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 xml:space="preserve">   处室负责人： </w:t>
            </w:r>
          </w:p>
          <w:p>
            <w:pPr>
              <w:keepNext w:val="0"/>
              <w:keepLines w:val="0"/>
              <w:pageBreakBefore w:val="0"/>
              <w:widowControl w:val="0"/>
              <w:kinsoku/>
              <w:wordWrap/>
              <w:overflowPunct/>
              <w:topLinePunct w:val="0"/>
              <w:autoSpaceDE/>
              <w:autoSpaceDN/>
              <w:bidi w:val="0"/>
              <w:spacing w:before="312" w:beforeLines="100" w:line="280" w:lineRule="exact"/>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8" w:hRule="atLeast"/>
          <w:jc w:val="center"/>
        </w:trPr>
        <w:tc>
          <w:tcPr>
            <w:tcW w:w="8936" w:type="dxa"/>
            <w:gridSpan w:val="4"/>
            <w:vAlign w:val="center"/>
          </w:tcPr>
          <w:p>
            <w:pPr>
              <w:keepNext w:val="0"/>
              <w:keepLines w:val="0"/>
              <w:pageBreakBefore w:val="0"/>
              <w:widowControl w:val="0"/>
              <w:kinsoku/>
              <w:wordWrap/>
              <w:overflowPunct/>
              <w:topLinePunct w:val="0"/>
              <w:autoSpaceDE/>
              <w:autoSpaceDN/>
              <w:bidi w:val="0"/>
              <w:spacing w:before="312" w:beforeLines="100" w:line="280" w:lineRule="exact"/>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 xml:space="preserve">   分管领导：                                      </w:t>
            </w:r>
          </w:p>
          <w:p>
            <w:pPr>
              <w:keepNext w:val="0"/>
              <w:keepLines w:val="0"/>
              <w:pageBreakBefore w:val="0"/>
              <w:widowControl w:val="0"/>
              <w:kinsoku/>
              <w:wordWrap/>
              <w:overflowPunct/>
              <w:topLinePunct w:val="0"/>
              <w:autoSpaceDE/>
              <w:autoSpaceDN/>
              <w:bidi w:val="0"/>
              <w:spacing w:before="312" w:beforeLines="100" w:line="280" w:lineRule="exact"/>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 xml:space="preserve">                                                              印  章                                                        </w:t>
            </w:r>
          </w:p>
          <w:p>
            <w:pPr>
              <w:keepNext w:val="0"/>
              <w:keepLines w:val="0"/>
              <w:pageBreakBefore w:val="0"/>
              <w:widowControl w:val="0"/>
              <w:kinsoku/>
              <w:wordWrap/>
              <w:overflowPunct/>
              <w:topLinePunct w:val="0"/>
              <w:autoSpaceDE/>
              <w:autoSpaceDN/>
              <w:bidi w:val="0"/>
              <w:spacing w:before="312" w:beforeLines="100" w:line="280" w:lineRule="exact"/>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 xml:space="preserve">                                                           年    月    日</w:t>
            </w:r>
          </w:p>
          <w:p>
            <w:pPr>
              <w:keepNext w:val="0"/>
              <w:keepLines w:val="0"/>
              <w:pageBreakBefore w:val="0"/>
              <w:widowControl w:val="0"/>
              <w:kinsoku/>
              <w:wordWrap/>
              <w:overflowPunct/>
              <w:topLinePunct w:val="0"/>
              <w:autoSpaceDE/>
              <w:autoSpaceDN/>
              <w:bidi w:val="0"/>
              <w:spacing w:line="280" w:lineRule="exact"/>
              <w:textAlignment w:val="auto"/>
              <w:rPr>
                <w:rFonts w:hint="default" w:ascii="Times New Roman" w:hAnsi="Times New Roman" w:eastAsia="方正仿宋_GBK"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8936" w:type="dxa"/>
            <w:gridSpan w:val="4"/>
            <w:vAlign w:val="center"/>
          </w:tcPr>
          <w:p>
            <w:pPr>
              <w:keepNext w:val="0"/>
              <w:keepLines w:val="0"/>
              <w:pageBreakBefore w:val="0"/>
              <w:widowControl w:val="0"/>
              <w:kinsoku/>
              <w:wordWrap/>
              <w:overflowPunct/>
              <w:topLinePunct w:val="0"/>
              <w:autoSpaceDE/>
              <w:autoSpaceDN/>
              <w:bidi w:val="0"/>
              <w:adjustRightInd w:val="0"/>
              <w:spacing w:line="280" w:lineRule="exact"/>
              <w:jc w:val="left"/>
              <w:textAlignment w:val="auto"/>
              <w:rPr>
                <w:rFonts w:hint="default" w:ascii="Times New Roman" w:hAnsi="Times New Roman" w:eastAsia="方正仿宋_GBK" w:cs="Times New Roman"/>
                <w:szCs w:val="21"/>
              </w:rPr>
            </w:pPr>
            <w:r>
              <w:rPr>
                <w:rFonts w:hint="default" w:ascii="Times New Roman" w:hAnsi="Times New Roman" w:eastAsia="方正仿宋_GBK" w:cs="Times New Roman"/>
                <w:szCs w:val="21"/>
              </w:rPr>
              <w:t>注：1.所有材料原件扫描通过危险化学品行政许可系统申报；2.审查结果填写“符合”、“不符合”或“不涉及”。如有不符合项，应出具《补正告知书》，企业补正完毕合格后，出具《受理通知书》，本审查表作为《受理通知书》附件一并上传。</w:t>
            </w:r>
          </w:p>
        </w:tc>
      </w:tr>
    </w:tbl>
    <w:p>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方正黑体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Nimbus Roman No9 L">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C4B"/>
    <w:rsid w:val="0003240C"/>
    <w:rsid w:val="00041679"/>
    <w:rsid w:val="00054A7C"/>
    <w:rsid w:val="000751DC"/>
    <w:rsid w:val="001672E1"/>
    <w:rsid w:val="001957C3"/>
    <w:rsid w:val="0019771E"/>
    <w:rsid w:val="001E3CBD"/>
    <w:rsid w:val="00251B06"/>
    <w:rsid w:val="00266D0B"/>
    <w:rsid w:val="00281636"/>
    <w:rsid w:val="003829F9"/>
    <w:rsid w:val="00415994"/>
    <w:rsid w:val="00463E9F"/>
    <w:rsid w:val="00484B61"/>
    <w:rsid w:val="004C6AAA"/>
    <w:rsid w:val="00546B6C"/>
    <w:rsid w:val="0058135D"/>
    <w:rsid w:val="00590D2F"/>
    <w:rsid w:val="006607F7"/>
    <w:rsid w:val="00681E2E"/>
    <w:rsid w:val="006A150E"/>
    <w:rsid w:val="006F081B"/>
    <w:rsid w:val="0073650D"/>
    <w:rsid w:val="00741E21"/>
    <w:rsid w:val="00757AD2"/>
    <w:rsid w:val="007608FD"/>
    <w:rsid w:val="007D14F4"/>
    <w:rsid w:val="007D4793"/>
    <w:rsid w:val="007F1152"/>
    <w:rsid w:val="008329EF"/>
    <w:rsid w:val="00857429"/>
    <w:rsid w:val="00867DDD"/>
    <w:rsid w:val="008E237D"/>
    <w:rsid w:val="00912CD6"/>
    <w:rsid w:val="00954961"/>
    <w:rsid w:val="009940F5"/>
    <w:rsid w:val="009F447B"/>
    <w:rsid w:val="00A57456"/>
    <w:rsid w:val="00A6054A"/>
    <w:rsid w:val="00A77B53"/>
    <w:rsid w:val="00A925B5"/>
    <w:rsid w:val="00B640EE"/>
    <w:rsid w:val="00B96D99"/>
    <w:rsid w:val="00BE5035"/>
    <w:rsid w:val="00C85F5B"/>
    <w:rsid w:val="00CD64F3"/>
    <w:rsid w:val="00D077EA"/>
    <w:rsid w:val="00D44DB3"/>
    <w:rsid w:val="00D554E0"/>
    <w:rsid w:val="00D73A8E"/>
    <w:rsid w:val="00D96C73"/>
    <w:rsid w:val="00E042A9"/>
    <w:rsid w:val="00E32B73"/>
    <w:rsid w:val="00E47313"/>
    <w:rsid w:val="00E74665"/>
    <w:rsid w:val="00E90E70"/>
    <w:rsid w:val="00EF5AC5"/>
    <w:rsid w:val="00F00101"/>
    <w:rsid w:val="00F04C4B"/>
    <w:rsid w:val="00F126BA"/>
    <w:rsid w:val="00F42E59"/>
    <w:rsid w:val="00FC0894"/>
    <w:rsid w:val="00FF0C7B"/>
    <w:rsid w:val="21E10351"/>
    <w:rsid w:val="46D72523"/>
    <w:rsid w:val="59FE2E49"/>
    <w:rsid w:val="5C0A72A0"/>
    <w:rsid w:val="754738B5"/>
    <w:rsid w:val="F5ED5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692</Words>
  <Characters>3947</Characters>
  <Lines>32</Lines>
  <Paragraphs>9</Paragraphs>
  <TotalTime>1</TotalTime>
  <ScaleCrop>false</ScaleCrop>
  <LinksUpToDate>false</LinksUpToDate>
  <CharactersWithSpaces>4630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2022-11-30T17:00:00Z</dcterms:created>
  <dc:creator>正南 陈</dc:creator>
  <cp:lastModifiedBy> </cp:lastModifiedBy>
  <dcterms:modified xsi:type="dcterms:W3CDTF">2022-12-19T10:33:49Z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