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262626"/>
          <w:spacing w:val="0"/>
          <w:sz w:val="36"/>
          <w:szCs w:val="36"/>
          <w:bdr w:val="none" w:color="auto" w:sz="0" w:space="0"/>
        </w:rPr>
        <w:t>2023年进出口许可证件发证机构名录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    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一、《中华人民共和国进口许可证》发证机构（38个）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    北京市商务局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天津市商务局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河北省商务厅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山西省商务厅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内蒙古自治区商务厅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辽宁省商务厅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吉林省商务厅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黑龙江省商务厅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上海市商务委员会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江苏省商务厅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浙江省商务厅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安徽省商务厅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福建省商务厅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江西省商务厅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山东省商务厅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河南省商务厅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湖北省商务厅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湖南省商务厅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广东省商务厅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广西壮族自治区商务厅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海南省商务厅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重庆市商务委员会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四川省商务厅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贵州省商务厅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云南省商务厅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西藏自治区商务厅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陕西省商务厅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甘肃省商务厅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青海省商务厅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宁夏回族自治区商务厅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新疆维吾尔自治区商务厅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大连市商务局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青岛市商务局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宁波市商务局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厦门市商务局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深圳市商务局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新疆生产建设兵团商务局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    商务部配额许可证事务局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    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二、《中华人民共和国出口许可证》发证机构（62个）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北京市商务局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天津市商务局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河北省商务厅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山西省商务厅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内蒙古自治区商务厅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辽宁省商务厅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吉林省商务厅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黑龙江省商务厅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上海市商务委员会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江苏省商务厅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浙江省商务厅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安徽省商务厅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福建省商务厅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江西省商务厅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山东省商务厅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河南省商务厅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湖北省商务厅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湖南省商务厅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广东省商务厅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广西壮族自治区商务厅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海南省商务厅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重庆市商务委员会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四川省商务厅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贵州省商务厅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云南省商务厅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西藏自治区商务厅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陕西省商务厅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甘肃省商务厅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青海省商务厅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宁夏回族自治区商务厅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新疆维吾尔自治区商务厅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大连市商务局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青岛市商务局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宁波市商务局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厦门市商务局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深圳市商务局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新疆生产建设兵团商务局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沈阳市商务局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长春市商务局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哈尔滨市商务局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南京市商务局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武汉市商务局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广州市商务局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成都市商务局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西安市商务局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商务部驻大连特派员办事处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商务部驻天津特派员办事处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商务部驻上海特派员办事处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商务部驻广州特派员办事处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商务部驻深圳特派员办事处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商务部驻海南特派员办事处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商务部驻南宁特派员办事处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商务部驻南京特派员办事处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商务部驻武汉特派员办事处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商务部驻青岛特派员办事处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商务部驻郑州特派员办事处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商务部驻福州特派员办事处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商务部驻西安特派员办事处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商务部驻成都特派员办事处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商务部驻杭州特派员办事处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商务部驻昆明特派员办事处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26262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18"/>
          <w:szCs w:val="18"/>
          <w:bdr w:val="none" w:color="auto" w:sz="0" w:space="0"/>
        </w:rPr>
        <w:t>　　商务部配额许可证事务局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4157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830</Words>
  <Characters>847</Characters>
  <Lines>0</Lines>
  <Paragraphs>0</Paragraphs>
  <TotalTime>0</TotalTime>
  <ScaleCrop>false</ScaleCrop>
  <LinksUpToDate>false</LinksUpToDate>
  <CharactersWithSpaces>1045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2023-01-20T09:42:36Z</dcterms:created>
  <dc:creator>weiny</dc:creator>
  <cp:lastModifiedBy>泠.酒祈</cp:lastModifiedBy>
  <dcterms:modified xsi:type="dcterms:W3CDTF">2023-01-20T09:42:46Z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33FFA41C37A14626AA64D15C6EFF8231</vt:lpwstr>
  </property>
</Properties>
</file>