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bCs/>
          <w:szCs w:val="32"/>
        </w:rPr>
      </w:pPr>
      <w:r>
        <w:rPr>
          <w:rFonts w:ascii="Times New Roman" w:hAnsi="黑体" w:eastAsia="黑体"/>
          <w:snapToGrid w:val="0"/>
          <w:kern w:val="0"/>
          <w:sz w:val="32"/>
          <w:szCs w:val="32"/>
        </w:rPr>
        <w:t>附件</w:t>
      </w:r>
      <w:r>
        <w:rPr>
          <w:rFonts w:ascii="Times New Roman" w:hAnsi="Times New Roman" w:eastAsia="黑体"/>
          <w:snapToGrid w:val="0"/>
          <w:kern w:val="0"/>
          <w:sz w:val="32"/>
          <w:szCs w:val="32"/>
        </w:rPr>
        <w:t>3</w:t>
      </w:r>
      <w:r>
        <w:rPr>
          <w:rFonts w:ascii="Times New Roman" w:hAnsi="Times New Roman" w:eastAsia="黑体"/>
          <w:bCs/>
          <w:szCs w:val="32"/>
        </w:rPr>
        <w:t xml:space="preserve"> </w:t>
      </w:r>
    </w:p>
    <w:p>
      <w:pPr>
        <w:spacing w:after="240" w:afterLines="100" w:line="600" w:lineRule="exact"/>
        <w:jc w:val="center"/>
        <w:rPr>
          <w:rFonts w:ascii="Times New Roman" w:hAnsi="Times New Roman" w:eastAsia="方正小标宋简体"/>
          <w:snapToGrid w:val="0"/>
          <w:sz w:val="36"/>
          <w:szCs w:val="36"/>
        </w:rPr>
      </w:pPr>
      <w:bookmarkStart w:id="4" w:name="_GoBack"/>
      <w:r>
        <w:rPr>
          <w:rFonts w:ascii="Times New Roman" w:hAnsi="Times New Roman" w:eastAsia="方正小标宋简体"/>
          <w:snapToGrid w:val="0"/>
          <w:kern w:val="0"/>
          <w:sz w:val="44"/>
          <w:szCs w:val="44"/>
        </w:rPr>
        <w:t>钟楼区“无废城市”建设重点工程项目清单</w:t>
      </w:r>
    </w:p>
    <w:bookmarkEnd w:id="4"/>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8"/>
        <w:gridCol w:w="2350"/>
        <w:gridCol w:w="6842"/>
        <w:gridCol w:w="1284"/>
        <w:gridCol w:w="1143"/>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0" w:hRule="atLeast"/>
          <w:tblHeader/>
        </w:trPr>
        <w:tc>
          <w:tcPr>
            <w:tcW w:w="227" w:type="pct"/>
            <w:noWrap/>
            <w:vAlign w:val="center"/>
          </w:tcPr>
          <w:p>
            <w:pPr>
              <w:widowControl/>
              <w:jc w:val="center"/>
              <w:rPr>
                <w:rFonts w:ascii="Times New Roman" w:hAnsi="Times New Roman" w:eastAsia="仿宋_GB2312"/>
                <w:b/>
                <w:bCs/>
                <w:color w:val="000000"/>
                <w:kern w:val="0"/>
                <w:szCs w:val="21"/>
              </w:rPr>
            </w:pPr>
            <w:r>
              <w:rPr>
                <w:rFonts w:ascii="Times New Roman" w:hAnsi="Times New Roman" w:eastAsia="仿宋_GB2312"/>
                <w:b/>
                <w:bCs/>
                <w:color w:val="000000"/>
                <w:kern w:val="0"/>
                <w:szCs w:val="21"/>
              </w:rPr>
              <w:t>序号</w:t>
            </w:r>
          </w:p>
        </w:tc>
        <w:tc>
          <w:tcPr>
            <w:tcW w:w="835" w:type="pct"/>
            <w:noWrap/>
            <w:vAlign w:val="center"/>
          </w:tcPr>
          <w:p>
            <w:pPr>
              <w:widowControl/>
              <w:jc w:val="center"/>
              <w:rPr>
                <w:rFonts w:ascii="Times New Roman" w:hAnsi="Times New Roman" w:eastAsia="仿宋_GB2312"/>
                <w:b/>
                <w:bCs/>
                <w:color w:val="000000"/>
                <w:kern w:val="0"/>
                <w:szCs w:val="21"/>
              </w:rPr>
            </w:pPr>
            <w:r>
              <w:rPr>
                <w:rFonts w:ascii="Times New Roman" w:hAnsi="Times New Roman" w:eastAsia="仿宋_GB2312"/>
                <w:b/>
                <w:bCs/>
                <w:color w:val="000000"/>
                <w:kern w:val="0"/>
                <w:szCs w:val="21"/>
              </w:rPr>
              <w:t>项目名称</w:t>
            </w:r>
          </w:p>
        </w:tc>
        <w:tc>
          <w:tcPr>
            <w:tcW w:w="2431" w:type="pct"/>
            <w:noWrap/>
            <w:vAlign w:val="center"/>
          </w:tcPr>
          <w:p>
            <w:pPr>
              <w:widowControl/>
              <w:jc w:val="center"/>
              <w:rPr>
                <w:rFonts w:ascii="Times New Roman" w:hAnsi="Times New Roman" w:eastAsia="仿宋_GB2312"/>
                <w:b/>
                <w:bCs/>
                <w:color w:val="000000"/>
                <w:kern w:val="0"/>
                <w:szCs w:val="21"/>
              </w:rPr>
            </w:pPr>
            <w:r>
              <w:rPr>
                <w:rFonts w:ascii="Times New Roman" w:hAnsi="Times New Roman" w:eastAsia="仿宋_GB2312"/>
                <w:b/>
                <w:bCs/>
                <w:color w:val="000000"/>
                <w:kern w:val="0"/>
                <w:szCs w:val="21"/>
              </w:rPr>
              <w:t>工程建设内容</w:t>
            </w:r>
          </w:p>
        </w:tc>
        <w:tc>
          <w:tcPr>
            <w:tcW w:w="456" w:type="pct"/>
            <w:noWrap/>
            <w:vAlign w:val="center"/>
          </w:tcPr>
          <w:p>
            <w:pPr>
              <w:widowControl/>
              <w:jc w:val="center"/>
              <w:rPr>
                <w:rFonts w:ascii="Times New Roman" w:hAnsi="Times New Roman" w:eastAsia="仿宋_GB2312"/>
                <w:b/>
                <w:bCs/>
                <w:color w:val="000000"/>
                <w:kern w:val="0"/>
                <w:szCs w:val="21"/>
              </w:rPr>
            </w:pPr>
            <w:r>
              <w:rPr>
                <w:rFonts w:ascii="Times New Roman" w:hAnsi="Times New Roman" w:eastAsia="仿宋_GB2312"/>
                <w:b/>
                <w:bCs/>
                <w:color w:val="000000"/>
                <w:kern w:val="0"/>
                <w:szCs w:val="21"/>
              </w:rPr>
              <w:t>实施周期</w:t>
            </w:r>
          </w:p>
        </w:tc>
        <w:tc>
          <w:tcPr>
            <w:tcW w:w="406" w:type="pct"/>
            <w:noWrap/>
            <w:vAlign w:val="center"/>
          </w:tcPr>
          <w:p>
            <w:pPr>
              <w:widowControl/>
              <w:jc w:val="center"/>
              <w:rPr>
                <w:rFonts w:ascii="Times New Roman" w:hAnsi="Times New Roman" w:eastAsia="仿宋_GB2312"/>
                <w:b/>
                <w:bCs/>
                <w:color w:val="000000"/>
                <w:kern w:val="0"/>
                <w:szCs w:val="21"/>
              </w:rPr>
            </w:pPr>
            <w:r>
              <w:rPr>
                <w:rFonts w:ascii="Times New Roman" w:hAnsi="Times New Roman" w:eastAsia="仿宋_GB2312"/>
                <w:b/>
                <w:bCs/>
                <w:color w:val="000000"/>
                <w:kern w:val="0"/>
                <w:szCs w:val="21"/>
              </w:rPr>
              <w:t>预计投资</w:t>
            </w:r>
          </w:p>
          <w:p>
            <w:pPr>
              <w:widowControl/>
              <w:jc w:val="center"/>
              <w:rPr>
                <w:rFonts w:ascii="Times New Roman" w:hAnsi="Times New Roman" w:eastAsia="仿宋_GB2312"/>
                <w:b/>
                <w:bCs/>
                <w:color w:val="000000"/>
                <w:kern w:val="0"/>
                <w:szCs w:val="21"/>
              </w:rPr>
            </w:pPr>
            <w:r>
              <w:rPr>
                <w:rFonts w:ascii="Times New Roman" w:hAnsi="Times New Roman" w:eastAsia="仿宋_GB2312"/>
                <w:b/>
                <w:bCs/>
                <w:color w:val="000000"/>
                <w:kern w:val="0"/>
                <w:szCs w:val="21"/>
              </w:rPr>
              <w:t>（万元）</w:t>
            </w:r>
          </w:p>
        </w:tc>
        <w:tc>
          <w:tcPr>
            <w:tcW w:w="645" w:type="pct"/>
            <w:noWrap/>
            <w:vAlign w:val="center"/>
          </w:tcPr>
          <w:p>
            <w:pPr>
              <w:widowControl/>
              <w:jc w:val="center"/>
              <w:rPr>
                <w:rFonts w:ascii="Times New Roman" w:hAnsi="Times New Roman" w:eastAsia="仿宋_GB2312"/>
                <w:b/>
                <w:bCs/>
                <w:color w:val="000000"/>
                <w:kern w:val="0"/>
                <w:szCs w:val="21"/>
              </w:rPr>
            </w:pPr>
            <w:r>
              <w:rPr>
                <w:rFonts w:ascii="Times New Roman" w:hAnsi="Times New Roman" w:eastAsia="仿宋_GB2312"/>
                <w:b/>
                <w:bCs/>
                <w:color w:val="000000"/>
                <w:kern w:val="0"/>
                <w:szCs w:val="21"/>
              </w:rPr>
              <w:t>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trPr>
        <w:tc>
          <w:tcPr>
            <w:tcW w:w="227" w:type="pct"/>
            <w:noWrap/>
            <w:vAlign w:val="center"/>
          </w:tcPr>
          <w:p>
            <w:pPr>
              <w:pStyle w:val="4"/>
              <w:widowControl/>
              <w:numPr>
                <w:ilvl w:val="0"/>
                <w:numId w:val="1"/>
              </w:numPr>
              <w:ind w:firstLineChars="0"/>
              <w:jc w:val="center"/>
              <w:rPr>
                <w:rFonts w:ascii="Times New Roman" w:hAnsi="Times New Roman" w:eastAsia="仿宋_GB2312"/>
                <w:color w:val="000000"/>
                <w:kern w:val="0"/>
              </w:rPr>
            </w:pPr>
          </w:p>
        </w:tc>
        <w:tc>
          <w:tcPr>
            <w:tcW w:w="835" w:type="pct"/>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钟楼区生活转运站设置和建设项目</w:t>
            </w:r>
          </w:p>
        </w:tc>
        <w:tc>
          <w:tcPr>
            <w:tcW w:w="2431" w:type="pct"/>
            <w:noWrap/>
            <w:vAlign w:val="center"/>
          </w:tcPr>
          <w:p>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完成至少3座生活垃圾转运站的提升改造工作。</w:t>
            </w:r>
          </w:p>
        </w:tc>
        <w:tc>
          <w:tcPr>
            <w:tcW w:w="456" w:type="pct"/>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2022-2025</w:t>
            </w:r>
          </w:p>
        </w:tc>
        <w:tc>
          <w:tcPr>
            <w:tcW w:w="406" w:type="pct"/>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600</w:t>
            </w:r>
          </w:p>
        </w:tc>
        <w:tc>
          <w:tcPr>
            <w:tcW w:w="645" w:type="pct"/>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trPr>
        <w:tc>
          <w:tcPr>
            <w:tcW w:w="227" w:type="pct"/>
            <w:noWrap/>
            <w:vAlign w:val="center"/>
          </w:tcPr>
          <w:p>
            <w:pPr>
              <w:pStyle w:val="4"/>
              <w:widowControl/>
              <w:numPr>
                <w:ilvl w:val="0"/>
                <w:numId w:val="1"/>
              </w:numPr>
              <w:ind w:firstLineChars="0"/>
              <w:jc w:val="center"/>
              <w:rPr>
                <w:rFonts w:ascii="Times New Roman" w:hAnsi="Times New Roman" w:eastAsia="仿宋_GB2312"/>
                <w:color w:val="000000"/>
                <w:kern w:val="0"/>
              </w:rPr>
            </w:pPr>
          </w:p>
        </w:tc>
        <w:tc>
          <w:tcPr>
            <w:tcW w:w="835" w:type="pct"/>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生活垃圾分类收集项目</w:t>
            </w:r>
          </w:p>
        </w:tc>
        <w:tc>
          <w:tcPr>
            <w:tcW w:w="2431" w:type="pct"/>
            <w:noWrap/>
            <w:vAlign w:val="center"/>
          </w:tcPr>
          <w:p>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持续开展生活垃圾分类收集处理，全面启动四分类，2022年建成区新增达标小区71个，2023年创省、市达标小区104个，到2025年建成区达标小区创建率达到100%。</w:t>
            </w:r>
          </w:p>
        </w:tc>
        <w:tc>
          <w:tcPr>
            <w:tcW w:w="456" w:type="pct"/>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2022-2025</w:t>
            </w:r>
          </w:p>
        </w:tc>
        <w:tc>
          <w:tcPr>
            <w:tcW w:w="406" w:type="pct"/>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5000</w:t>
            </w:r>
          </w:p>
        </w:tc>
        <w:tc>
          <w:tcPr>
            <w:tcW w:w="645" w:type="pct"/>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trPr>
        <w:tc>
          <w:tcPr>
            <w:tcW w:w="227" w:type="pct"/>
            <w:noWrap/>
            <w:vAlign w:val="center"/>
          </w:tcPr>
          <w:p>
            <w:pPr>
              <w:pStyle w:val="4"/>
              <w:widowControl/>
              <w:numPr>
                <w:ilvl w:val="0"/>
                <w:numId w:val="1"/>
              </w:numPr>
              <w:ind w:firstLineChars="0"/>
              <w:jc w:val="center"/>
              <w:rPr>
                <w:rFonts w:ascii="Times New Roman" w:hAnsi="Times New Roman" w:eastAsia="仿宋_GB2312"/>
                <w:color w:val="000000"/>
                <w:kern w:val="0"/>
              </w:rPr>
            </w:pPr>
          </w:p>
        </w:tc>
        <w:tc>
          <w:tcPr>
            <w:tcW w:w="835" w:type="pct"/>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农药包装废弃物回收与处置</w:t>
            </w:r>
          </w:p>
        </w:tc>
        <w:tc>
          <w:tcPr>
            <w:tcW w:w="2431" w:type="pct"/>
            <w:noWrap/>
            <w:vAlign w:val="center"/>
          </w:tcPr>
          <w:p>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统筹推进区域农药包装废弃物回收处理工作，到2025年，全区农药包装废弃物回收覆盖率达100%，无害化处理率100%，农药包装废弃物回收监测评价良好以上等级率达90%以上。</w:t>
            </w:r>
          </w:p>
        </w:tc>
        <w:tc>
          <w:tcPr>
            <w:tcW w:w="456" w:type="pct"/>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2022-2025</w:t>
            </w:r>
          </w:p>
        </w:tc>
        <w:tc>
          <w:tcPr>
            <w:tcW w:w="406" w:type="pct"/>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300</w:t>
            </w:r>
          </w:p>
        </w:tc>
        <w:tc>
          <w:tcPr>
            <w:tcW w:w="645" w:type="pct"/>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trPr>
        <w:tc>
          <w:tcPr>
            <w:tcW w:w="227" w:type="pct"/>
            <w:noWrap/>
            <w:vAlign w:val="center"/>
          </w:tcPr>
          <w:p>
            <w:pPr>
              <w:pStyle w:val="4"/>
              <w:widowControl/>
              <w:numPr>
                <w:ilvl w:val="0"/>
                <w:numId w:val="1"/>
              </w:numPr>
              <w:ind w:firstLineChars="0"/>
              <w:jc w:val="center"/>
              <w:rPr>
                <w:rFonts w:ascii="Times New Roman" w:hAnsi="Times New Roman" w:eastAsia="仿宋_GB2312"/>
                <w:color w:val="000000"/>
                <w:kern w:val="0"/>
              </w:rPr>
            </w:pPr>
          </w:p>
        </w:tc>
        <w:tc>
          <w:tcPr>
            <w:tcW w:w="835" w:type="pct"/>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“无废细胞”建设</w:t>
            </w:r>
          </w:p>
        </w:tc>
        <w:tc>
          <w:tcPr>
            <w:tcW w:w="2431" w:type="pct"/>
            <w:noWrap/>
            <w:vAlign w:val="center"/>
          </w:tcPr>
          <w:p>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在融合老城厢复兴和大运河文化带建设，打造“运河文化特色区”的过程中，延展区域文化内涵，开展无废饭店、无废商场、无废景点等“无废细胞”建设。</w:t>
            </w:r>
          </w:p>
        </w:tc>
        <w:tc>
          <w:tcPr>
            <w:tcW w:w="456" w:type="pct"/>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2022-2025</w:t>
            </w:r>
          </w:p>
        </w:tc>
        <w:tc>
          <w:tcPr>
            <w:tcW w:w="406" w:type="pct"/>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200</w:t>
            </w:r>
          </w:p>
        </w:tc>
        <w:tc>
          <w:tcPr>
            <w:tcW w:w="645" w:type="pct"/>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钟楼生态环境局、区文体旅局等相关部门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trPr>
        <w:tc>
          <w:tcPr>
            <w:tcW w:w="227" w:type="pct"/>
            <w:noWrap/>
            <w:vAlign w:val="center"/>
          </w:tcPr>
          <w:p>
            <w:pPr>
              <w:pStyle w:val="4"/>
              <w:widowControl/>
              <w:numPr>
                <w:ilvl w:val="0"/>
                <w:numId w:val="1"/>
              </w:numPr>
              <w:ind w:firstLineChars="0"/>
              <w:jc w:val="center"/>
              <w:rPr>
                <w:rFonts w:ascii="Times New Roman" w:hAnsi="Times New Roman" w:eastAsia="仿宋_GB2312"/>
                <w:color w:val="000000"/>
                <w:kern w:val="0"/>
              </w:rPr>
            </w:pPr>
          </w:p>
        </w:tc>
        <w:tc>
          <w:tcPr>
            <w:tcW w:w="835" w:type="pct"/>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整区分布式光伏开发试点工程</w:t>
            </w:r>
          </w:p>
        </w:tc>
        <w:tc>
          <w:tcPr>
            <w:tcW w:w="2431" w:type="pct"/>
            <w:noWrap/>
            <w:vAlign w:val="center"/>
          </w:tcPr>
          <w:p>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加快推进全区屋顶分布式光伏开发工作，推动光伏建设模式创新，“十四五”期间，力争15%以上的建筑屋顶设置分布式光伏发电系统，90%以上新建建筑全面落实分布式光伏发电系统，建筑领域分布式光伏装机容量占全社会累计光伏并网容量超过60%。</w:t>
            </w:r>
          </w:p>
        </w:tc>
        <w:tc>
          <w:tcPr>
            <w:tcW w:w="456" w:type="pct"/>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2022-2025</w:t>
            </w:r>
          </w:p>
        </w:tc>
        <w:tc>
          <w:tcPr>
            <w:tcW w:w="406" w:type="pct"/>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引导企业自主投资</w:t>
            </w:r>
          </w:p>
        </w:tc>
        <w:tc>
          <w:tcPr>
            <w:tcW w:w="645" w:type="pct"/>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区发改局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trPr>
        <w:tc>
          <w:tcPr>
            <w:tcW w:w="227" w:type="pct"/>
            <w:noWrap/>
            <w:vAlign w:val="center"/>
          </w:tcPr>
          <w:p>
            <w:pPr>
              <w:pStyle w:val="4"/>
              <w:widowControl/>
              <w:numPr>
                <w:ilvl w:val="0"/>
                <w:numId w:val="1"/>
              </w:numPr>
              <w:ind w:firstLineChars="0"/>
              <w:jc w:val="center"/>
              <w:rPr>
                <w:rFonts w:ascii="Times New Roman" w:hAnsi="Times New Roman" w:eastAsia="仿宋_GB2312"/>
                <w:color w:val="000000"/>
                <w:kern w:val="0"/>
              </w:rPr>
            </w:pPr>
          </w:p>
        </w:tc>
        <w:tc>
          <w:tcPr>
            <w:tcW w:w="835" w:type="pct"/>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推动建设钟楼区静脉产业园</w:t>
            </w:r>
          </w:p>
        </w:tc>
        <w:tc>
          <w:tcPr>
            <w:tcW w:w="2431" w:type="pct"/>
            <w:noWrap/>
            <w:vAlign w:val="center"/>
          </w:tcPr>
          <w:p>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推动建设钟楼区静脉产业园，强化建筑材料为产品目标的产业间共生关系，培育无废产业链。</w:t>
            </w:r>
          </w:p>
        </w:tc>
        <w:tc>
          <w:tcPr>
            <w:tcW w:w="456" w:type="pct"/>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2022-2025</w:t>
            </w:r>
          </w:p>
        </w:tc>
        <w:tc>
          <w:tcPr>
            <w:tcW w:w="406" w:type="pct"/>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645" w:type="pct"/>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高新园（邹区镇）、钟楼生态环境局、区城管局等相关部门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trPr>
        <w:tc>
          <w:tcPr>
            <w:tcW w:w="227" w:type="pct"/>
            <w:noWrap/>
            <w:vAlign w:val="center"/>
          </w:tcPr>
          <w:p>
            <w:pPr>
              <w:pStyle w:val="4"/>
              <w:widowControl/>
              <w:numPr>
                <w:ilvl w:val="0"/>
                <w:numId w:val="1"/>
              </w:numPr>
              <w:ind w:firstLineChars="0"/>
              <w:jc w:val="center"/>
              <w:rPr>
                <w:rFonts w:ascii="Times New Roman" w:hAnsi="Times New Roman" w:eastAsia="仿宋_GB2312"/>
                <w:color w:val="000000"/>
                <w:kern w:val="0"/>
              </w:rPr>
            </w:pPr>
          </w:p>
        </w:tc>
        <w:tc>
          <w:tcPr>
            <w:tcW w:w="835" w:type="pct"/>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危险废物领域生态环境安全隐患排查整治</w:t>
            </w:r>
          </w:p>
        </w:tc>
        <w:tc>
          <w:tcPr>
            <w:tcW w:w="2431" w:type="pct"/>
            <w:noWrap/>
            <w:vAlign w:val="center"/>
          </w:tcPr>
          <w:p>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以危废处置单位、涉重金属重点行业企业、涉废弃危险化学品等危险废物企业为重点，开展隐患排查整治，建立问题隐患清单并形成闭环整改台账。</w:t>
            </w:r>
          </w:p>
        </w:tc>
        <w:tc>
          <w:tcPr>
            <w:tcW w:w="456" w:type="pct"/>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2022-2025</w:t>
            </w:r>
          </w:p>
        </w:tc>
        <w:tc>
          <w:tcPr>
            <w:tcW w:w="406" w:type="pct"/>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200</w:t>
            </w:r>
          </w:p>
        </w:tc>
        <w:tc>
          <w:tcPr>
            <w:tcW w:w="645" w:type="pct"/>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钟楼生态环境局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trPr>
        <w:tc>
          <w:tcPr>
            <w:tcW w:w="227" w:type="pct"/>
            <w:noWrap/>
            <w:vAlign w:val="center"/>
          </w:tcPr>
          <w:p>
            <w:pPr>
              <w:pStyle w:val="4"/>
              <w:widowControl/>
              <w:numPr>
                <w:ilvl w:val="0"/>
                <w:numId w:val="1"/>
              </w:numPr>
              <w:ind w:firstLineChars="0"/>
              <w:jc w:val="center"/>
              <w:rPr>
                <w:rFonts w:ascii="Times New Roman" w:hAnsi="Times New Roman" w:eastAsia="仿宋_GB2312"/>
                <w:color w:val="000000"/>
                <w:kern w:val="0"/>
              </w:rPr>
            </w:pPr>
          </w:p>
        </w:tc>
        <w:tc>
          <w:tcPr>
            <w:tcW w:w="835" w:type="pct"/>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开展危废安全生产专项整治</w:t>
            </w:r>
          </w:p>
        </w:tc>
        <w:tc>
          <w:tcPr>
            <w:tcW w:w="2431" w:type="pct"/>
            <w:noWrap/>
            <w:vAlign w:val="center"/>
          </w:tcPr>
          <w:p>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（1）开展危废经营单位危化品使用安全专项治理行动，摸清危险化学品使用情况，排查相关环境隐患，建立危险化学品使用监管长效机制；</w:t>
            </w:r>
          </w:p>
          <w:p>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（2）开展六大类环境治理设施专项排查，消除环境风险及隐患。</w:t>
            </w:r>
          </w:p>
        </w:tc>
        <w:tc>
          <w:tcPr>
            <w:tcW w:w="456" w:type="pct"/>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2022-2023</w:t>
            </w:r>
          </w:p>
        </w:tc>
        <w:tc>
          <w:tcPr>
            <w:tcW w:w="406" w:type="pct"/>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60</w:t>
            </w:r>
          </w:p>
        </w:tc>
        <w:tc>
          <w:tcPr>
            <w:tcW w:w="645" w:type="pct"/>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钟楼生态环境局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trPr>
        <w:tc>
          <w:tcPr>
            <w:tcW w:w="227" w:type="pct"/>
            <w:noWrap/>
            <w:vAlign w:val="center"/>
          </w:tcPr>
          <w:p>
            <w:pPr>
              <w:pStyle w:val="4"/>
              <w:widowControl/>
              <w:numPr>
                <w:ilvl w:val="0"/>
                <w:numId w:val="1"/>
              </w:numPr>
              <w:ind w:firstLineChars="0"/>
              <w:jc w:val="center"/>
              <w:rPr>
                <w:rFonts w:ascii="Times New Roman" w:hAnsi="Times New Roman" w:eastAsia="仿宋_GB2312"/>
                <w:color w:val="000000"/>
                <w:kern w:val="0"/>
              </w:rPr>
            </w:pPr>
          </w:p>
        </w:tc>
        <w:tc>
          <w:tcPr>
            <w:tcW w:w="835" w:type="pct"/>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危险废物全生命周期监控体系建设</w:t>
            </w:r>
          </w:p>
        </w:tc>
        <w:tc>
          <w:tcPr>
            <w:tcW w:w="2431" w:type="pct"/>
            <w:noWrap/>
            <w:vAlign w:val="center"/>
          </w:tcPr>
          <w:p>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根据《省生态环境厅关于做好江苏省危险废物全生命周期监控系统上线运行工作的通知》要求，持续开展产废单位系统接入工作，完善相关监控体系、监控设备建设，到2025年基本实现产废企业全监管。</w:t>
            </w:r>
          </w:p>
        </w:tc>
        <w:tc>
          <w:tcPr>
            <w:tcW w:w="456" w:type="pct"/>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2022-2025</w:t>
            </w:r>
          </w:p>
        </w:tc>
        <w:tc>
          <w:tcPr>
            <w:tcW w:w="406" w:type="pct"/>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150</w:t>
            </w:r>
          </w:p>
        </w:tc>
        <w:tc>
          <w:tcPr>
            <w:tcW w:w="645" w:type="pct"/>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钟楼生态环境局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trPr>
        <w:tc>
          <w:tcPr>
            <w:tcW w:w="227" w:type="pct"/>
            <w:noWrap/>
            <w:vAlign w:val="center"/>
          </w:tcPr>
          <w:p>
            <w:pPr>
              <w:pStyle w:val="4"/>
              <w:widowControl/>
              <w:numPr>
                <w:ilvl w:val="0"/>
                <w:numId w:val="1"/>
              </w:numPr>
              <w:ind w:firstLineChars="0"/>
              <w:jc w:val="center"/>
              <w:rPr>
                <w:rFonts w:ascii="Times New Roman" w:hAnsi="Times New Roman" w:eastAsia="仿宋_GB2312"/>
                <w:color w:val="000000"/>
                <w:kern w:val="0"/>
              </w:rPr>
            </w:pPr>
          </w:p>
        </w:tc>
        <w:tc>
          <w:tcPr>
            <w:tcW w:w="835" w:type="pct"/>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危废处置能力建设项目</w:t>
            </w:r>
          </w:p>
        </w:tc>
        <w:tc>
          <w:tcPr>
            <w:tcW w:w="2431" w:type="pct"/>
            <w:noWrap/>
            <w:vAlign w:val="center"/>
          </w:tcPr>
          <w:p>
            <w:pPr>
              <w:widowControl/>
              <w:rPr>
                <w:rFonts w:ascii="Times New Roman" w:hAnsi="Times New Roman" w:eastAsia="仿宋_GB2312"/>
                <w:color w:val="000000"/>
                <w:kern w:val="0"/>
                <w:szCs w:val="21"/>
              </w:rPr>
            </w:pPr>
            <w:bookmarkStart w:id="0" w:name="_Hlk120115278"/>
            <w:r>
              <w:rPr>
                <w:rFonts w:ascii="Times New Roman" w:hAnsi="Times New Roman" w:eastAsia="仿宋_GB2312"/>
                <w:color w:val="000000"/>
                <w:kern w:val="0"/>
                <w:szCs w:val="21"/>
              </w:rPr>
              <w:t>（1）江苏恒源活性炭有限公司30000吨废活性炭再生利用项目，争取2022年实现投运；</w:t>
            </w:r>
          </w:p>
          <w:p>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（2）</w:t>
            </w:r>
            <w:bookmarkStart w:id="1" w:name="_Hlk121151266"/>
            <w:r>
              <w:rPr>
                <w:rFonts w:ascii="Times New Roman" w:hAnsi="Times New Roman" w:eastAsia="仿宋_GB2312"/>
                <w:color w:val="000000"/>
                <w:kern w:val="0"/>
                <w:szCs w:val="21"/>
              </w:rPr>
              <w:t>常州市龙顺环保服务有限公司扩建危险废物综合利用项目</w:t>
            </w:r>
            <w:bookmarkEnd w:id="1"/>
            <w:r>
              <w:rPr>
                <w:rFonts w:ascii="Times New Roman" w:hAnsi="Times New Roman" w:eastAsia="仿宋_GB2312"/>
                <w:color w:val="000000"/>
                <w:kern w:val="0"/>
                <w:szCs w:val="21"/>
              </w:rPr>
              <w:t>，争取2023年实现投运；</w:t>
            </w:r>
          </w:p>
          <w:p>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（3）常州市清流水处理剂有限公司新建废酸资源化循环回收利用项目，争取2025年实现投运；</w:t>
            </w:r>
          </w:p>
          <w:p>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（4）</w:t>
            </w:r>
            <w:bookmarkStart w:id="2" w:name="_Hlk121151300"/>
            <w:r>
              <w:rPr>
                <w:rFonts w:ascii="Times New Roman" w:hAnsi="Times New Roman" w:eastAsia="仿宋_GB2312"/>
                <w:color w:val="000000"/>
                <w:kern w:val="0"/>
                <w:szCs w:val="21"/>
              </w:rPr>
              <w:t>常州市科成环保科技有限公司迁建年收集、储存1.72万吨废旧电池项目</w:t>
            </w:r>
            <w:bookmarkEnd w:id="2"/>
            <w:r>
              <w:rPr>
                <w:rFonts w:ascii="Times New Roman" w:hAnsi="Times New Roman" w:eastAsia="仿宋_GB2312"/>
                <w:color w:val="000000"/>
                <w:kern w:val="0"/>
                <w:szCs w:val="21"/>
              </w:rPr>
              <w:t>，争取2023年实现投运；</w:t>
            </w:r>
          </w:p>
          <w:p>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（5）</w:t>
            </w:r>
            <w:bookmarkStart w:id="3" w:name="_Hlk121151614"/>
            <w:r>
              <w:rPr>
                <w:rFonts w:ascii="Times New Roman" w:hAnsi="Times New Roman" w:eastAsia="仿宋_GB2312"/>
                <w:color w:val="000000"/>
                <w:kern w:val="0"/>
                <w:szCs w:val="21"/>
              </w:rPr>
              <w:t>江苏恒源活性炭有限公司改建危险废物集中收集贮存项目</w:t>
            </w:r>
            <w:bookmarkEnd w:id="3"/>
            <w:r>
              <w:rPr>
                <w:rFonts w:ascii="Times New Roman" w:hAnsi="Times New Roman" w:eastAsia="仿宋_GB2312"/>
                <w:color w:val="000000"/>
                <w:kern w:val="0"/>
                <w:szCs w:val="21"/>
              </w:rPr>
              <w:t>，争取2023年实现投运</w:t>
            </w:r>
            <w:bookmarkEnd w:id="0"/>
            <w:r>
              <w:rPr>
                <w:rFonts w:ascii="Times New Roman" w:hAnsi="Times New Roman" w:eastAsia="仿宋_GB2312"/>
                <w:color w:val="000000"/>
                <w:kern w:val="0"/>
                <w:szCs w:val="21"/>
              </w:rPr>
              <w:t>。</w:t>
            </w:r>
          </w:p>
        </w:tc>
        <w:tc>
          <w:tcPr>
            <w:tcW w:w="456" w:type="pct"/>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2022-2025</w:t>
            </w:r>
          </w:p>
        </w:tc>
        <w:tc>
          <w:tcPr>
            <w:tcW w:w="406" w:type="pct"/>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引导企业自主投资</w:t>
            </w:r>
          </w:p>
        </w:tc>
        <w:tc>
          <w:tcPr>
            <w:tcW w:w="645" w:type="pct"/>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xml:space="preserve">                                                                                       高新园（邹区镇）、北港街道、钟楼生态环境局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trPr>
        <w:tc>
          <w:tcPr>
            <w:tcW w:w="227" w:type="pct"/>
            <w:noWrap/>
            <w:vAlign w:val="center"/>
          </w:tcPr>
          <w:p>
            <w:pPr>
              <w:pStyle w:val="4"/>
              <w:widowControl/>
              <w:numPr>
                <w:ilvl w:val="0"/>
                <w:numId w:val="1"/>
              </w:numPr>
              <w:ind w:firstLineChars="0"/>
              <w:jc w:val="center"/>
              <w:rPr>
                <w:rFonts w:ascii="Times New Roman" w:hAnsi="Times New Roman" w:eastAsia="仿宋_GB2312"/>
                <w:color w:val="000000"/>
                <w:kern w:val="0"/>
              </w:rPr>
            </w:pPr>
          </w:p>
        </w:tc>
        <w:tc>
          <w:tcPr>
            <w:tcW w:w="835" w:type="pct"/>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危废仓库专项整治</w:t>
            </w:r>
          </w:p>
        </w:tc>
        <w:tc>
          <w:tcPr>
            <w:tcW w:w="2431" w:type="pct"/>
            <w:noWrap/>
            <w:vAlign w:val="center"/>
          </w:tcPr>
          <w:p>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针对相关规划、建设、消防、安全等相关手续不齐全的危废仓库，成立专项整治工作小组，督促企业制定方案实施提升整治并完成备案，无法完成整治的，组织企业另行选址新建贮存设施，并按规定办理相关手续。</w:t>
            </w:r>
          </w:p>
        </w:tc>
        <w:tc>
          <w:tcPr>
            <w:tcW w:w="456" w:type="pct"/>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2022-2025</w:t>
            </w:r>
          </w:p>
        </w:tc>
        <w:tc>
          <w:tcPr>
            <w:tcW w:w="406" w:type="pct"/>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200</w:t>
            </w:r>
          </w:p>
        </w:tc>
        <w:tc>
          <w:tcPr>
            <w:tcW w:w="645" w:type="pct"/>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钟楼生态环境局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trPr>
        <w:tc>
          <w:tcPr>
            <w:tcW w:w="227" w:type="pct"/>
            <w:noWrap/>
            <w:vAlign w:val="center"/>
          </w:tcPr>
          <w:p>
            <w:pPr>
              <w:pStyle w:val="4"/>
              <w:widowControl/>
              <w:numPr>
                <w:ilvl w:val="0"/>
                <w:numId w:val="1"/>
              </w:numPr>
              <w:ind w:firstLineChars="0"/>
              <w:jc w:val="center"/>
              <w:rPr>
                <w:rFonts w:ascii="Times New Roman" w:hAnsi="Times New Roman" w:eastAsia="仿宋_GB2312"/>
                <w:color w:val="000000"/>
                <w:kern w:val="0"/>
              </w:rPr>
            </w:pPr>
          </w:p>
        </w:tc>
        <w:tc>
          <w:tcPr>
            <w:tcW w:w="835" w:type="pct"/>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“危污散乱低”综合治理</w:t>
            </w:r>
          </w:p>
        </w:tc>
        <w:tc>
          <w:tcPr>
            <w:tcW w:w="2431" w:type="pct"/>
            <w:noWrap/>
            <w:vAlign w:val="center"/>
          </w:tcPr>
          <w:p>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持续推进钟楼区“危污散乱低”企业综合整治，完成铸造、印染、电镀、涂料重点行业治理，2025年前完成邹区镇产业集群整治以及东风农机片区、张家工业园等5个工业片区的治理提升。</w:t>
            </w:r>
          </w:p>
        </w:tc>
        <w:tc>
          <w:tcPr>
            <w:tcW w:w="456" w:type="pct"/>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2022-2025</w:t>
            </w:r>
          </w:p>
        </w:tc>
        <w:tc>
          <w:tcPr>
            <w:tcW w:w="406" w:type="pct"/>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645" w:type="pct"/>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高新园（邹区镇）、钟楼生态环境局、区工信局</w:t>
            </w:r>
          </w:p>
        </w:tc>
      </w:tr>
    </w:tbl>
    <w:p/>
    <w:sectPr>
      <w:pgSz w:w="16838" w:h="11906" w:orient="landscape"/>
      <w:pgMar w:top="1531" w:right="1440" w:bottom="153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733C23"/>
    <w:multiLevelType w:val="multilevel"/>
    <w:tmpl w:val="44733C23"/>
    <w:lvl w:ilvl="0" w:tentative="0">
      <w:start w:val="1"/>
      <w:numFmt w:val="decimal"/>
      <w:suff w:val="nothing"/>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ZDVhZTQ4ODJmM2QzOWNhMGQzM2YyZjliYTI1YTUifQ=="/>
  </w:docVars>
  <w:rsids>
    <w:rsidRoot w:val="39E51DFE"/>
    <w:rsid w:val="06D813A5"/>
    <w:rsid w:val="109209FA"/>
    <w:rsid w:val="15CA416C"/>
    <w:rsid w:val="16F64B21"/>
    <w:rsid w:val="23646299"/>
    <w:rsid w:val="29A23E92"/>
    <w:rsid w:val="2C325D82"/>
    <w:rsid w:val="2E31698E"/>
    <w:rsid w:val="323C2694"/>
    <w:rsid w:val="32497F9F"/>
    <w:rsid w:val="341C4137"/>
    <w:rsid w:val="3886521A"/>
    <w:rsid w:val="39E51DFE"/>
    <w:rsid w:val="3C2B4DBE"/>
    <w:rsid w:val="3DB92FF1"/>
    <w:rsid w:val="42545D79"/>
    <w:rsid w:val="42E53BAB"/>
    <w:rsid w:val="47966E33"/>
    <w:rsid w:val="4AA86773"/>
    <w:rsid w:val="4BE405B0"/>
    <w:rsid w:val="54887347"/>
    <w:rsid w:val="59E622FD"/>
    <w:rsid w:val="5BF64033"/>
    <w:rsid w:val="60A13908"/>
    <w:rsid w:val="61C26135"/>
    <w:rsid w:val="65AD181F"/>
    <w:rsid w:val="68A00BBE"/>
    <w:rsid w:val="6BC406F2"/>
    <w:rsid w:val="6FE87301"/>
    <w:rsid w:val="75B33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2023-01-29T07:31:00Z</dcterms:created>
  <dc:creator>Angelique</dc:creator>
  <cp:lastModifiedBy>Angelique</cp:lastModifiedBy>
  <dcterms:modified xsi:type="dcterms:W3CDTF">2023-01-29T07:32:13Z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A3FB4B02BCE348A09EF3D3C2F2A99C7B</vt:lpwstr>
  </property>
</Properties>
</file>