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推荐申报2023年度江苏省乡土人才大师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工作室名单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冯玉乡土人才大师工作室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武剑乡土人才大师工作室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李林林乡土人才大师工作室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吉沐祥乡土人才大师工作室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卢国强乡土人才大师工作室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孙开勤乡土人才大师工作室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王共志乡土人才大师工作室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董伟乡土人才大师工作室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吴春辉乡土人才大师工作室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陈雷乡土人才大师工作室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彭豹乡土人才大师工作室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汪允岭乡土人才大师工作室</w:t>
      </w:r>
    </w:p>
    <w:sectPr>
      <w:pgSz w:w="11906" w:h="16838"/>
      <w:pgMar w:top="2041" w:right="1474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WNkMTNjMzRiOWU2NzZlZWJjZTM0YzAyZWY5YjgifQ=="/>
  </w:docVars>
  <w:rsids>
    <w:rsidRoot w:val="2FDD11CC"/>
    <w:rsid w:val="2FDD11CC"/>
    <w:rsid w:val="4508410A"/>
    <w:rsid w:val="47DF3903"/>
    <w:rsid w:val="503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2022-05-16T08:17:00Z</dcterms:created>
  <dc:creator>人生若只如初见</dc:creator>
  <cp:lastModifiedBy>人生若只如初见</cp:lastModifiedBy>
  <dcterms:modified xsi:type="dcterms:W3CDTF">2023-02-09T07:56:47Z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6A5141090A87499EB740AD564A476FEF</vt:lpwstr>
  </property>
</Properties>
</file>