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BCD" w:rsidRPr="00401F45" w:rsidRDefault="00E9768A" w:rsidP="00401F45">
      <w:pPr>
        <w:pStyle w:val="a9"/>
        <w:jc w:val="left"/>
        <w:rPr>
          <w:rFonts w:ascii="楷体_GB2312" w:eastAsia="楷体_GB2312"/>
          <w:sz w:val="32"/>
          <w:szCs w:val="30"/>
        </w:rPr>
      </w:pPr>
      <w:r w:rsidRPr="00401F45">
        <w:rPr>
          <w:rFonts w:ascii="楷体_GB2312" w:eastAsia="楷体_GB2312" w:hint="eastAsia"/>
          <w:sz w:val="32"/>
          <w:szCs w:val="30"/>
        </w:rPr>
        <w:t>附件12</w:t>
      </w:r>
      <w:r w:rsidR="00A51C61">
        <w:rPr>
          <w:rFonts w:ascii="楷体_GB2312" w:eastAsia="楷体_GB2312" w:hint="eastAsia"/>
          <w:sz w:val="32"/>
          <w:szCs w:val="30"/>
        </w:rPr>
        <w:t>：</w:t>
      </w:r>
      <w:bookmarkStart w:id="0" w:name="_GoBack"/>
      <w:bookmarkEnd w:id="0"/>
    </w:p>
    <w:p w:rsidR="00611BCD" w:rsidRPr="00401F45" w:rsidRDefault="00E9768A" w:rsidP="00401F45">
      <w:pPr>
        <w:pStyle w:val="1"/>
        <w:ind w:firstLineChars="0" w:firstLine="0"/>
        <w:jc w:val="center"/>
      </w:pPr>
      <w:r w:rsidRPr="00401F45">
        <w:rPr>
          <w:rFonts w:hint="eastAsia"/>
        </w:rPr>
        <w:t>资产管理产品风险加权资产计量规则</w:t>
      </w:r>
    </w:p>
    <w:p w:rsidR="00611BCD" w:rsidRDefault="00611BCD">
      <w:pPr>
        <w:spacing w:line="600" w:lineRule="exact"/>
        <w:ind w:firstLineChars="200" w:firstLine="640"/>
        <w:rPr>
          <w:rFonts w:ascii="仿宋" w:eastAsia="仿宋" w:hAnsi="仿宋"/>
          <w:sz w:val="32"/>
          <w:szCs w:val="32"/>
        </w:rPr>
      </w:pPr>
    </w:p>
    <w:p w:rsidR="00611BCD" w:rsidRPr="00401F45" w:rsidRDefault="00E9768A" w:rsidP="00401F45">
      <w:pPr>
        <w:pStyle w:val="2"/>
      </w:pPr>
      <w:r w:rsidRPr="00401F45">
        <w:rPr>
          <w:rFonts w:hint="eastAsia"/>
        </w:rPr>
        <w:t>一、总体要求</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一）商业银行应按照本附件计量银行账簿资产管理产品的风险加权资产，包括商业银行应计入表外项目的资产管理产品（如认购资产管理产品的承诺）。本附件所称资产管理产品包括但不限于银行及其设立的理财公司非保本理财产品，资金信托，</w:t>
      </w:r>
      <w:r w:rsidRPr="007D2F49">
        <w:rPr>
          <w:rFonts w:ascii="仿宋_GB2312" w:eastAsia="仿宋_GB2312" w:hAnsi="仿宋" w:hint="eastAsia"/>
          <w:color w:val="000000"/>
          <w:sz w:val="30"/>
          <w:szCs w:val="30"/>
        </w:rPr>
        <w:t>私募投资基金，</w:t>
      </w:r>
      <w:r w:rsidRPr="007D2F49">
        <w:rPr>
          <w:rFonts w:ascii="仿宋_GB2312" w:eastAsia="仿宋_GB2312" w:hAnsi="仿宋" w:hint="eastAsia"/>
          <w:sz w:val="30"/>
          <w:szCs w:val="30"/>
        </w:rPr>
        <w:t>证券公司及其子公司、基金管理公司及其子公司、期货公司及其子公司、保险资产管理机构、金融资产投资公司发行的资产管理产品以及其他符合资产管理产品定义的产品。</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在资本部分已扣除的资产管理产品和基础资产不适用本规则。</w:t>
      </w:r>
    </w:p>
    <w:p w:rsidR="00611BCD" w:rsidRPr="007D2F49" w:rsidRDefault="00E9768A" w:rsidP="007D2F49">
      <w:pPr>
        <w:numPr>
          <w:ilvl w:val="0"/>
          <w:numId w:val="1"/>
        </w:num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商业银行应根据可获取信息的程度，采用穿透法、授权基础法计量资产管理产品的风险加权资产。</w:t>
      </w:r>
    </w:p>
    <w:p w:rsidR="00611BCD" w:rsidRPr="007D2F49" w:rsidRDefault="00E9768A" w:rsidP="007D2F49">
      <w:pPr>
        <w:numPr>
          <w:ilvl w:val="0"/>
          <w:numId w:val="1"/>
        </w:num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商业银行无法使用穿透法、授权基础法计量的，应采用1250%的风险权重计量资产管理产品的风险加权资产。</w:t>
      </w:r>
    </w:p>
    <w:p w:rsidR="00611BCD" w:rsidRPr="007D2F49" w:rsidRDefault="00E9768A" w:rsidP="007D2F49">
      <w:pPr>
        <w:numPr>
          <w:ilvl w:val="0"/>
          <w:numId w:val="1"/>
        </w:num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商业银行采用穿透法或授权基础法计算资产管理产品风险加权资产的，应对资产管理产品的风险权重进行杠杆调整。</w:t>
      </w:r>
    </w:p>
    <w:p w:rsidR="00611BCD" w:rsidRPr="007D2F49" w:rsidRDefault="00E9768A" w:rsidP="007D2F49">
      <w:pPr>
        <w:numPr>
          <w:ilvl w:val="0"/>
          <w:numId w:val="1"/>
        </w:num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商业银行可以综合采用多种方法计量同一资产管理产品的风险加权资产。</w:t>
      </w:r>
    </w:p>
    <w:p w:rsidR="00611BCD" w:rsidRPr="007D2F49" w:rsidRDefault="00E9768A" w:rsidP="007D2F49">
      <w:pPr>
        <w:numPr>
          <w:ilvl w:val="0"/>
          <w:numId w:val="1"/>
        </w:num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商业银行应采用能获取的最新一期数据计量资产管理产品的风险加权资产。</w:t>
      </w:r>
    </w:p>
    <w:p w:rsidR="00611BCD" w:rsidRDefault="00E9768A" w:rsidP="00E9768A">
      <w:pPr>
        <w:pStyle w:val="2"/>
      </w:pPr>
      <w:r>
        <w:t>二</w:t>
      </w:r>
      <w:r>
        <w:rPr>
          <w:rFonts w:hint="eastAsia"/>
        </w:rPr>
        <w:t>、</w:t>
      </w:r>
      <w:r>
        <w:t>穿透法实施条件及计量规则</w:t>
      </w:r>
    </w:p>
    <w:p w:rsidR="00611BCD" w:rsidRPr="007D2F49" w:rsidRDefault="00E9768A" w:rsidP="007D2F49">
      <w:pPr>
        <w:spacing w:line="480" w:lineRule="exact"/>
        <w:ind w:firstLineChars="200" w:firstLine="602"/>
        <w:rPr>
          <w:rFonts w:ascii="仿宋_GB2312" w:eastAsia="仿宋_GB2312" w:hAnsi="仿宋" w:hint="eastAsia"/>
          <w:b/>
          <w:sz w:val="30"/>
          <w:szCs w:val="30"/>
        </w:rPr>
      </w:pPr>
      <w:r w:rsidRPr="007D2F49">
        <w:rPr>
          <w:rFonts w:ascii="仿宋_GB2312" w:eastAsia="仿宋_GB2312" w:hAnsi="仿宋" w:hint="eastAsia"/>
          <w:b/>
          <w:sz w:val="30"/>
          <w:szCs w:val="30"/>
        </w:rPr>
        <w:t>（一）实施条件</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商业银行采用穿透法计量资产管理产品风险加权资产，应当符合以下条件：</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lastRenderedPageBreak/>
        <w:t>1.资产管理产品管理人应向商业银行提供足够、充分的基础资产信息，用于计算基础资产的风险权重。</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2.商业银行所获取的基础资产信息能够被</w:t>
      </w:r>
      <w:proofErr w:type="gramStart"/>
      <w:r w:rsidRPr="007D2F49">
        <w:rPr>
          <w:rFonts w:ascii="仿宋_GB2312" w:eastAsia="仿宋_GB2312" w:hAnsi="仿宋" w:hint="eastAsia"/>
          <w:sz w:val="30"/>
          <w:szCs w:val="30"/>
        </w:rPr>
        <w:t>独立第三</w:t>
      </w:r>
      <w:proofErr w:type="gramEnd"/>
      <w:r w:rsidRPr="007D2F49">
        <w:rPr>
          <w:rFonts w:ascii="仿宋_GB2312" w:eastAsia="仿宋_GB2312" w:hAnsi="仿宋" w:hint="eastAsia"/>
          <w:sz w:val="30"/>
          <w:szCs w:val="30"/>
        </w:rPr>
        <w:t>方确认。</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前款所称“独立第三方”是指应独立于资产管理产品管理人的其他机构，如托管人、会计师事务所。</w:t>
      </w:r>
    </w:p>
    <w:p w:rsidR="00611BCD" w:rsidRPr="007D2F49" w:rsidRDefault="00E9768A" w:rsidP="007D2F49">
      <w:pPr>
        <w:spacing w:line="480" w:lineRule="exact"/>
        <w:ind w:firstLineChars="200" w:firstLine="602"/>
        <w:rPr>
          <w:rFonts w:ascii="仿宋_GB2312" w:eastAsia="仿宋_GB2312" w:hAnsi="仿宋" w:hint="eastAsia"/>
          <w:b/>
          <w:sz w:val="30"/>
          <w:szCs w:val="30"/>
        </w:rPr>
      </w:pPr>
      <w:r w:rsidRPr="007D2F49">
        <w:rPr>
          <w:rFonts w:ascii="仿宋_GB2312" w:eastAsia="仿宋_GB2312" w:hAnsi="仿宋" w:hint="eastAsia"/>
          <w:b/>
          <w:sz w:val="30"/>
          <w:szCs w:val="30"/>
        </w:rPr>
        <w:t>（二）计量规则</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1.商业银行应视同直接持有资产管理产品基础资产，采用与本行直接持有基础资产一致的方式，计量资产管理产品的风险加权资产。</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（1）商业银行采用权重法计量风险加权资产的，应采用权重法计算资产管理产品基础资产的风险权重。</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（2）商业银行采用内部评级法计量风险加权资产的，应计算基础资产的违约概率、违约损失率和违约风险暴露等风险参数，但股权风险暴露除外。对于</w:t>
      </w:r>
      <w:r w:rsidRPr="007D2F49">
        <w:rPr>
          <w:rFonts w:ascii="仿宋_GB2312" w:eastAsia="仿宋_GB2312" w:hint="eastAsia"/>
          <w:sz w:val="30"/>
          <w:szCs w:val="30"/>
          <w:lang w:val="zh-TW"/>
        </w:rPr>
        <w:t>内部评级法未覆盖的风险暴露，或者无法使用内部评级法的，</w:t>
      </w:r>
      <w:r w:rsidRPr="007D2F49">
        <w:rPr>
          <w:rFonts w:ascii="仿宋_GB2312" w:eastAsia="仿宋_GB2312" w:hAnsi="仿宋" w:hint="eastAsia"/>
          <w:sz w:val="30"/>
          <w:szCs w:val="30"/>
        </w:rPr>
        <w:t>商业银行应采用权重法计量基础资产的风险权重。</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（3）对于资产证券化风险暴露，商业银行应根据本办法附件11的规定计量风险权重。</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4）商业银行应计量资产管理产品基础资产的交易对手信用风险。在需要计量信用估值调整（CVA）风险加权资产时，CVA风险加权资产等于1.5倍的交易对手违约风险暴露与交易对手风险权重之积，商业银行无需按照本办法附件17的规定计量。</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（5）</w:t>
      </w:r>
      <w:proofErr w:type="gramStart"/>
      <w:r w:rsidRPr="007D2F49">
        <w:rPr>
          <w:rFonts w:ascii="仿宋_GB2312" w:eastAsia="仿宋_GB2312" w:hAnsi="仿宋" w:hint="eastAsia"/>
          <w:sz w:val="30"/>
          <w:szCs w:val="30"/>
        </w:rPr>
        <w:t>对于资管产品</w:t>
      </w:r>
      <w:proofErr w:type="gramEnd"/>
      <w:r w:rsidRPr="007D2F49">
        <w:rPr>
          <w:rFonts w:ascii="仿宋_GB2312" w:eastAsia="仿宋_GB2312" w:hAnsi="仿宋" w:hint="eastAsia"/>
          <w:sz w:val="30"/>
          <w:szCs w:val="30"/>
        </w:rPr>
        <w:t>内部发生的外汇和商品风险暴露，应按照本办法附件14计量市场风险资本要求。</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2．商业银行缺乏足够的数据或信息计量资产管理产品风险加权资产的，可以通过</w:t>
      </w:r>
      <w:proofErr w:type="gramStart"/>
      <w:r w:rsidRPr="007D2F49">
        <w:rPr>
          <w:rFonts w:ascii="仿宋_GB2312" w:eastAsia="仿宋_GB2312" w:hAnsi="仿宋" w:hint="eastAsia"/>
          <w:sz w:val="30"/>
          <w:szCs w:val="30"/>
        </w:rPr>
        <w:t>独立第三方计算</w:t>
      </w:r>
      <w:proofErr w:type="gramEnd"/>
      <w:r w:rsidRPr="007D2F49">
        <w:rPr>
          <w:rFonts w:ascii="仿宋_GB2312" w:eastAsia="仿宋_GB2312" w:hAnsi="仿宋" w:hint="eastAsia"/>
          <w:sz w:val="30"/>
          <w:szCs w:val="30"/>
        </w:rPr>
        <w:t>资产管理产品的风险权重，但应执行以下计量规则：</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（1）</w:t>
      </w:r>
      <w:proofErr w:type="gramStart"/>
      <w:r w:rsidRPr="007D2F49">
        <w:rPr>
          <w:rFonts w:ascii="仿宋_GB2312" w:eastAsia="仿宋_GB2312" w:hAnsi="仿宋" w:hint="eastAsia"/>
          <w:sz w:val="30"/>
          <w:szCs w:val="30"/>
        </w:rPr>
        <w:t>独立第三</w:t>
      </w:r>
      <w:proofErr w:type="gramEnd"/>
      <w:r w:rsidRPr="007D2F49">
        <w:rPr>
          <w:rFonts w:ascii="仿宋_GB2312" w:eastAsia="仿宋_GB2312" w:hAnsi="仿宋" w:hint="eastAsia"/>
          <w:sz w:val="30"/>
          <w:szCs w:val="30"/>
        </w:rPr>
        <w:t>方应采用权重法计量资产管理产品的风险加权资产。</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lastRenderedPageBreak/>
        <w:t>（2）对于资产证券化风险暴露，</w:t>
      </w:r>
      <w:proofErr w:type="gramStart"/>
      <w:r w:rsidRPr="007D2F49">
        <w:rPr>
          <w:rFonts w:ascii="仿宋_GB2312" w:eastAsia="仿宋_GB2312" w:hAnsi="仿宋" w:hint="eastAsia"/>
          <w:sz w:val="30"/>
          <w:szCs w:val="30"/>
        </w:rPr>
        <w:t>独立第三</w:t>
      </w:r>
      <w:proofErr w:type="gramEnd"/>
      <w:r w:rsidRPr="007D2F49">
        <w:rPr>
          <w:rFonts w:ascii="仿宋_GB2312" w:eastAsia="仿宋_GB2312" w:hAnsi="仿宋" w:hint="eastAsia"/>
          <w:sz w:val="30"/>
          <w:szCs w:val="30"/>
        </w:rPr>
        <w:t>方应根据本办法附件11的规定计算风险权重，但不得使用资产证券化内部评级法。</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（3）</w:t>
      </w:r>
      <w:proofErr w:type="gramStart"/>
      <w:r w:rsidRPr="007D2F49">
        <w:rPr>
          <w:rFonts w:ascii="仿宋_GB2312" w:eastAsia="仿宋_GB2312" w:hAnsi="仿宋" w:hint="eastAsia"/>
          <w:sz w:val="30"/>
          <w:szCs w:val="30"/>
        </w:rPr>
        <w:t>独立第三</w:t>
      </w:r>
      <w:proofErr w:type="gramEnd"/>
      <w:r w:rsidRPr="007D2F49">
        <w:rPr>
          <w:rFonts w:ascii="仿宋_GB2312" w:eastAsia="仿宋_GB2312" w:hAnsi="仿宋" w:hint="eastAsia"/>
          <w:sz w:val="30"/>
          <w:szCs w:val="30"/>
        </w:rPr>
        <w:t>方所采用的风险权重应为商业银行直接持有资产管理产品基础资产适用的风险权重的1.2倍。</w:t>
      </w:r>
    </w:p>
    <w:p w:rsidR="00611BCD" w:rsidRDefault="00E9768A" w:rsidP="00E9768A">
      <w:pPr>
        <w:pStyle w:val="2"/>
      </w:pPr>
      <w:r>
        <w:t>三</w:t>
      </w:r>
      <w:r>
        <w:rPr>
          <w:rFonts w:hint="eastAsia"/>
        </w:rPr>
        <w:t>、</w:t>
      </w:r>
      <w:r>
        <w:t>授权基础法实施条件及计量规则</w:t>
      </w:r>
    </w:p>
    <w:p w:rsidR="00611BCD" w:rsidRPr="007D2F49" w:rsidRDefault="00E9768A" w:rsidP="007D2F49">
      <w:pPr>
        <w:spacing w:line="480" w:lineRule="exact"/>
        <w:ind w:firstLineChars="200" w:firstLine="602"/>
        <w:rPr>
          <w:rFonts w:ascii="仿宋_GB2312" w:eastAsia="仿宋_GB2312" w:hAnsi="仿宋" w:hint="eastAsia"/>
          <w:b/>
          <w:sz w:val="30"/>
          <w:szCs w:val="30"/>
        </w:rPr>
      </w:pPr>
      <w:r w:rsidRPr="007D2F49">
        <w:rPr>
          <w:rFonts w:ascii="仿宋_GB2312" w:eastAsia="仿宋_GB2312" w:hAnsi="仿宋" w:hint="eastAsia"/>
          <w:b/>
          <w:sz w:val="30"/>
          <w:szCs w:val="30"/>
        </w:rPr>
        <w:t>（一）实施条件</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1.商业银行不满足采用穿透法计量资产管理产品风险加权资产的实施条件。</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2.商业银行可以利用资产管理产品募集说明书、定期报告、资产管理产品披露的其他信息或管理此类资产管理产品的国家法律法规，计量资产管理产品的风险加权资产。</w:t>
      </w:r>
    </w:p>
    <w:p w:rsidR="00611BCD" w:rsidRPr="007D2F49" w:rsidRDefault="00E9768A" w:rsidP="007D2F49">
      <w:pPr>
        <w:spacing w:line="480" w:lineRule="exact"/>
        <w:ind w:firstLineChars="200" w:firstLine="602"/>
        <w:rPr>
          <w:rFonts w:ascii="仿宋_GB2312" w:eastAsia="仿宋_GB2312" w:hAnsi="仿宋" w:hint="eastAsia"/>
          <w:b/>
          <w:sz w:val="30"/>
          <w:szCs w:val="30"/>
        </w:rPr>
      </w:pPr>
      <w:r w:rsidRPr="007D2F49">
        <w:rPr>
          <w:rFonts w:ascii="仿宋_GB2312" w:eastAsia="仿宋_GB2312" w:hAnsi="仿宋" w:hint="eastAsia"/>
          <w:b/>
          <w:sz w:val="30"/>
          <w:szCs w:val="30"/>
        </w:rPr>
        <w:t>（二）计量规则</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1.商业银行采用授权基础法计量资产管理产品的风险加权资产应为以下三个项目之和：</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1）对于表内风险暴露，商业银行假设资产管理产品的投资组合在授权投资范围内，按照风险权重由高到低的顺序，依次投资对应的资产至最高投资额度，以此进行风险加权资产计量。如果同类风险暴露拥有多个风险权重时，商业银行应采用最高的风险权重。</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2）对于衍生工具交易或表外业务的风险暴露，商业银行应将衍生工具或表外业务的名义金额作为风险暴露进行风险加权。对于无法获得衍生工具名义金额的，应保守使用资产管理产品授权投资衍生工具范围的最大名义金额。</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3）对于交易对手信用风险，衍生工具名义本金达到5000亿元或占总资产比例达到30%以上的商业银行，应采用标准法（SA-CCR）计算交易对手违约风险暴露，其他商业银行应采用现期风险暴露法计算交易对手违约风险暴露。采用SA-CCR的商业</w:t>
      </w:r>
      <w:r w:rsidRPr="007D2F49">
        <w:rPr>
          <w:rFonts w:ascii="仿宋_GB2312" w:eastAsia="仿宋_GB2312" w:hAnsi="仿宋" w:hint="eastAsia"/>
          <w:sz w:val="30"/>
          <w:szCs w:val="30"/>
        </w:rPr>
        <w:lastRenderedPageBreak/>
        <w:t>银行，如果无法获得重置成本，应采用名义本金作为重置成本，并将潜在风险暴露中的乘数因子设为1；如果无法获得潜在风险暴露，应采用名义本金乘以15%作为潜在风险暴露。采用现期风险暴露法的商业银行，如果无法获得重置成本，应采用名义本金作为重置成本；如果无法获得附加因子，应采用15%作为附加因子。</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在需要计量信用估值调整（CVA）风险加权资产时，CVA风险加权资产等于1.5倍的交易对手违约风险暴露与交易对手风险权重之积，商业银行无需按照本办法附件17的规定计量。</w:t>
      </w:r>
    </w:p>
    <w:p w:rsidR="00611BCD" w:rsidRPr="007D2F49" w:rsidRDefault="00E9768A" w:rsidP="007D2F49">
      <w:pPr>
        <w:spacing w:line="480" w:lineRule="exact"/>
        <w:ind w:firstLineChars="200" w:firstLine="600"/>
        <w:rPr>
          <w:rFonts w:ascii="仿宋_GB2312" w:eastAsia="仿宋_GB2312" w:hAnsi="仿宋" w:hint="eastAsia"/>
          <w:sz w:val="30"/>
          <w:szCs w:val="30"/>
        </w:rPr>
      </w:pPr>
      <w:r w:rsidRPr="007D2F49">
        <w:rPr>
          <w:rFonts w:ascii="仿宋_GB2312" w:eastAsia="仿宋_GB2312" w:hAnsi="仿宋" w:hint="eastAsia"/>
          <w:sz w:val="30"/>
          <w:szCs w:val="30"/>
        </w:rPr>
        <w:t>2.商业银行应采用权重法计量资产管理产品的信用风险加权资产。对于资产证券化风险暴露，应根据本办法附件11的规定计算，但不得使用资产证券化内部评级法。</w:t>
      </w:r>
    </w:p>
    <w:p w:rsidR="00611BCD" w:rsidRDefault="00E9768A" w:rsidP="00E9768A">
      <w:pPr>
        <w:pStyle w:val="2"/>
      </w:pPr>
      <w:r>
        <w:rPr>
          <w:rFonts w:hint="eastAsia"/>
        </w:rPr>
        <w:t>四、杠杆调整</w:t>
      </w:r>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商业银行采用穿透法或授权基础法计算资产管理产品的风险加权资产的，应采用下列公式对资产管理产品的平均风险权重进行杠杆调整，但调整后的平均风险权重上限不高于1250%。</w:t>
      </w:r>
    </w:p>
    <w:p w:rsidR="00611BCD" w:rsidRDefault="00A51C61">
      <w:pPr>
        <w:spacing w:line="480" w:lineRule="exact"/>
        <w:ind w:firstLineChars="200" w:firstLine="480"/>
        <w:rPr>
          <w:rFonts w:ascii="仿宋" w:eastAsia="仿宋" w:hAnsi="仿宋"/>
          <w:sz w:val="24"/>
          <w:szCs w:val="24"/>
        </w:rPr>
      </w:pPr>
      <m:oMathPara>
        <m:oMathParaPr>
          <m:jc m:val="center"/>
        </m:oMathParaPr>
        <m:oMath>
          <m:sSub>
            <m:sSubPr>
              <m:ctrlPr>
                <w:rPr>
                  <w:rFonts w:ascii="Cambria Math" w:eastAsia="仿宋" w:hAnsi="Cambria Math"/>
                  <w:sz w:val="24"/>
                  <w:szCs w:val="24"/>
                </w:rPr>
              </m:ctrlPr>
            </m:sSubPr>
            <m:e>
              <m:r>
                <m:rPr>
                  <m:sty m:val="p"/>
                </m:rPr>
                <w:rPr>
                  <w:rFonts w:ascii="Cambria Math" w:eastAsia="仿宋" w:hAnsi="Cambria Math"/>
                  <w:sz w:val="24"/>
                  <w:szCs w:val="24"/>
                </w:rPr>
                <m:t xml:space="preserve"> RWA</m:t>
              </m:r>
            </m:e>
            <m:sub>
              <m:r>
                <m:rPr>
                  <m:sty m:val="p"/>
                </m:rPr>
                <w:rPr>
                  <w:rFonts w:ascii="Cambria Math" w:eastAsia="仿宋" w:hAnsi="Cambria Math"/>
                  <w:sz w:val="24"/>
                  <w:szCs w:val="24"/>
                </w:rPr>
                <m:t>investment</m:t>
              </m:r>
            </m:sub>
          </m:sSub>
          <m:r>
            <m:rPr>
              <m:sty m:val="p"/>
            </m:rPr>
            <w:rPr>
              <w:rFonts w:ascii="Cambria Math" w:eastAsia="仿宋" w:hAnsi="Cambria Math"/>
              <w:sz w:val="24"/>
              <w:szCs w:val="24"/>
            </w:rPr>
            <m:t>=</m:t>
          </m:r>
          <m:func>
            <m:funcPr>
              <m:ctrlPr>
                <w:rPr>
                  <w:rFonts w:ascii="Cambria Math" w:eastAsia="仿宋" w:hAnsi="Cambria Math"/>
                  <w:sz w:val="24"/>
                  <w:szCs w:val="24"/>
                </w:rPr>
              </m:ctrlPr>
            </m:funcPr>
            <m:fName>
              <m:r>
                <m:rPr>
                  <m:sty m:val="p"/>
                </m:rPr>
                <w:rPr>
                  <w:rFonts w:ascii="Cambria Math" w:eastAsia="仿宋" w:hAnsi="Cambria Math"/>
                  <w:sz w:val="24"/>
                  <w:szCs w:val="24"/>
                </w:rPr>
                <m:t>min</m:t>
              </m:r>
            </m:fName>
            <m:e>
              <m:d>
                <m:dPr>
                  <m:begChr m:val="["/>
                  <m:endChr m:val="]"/>
                  <m:ctrlPr>
                    <w:rPr>
                      <w:rFonts w:ascii="Cambria Math" w:eastAsia="仿宋" w:hAnsi="Cambria Math"/>
                      <w:sz w:val="24"/>
                      <w:szCs w:val="24"/>
                    </w:rPr>
                  </m:ctrlPr>
                </m:dPr>
                <m:e>
                  <m:sSub>
                    <m:sSubPr>
                      <m:ctrlPr>
                        <w:rPr>
                          <w:rFonts w:ascii="Cambria Math" w:eastAsia="仿宋" w:hAnsi="Cambria Math"/>
                          <w:sz w:val="24"/>
                          <w:szCs w:val="24"/>
                        </w:rPr>
                      </m:ctrlPr>
                    </m:sSubPr>
                    <m:e>
                      <m:r>
                        <m:rPr>
                          <m:sty m:val="p"/>
                        </m:rPr>
                        <w:rPr>
                          <w:rFonts w:ascii="Cambria Math" w:eastAsia="仿宋" w:hAnsi="Cambria Math"/>
                          <w:sz w:val="24"/>
                          <w:szCs w:val="24"/>
                        </w:rPr>
                        <m:t>Avg RW</m:t>
                      </m:r>
                    </m:e>
                    <m:sub>
                      <m:r>
                        <m:rPr>
                          <m:sty m:val="p"/>
                        </m:rPr>
                        <w:rPr>
                          <w:rFonts w:ascii="Cambria Math" w:eastAsia="仿宋" w:hAnsi="Cambria Math"/>
                          <w:sz w:val="24"/>
                          <w:szCs w:val="24"/>
                        </w:rPr>
                        <m:t>fund</m:t>
                      </m:r>
                    </m:sub>
                  </m:sSub>
                  <m:r>
                    <m:rPr>
                      <m:sty m:val="p"/>
                    </m:rPr>
                    <w:rPr>
                      <w:rFonts w:ascii="Cambria Math" w:eastAsia="仿宋_GB2312" w:hAnsi="Cambria Math" w:hint="eastAsia"/>
                      <w:sz w:val="24"/>
                      <w:szCs w:val="24"/>
                      <w:lang w:val="zh-TW"/>
                    </w:rPr>
                    <m:t>×</m:t>
                  </m:r>
                  <m:r>
                    <m:rPr>
                      <m:sty m:val="p"/>
                    </m:rPr>
                    <w:rPr>
                      <w:rFonts w:ascii="Cambria Math" w:eastAsia="仿宋_GB2312" w:hAnsi="Cambria Math"/>
                      <w:sz w:val="24"/>
                      <w:szCs w:val="24"/>
                      <w:lang w:val="zh-TW"/>
                    </w:rPr>
                    <m:t>Lvg,1250%</m:t>
                  </m:r>
                </m:e>
              </m:d>
            </m:e>
          </m:func>
          <m:r>
            <m:rPr>
              <m:sty m:val="p"/>
            </m:rPr>
            <w:rPr>
              <w:rFonts w:ascii="Cambria Math" w:eastAsia="仿宋_GB2312" w:hAnsi="Cambria Math" w:hint="eastAsia"/>
              <w:sz w:val="24"/>
              <w:szCs w:val="24"/>
              <w:lang w:val="zh-TW"/>
            </w:rPr>
            <m:t>×</m:t>
          </m:r>
          <m:r>
            <m:rPr>
              <m:sty m:val="p"/>
            </m:rPr>
            <w:rPr>
              <w:rFonts w:ascii="Cambria Math" w:eastAsia="仿宋_GB2312" w:hAnsi="Cambria Math"/>
              <w:sz w:val="24"/>
              <w:szCs w:val="24"/>
              <w:lang w:val="zh-TW"/>
            </w:rPr>
            <m:t>Equity Investment</m:t>
          </m:r>
        </m:oMath>
      </m:oMathPara>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其中：</w:t>
      </w:r>
    </w:p>
    <w:p w:rsidR="00611BCD" w:rsidRPr="00891546" w:rsidRDefault="00E9768A">
      <w:pPr>
        <w:spacing w:line="480" w:lineRule="exact"/>
        <w:ind w:firstLineChars="200" w:firstLine="640"/>
        <w:rPr>
          <w:rFonts w:ascii="仿宋_GB2312" w:eastAsia="仿宋_GB2312" w:hAnsi="仿宋" w:hint="eastAsia"/>
          <w:sz w:val="30"/>
          <w:szCs w:val="30"/>
        </w:rPr>
      </w:pPr>
      <w:r>
        <w:rPr>
          <w:rFonts w:ascii="仿宋" w:eastAsia="仿宋" w:hAnsi="仿宋" w:hint="eastAsia"/>
          <w:sz w:val="32"/>
          <w:szCs w:val="32"/>
        </w:rPr>
        <w:t>1.</w:t>
      </w:r>
      <w:r>
        <w:rPr>
          <w:rFonts w:ascii="仿宋" w:eastAsia="仿宋" w:hAnsi="仿宋"/>
          <w:sz w:val="32"/>
          <w:szCs w:val="32"/>
        </w:rPr>
        <w:fldChar w:fldCharType="begin"/>
      </w:r>
      <w:r>
        <w:rPr>
          <w:rFonts w:ascii="仿宋" w:eastAsia="仿宋" w:hAnsi="仿宋"/>
          <w:sz w:val="32"/>
          <w:szCs w:val="32"/>
        </w:rPr>
        <w:instrText xml:space="preserve"> QUOTE </w:instrText>
      </w:r>
      <w:r w:rsidR="007D2F49">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9pt;height: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880202&quot;/&gt;&lt;wsp:rsid wsp:val=&quot;00010FC5&quot;/&gt;&lt;wsp:rsid wsp:val=&quot;00110DC5&quot;/&gt;&lt;wsp:rsid wsp:val=&quot;0012716E&quot;/&gt;&lt;wsp:rsid wsp:val=&quot;001368E1&quot;/&gt;&lt;wsp:rsid wsp:val=&quot;001D0DE7&quot;/&gt;&lt;wsp:rsid wsp:val=&quot;001E6B40&quot;/&gt;&lt;wsp:rsid wsp:val=&quot;00271ABF&quot;/&gt;&lt;wsp:rsid wsp:val=&quot;002E600A&quot;/&gt;&lt;wsp:rsid wsp:val=&quot;003323BF&quot;/&gt;&lt;wsp:rsid wsp:val=&quot;003518B8&quot;/&gt;&lt;wsp:rsid wsp:val=&quot;003F2ADB&quot;/&gt;&lt;wsp:rsid wsp:val=&quot;004268BA&quot;/&gt;&lt;wsp:rsid wsp:val=&quot;004C19E1&quot;/&gt;&lt;wsp:rsid wsp:val=&quot;004E678C&quot;/&gt;&lt;wsp:rsid wsp:val=&quot;0053366C&quot;/&gt;&lt;wsp:rsid wsp:val=&quot;005D38F6&quot;/&gt;&lt;wsp:rsid wsp:val=&quot;005E25DA&quot;/&gt;&lt;wsp:rsid wsp:val=&quot;005F2BB8&quot;/&gt;&lt;wsp:rsid wsp:val=&quot;007C6653&quot;/&gt;&lt;wsp:rsid wsp:val=&quot;007E7F39&quot;/&gt;&lt;wsp:rsid wsp:val=&quot;00880202&quot;/&gt;&lt;wsp:rsid wsp:val=&quot;008C0008&quot;/&gt;&lt;wsp:rsid wsp:val=&quot;00AA03C3&quot;/&gt;&lt;wsp:rsid wsp:val=&quot;00AF272E&quot;/&gt;&lt;wsp:rsid wsp:val=&quot;00B6172B&quot;/&gt;&lt;wsp:rsid wsp:val=&quot;00B87A9B&quot;/&gt;&lt;wsp:rsid wsp:val=&quot;00CD51B8&quot;/&gt;&lt;wsp:rsid wsp:val=&quot;00DC5CFA&quot;/&gt;&lt;wsp:rsid wsp:val=&quot;00DD66F8&quot;/&gt;&lt;wsp:rsid wsp:val=&quot;00E00B86&quot;/&gt;&lt;wsp:rsid wsp:val=&quot;00E30600&quot;/&gt;&lt;wsp:rsid wsp:val=&quot;00F10369&quot;/&gt;&lt;wsp:rsid wsp:val=&quot;00FA3A79&quot;/&gt;&lt;/wsp:rsids&gt;&lt;/w:docPr&gt;&lt;w:body&gt;&lt;wx:sect&gt;&lt;w:p wsp:rsidR=&quot;00000000&quot; wsp:rsidRDefault=&quot;00271ABF&quot; wsp:rsidP=&quot;00271ABF&quot;&gt;&lt;m:oMathPara&gt;&lt;m:oMath&gt;&lt;m:sSub&gt;&lt;m:sSubPr&gt;&lt;m:ctrlPr&gt;&lt;w:rPr&gt;&lt;w:rFonts w:ascii=&quot;Cambria Math&quot; w:fareast=&quot;仿宋&quot; w:h-ansi=&quot;Cambria Math&quot;/&gt;&lt;wx:font wx:val=&quot;Cambr&gt;&lt;&gt;&lt;&gt;&lt;ia/w Math&quot;/&gt;&lt;w:sz w:val=&quot;24&quot;/&gt;&lt;w:sz-cs w:val=&quot;24&quot;/&gt;&lt;/w:rPr&gt;&lt;/m:ctrlPr&gt;&lt;/m:sSubPr&gt;&lt;m:e&gt;&lt;m:r&gt;&lt;m:rPr&gt;&lt;m:sty m:val=&quot;p&quot;/&gt;&lt;/m:rPr&gt;&lt;w:rPr&gt;&lt;w:rFonts w:ascii=&quot;Cambria Math&quot; w:fareast=&quot;仿宋&quot; w:h-ansi=&quot;Cambria Math&quot;/&gt;&lt;wx:font wx:val=&quot;Cambria Math&quot;/&gt;&lt;w:sz w:val=&quot;&gt;&lt;24&gt;&lt;&quot;/&gt;&lt;&gt;&lt;w:/wsz-cs w:val=&quot;24&quot;/&gt;&lt;/w:rPr&gt;&lt;m:t&gt;Credit RWA&lt;/m:t&gt;&lt;/m:r&gt;&lt;/m:e&gt;&lt;m:sub&gt;&lt;m:r&gt;&lt;m:rPr&gt;&lt;m:sty m:val=&quot;p&quot;/&gt;&lt;/m:rPr&gt;&lt;w:rPr&gt;&lt;w:rFonts w:ascii=&quot;Cambria Math&quot; w:fareast=&quot;仿宋&quot; w:h-ansi=&quot;Cambria Math&quot;/&gt;&lt;wx:font wx:val=&quot;Cambria Math&quot;/&gt;&lt;w:sz w:val=&quot;24&quot;/&gt;&lt;w:sz&gt;&lt;-cs &gt;&lt;w:va&gt;&lt;l=&quot;24&quot;/w/&gt;&lt;/w:rPr&gt;&lt;m:t&gt;investmen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Pr>
          <w:rFonts w:ascii="仿宋" w:eastAsia="仿宋" w:hAnsi="仿宋"/>
          <w:sz w:val="32"/>
          <w:szCs w:val="32"/>
        </w:rPr>
        <w:instrText xml:space="preserve"> </w:instrText>
      </w:r>
      <w:r>
        <w:rPr>
          <w:rFonts w:ascii="仿宋" w:eastAsia="仿宋" w:hAnsi="仿宋"/>
          <w:sz w:val="32"/>
          <w:szCs w:val="32"/>
        </w:rPr>
        <w:fldChar w:fldCharType="separate"/>
      </w:r>
      <m:oMath>
        <m:sSub>
          <m:sSubPr>
            <m:ctrlPr>
              <w:rPr>
                <w:rFonts w:ascii="Cambria Math" w:eastAsia="仿宋" w:hAnsi="Cambria Math"/>
                <w:sz w:val="24"/>
                <w:szCs w:val="24"/>
              </w:rPr>
            </m:ctrlPr>
          </m:sSubPr>
          <m:e>
            <m:r>
              <m:rPr>
                <m:sty m:val="p"/>
              </m:rPr>
              <w:rPr>
                <w:rFonts w:ascii="Cambria Math" w:eastAsia="仿宋" w:hAnsi="Cambria Math"/>
                <w:sz w:val="24"/>
                <w:szCs w:val="24"/>
              </w:rPr>
              <m:t>RWA</m:t>
            </m:r>
          </m:e>
          <m:sub>
            <m:r>
              <m:rPr>
                <m:sty m:val="p"/>
              </m:rPr>
              <w:rPr>
                <w:rFonts w:ascii="Cambria Math" w:eastAsia="仿宋" w:hAnsi="Cambria Math"/>
                <w:sz w:val="24"/>
                <w:szCs w:val="24"/>
              </w:rPr>
              <m:t>investment</m:t>
            </m:r>
          </m:sub>
        </m:sSub>
      </m:oMath>
      <w:r>
        <w:rPr>
          <w:rFonts w:ascii="仿宋" w:eastAsia="仿宋" w:hAnsi="仿宋"/>
          <w:sz w:val="32"/>
          <w:szCs w:val="32"/>
        </w:rPr>
        <w:fldChar w:fldCharType="end"/>
      </w:r>
      <w:r w:rsidRPr="00891546">
        <w:rPr>
          <w:rFonts w:ascii="仿宋_GB2312" w:eastAsia="仿宋_GB2312" w:hAnsi="仿宋" w:hint="eastAsia"/>
          <w:sz w:val="30"/>
          <w:szCs w:val="30"/>
        </w:rPr>
        <w:t>是指银行投资资产管理产品的风险加权资产；</w:t>
      </w:r>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2.</w:t>
      </w:r>
      <m:oMath>
        <m:sSub>
          <m:sSubPr>
            <m:ctrlPr>
              <w:rPr>
                <w:rFonts w:ascii="Cambria Math" w:eastAsia="仿宋_GB2312" w:hAnsi="Cambria Math" w:hint="eastAsia"/>
                <w:sz w:val="30"/>
                <w:szCs w:val="30"/>
              </w:rPr>
            </m:ctrlPr>
          </m:sSubPr>
          <m:e>
            <m:r>
              <m:rPr>
                <m:sty m:val="p"/>
              </m:rPr>
              <w:rPr>
                <w:rFonts w:ascii="Cambria Math" w:eastAsia="仿宋_GB2312" w:hAnsi="Cambria Math" w:hint="eastAsia"/>
                <w:sz w:val="30"/>
                <w:szCs w:val="30"/>
              </w:rPr>
              <m:t>Avg RW</m:t>
            </m:r>
          </m:e>
          <m:sub>
            <m:r>
              <m:rPr>
                <m:sty m:val="p"/>
              </m:rPr>
              <w:rPr>
                <w:rFonts w:ascii="Cambria Math" w:eastAsia="仿宋_GB2312" w:hAnsi="Cambria Math" w:hint="eastAsia"/>
                <w:sz w:val="30"/>
                <w:szCs w:val="30"/>
              </w:rPr>
              <m:t>fund</m:t>
            </m:r>
          </m:sub>
        </m:sSub>
      </m:oMath>
      <w:r w:rsidRPr="00891546">
        <w:rPr>
          <w:rFonts w:ascii="仿宋_GB2312" w:eastAsia="仿宋_GB2312" w:hAnsi="仿宋" w:hint="eastAsia"/>
          <w:sz w:val="30"/>
          <w:szCs w:val="30"/>
        </w:rPr>
        <w:fldChar w:fldCharType="begin"/>
      </w:r>
      <w:r w:rsidRPr="00891546">
        <w:rPr>
          <w:rFonts w:ascii="仿宋_GB2312" w:eastAsia="仿宋_GB2312" w:hAnsi="仿宋" w:hint="eastAsia"/>
          <w:sz w:val="30"/>
          <w:szCs w:val="30"/>
        </w:rPr>
        <w:instrText xml:space="preserve"> QUOTE </w:instrText>
      </w:r>
      <w:r w:rsidR="007D2F49" w:rsidRPr="00891546">
        <w:rPr>
          <w:rFonts w:ascii="仿宋_GB2312" w:eastAsia="仿宋_GB2312" w:hint="eastAsia"/>
          <w:position w:val="-6"/>
          <w:sz w:val="30"/>
          <w:szCs w:val="30"/>
        </w:rPr>
        <w:pict>
          <v:shape id="_x0000_i1026" type="#_x0000_t75" style="width:57.9pt;height: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880202&quot;/&gt;&lt;wsp:rsid wsp:val=&quot;00010FC5&quot;/&gt;&lt;wsp:rsid wsp:val=&quot;00110DC5&quot;/&gt;&lt;wsp:rsid wsp:val=&quot;0012716E&quot;/&gt;&lt;wsp:rsid wsp:val=&quot;001368E1&quot;/&gt;&lt;wsp:rsid wsp:val=&quot;001D0DE7&quot;/&gt;&lt;wsp:rsid wsp:val=&quot;001E6B40&quot;/&gt;&lt;wsp:rsid wsp:val=&quot;002E600A&quot;/&gt;&lt;wsp:rsid wsp:val=&quot;003323BF&quot;/&gt;&lt;wsp:rsid wsp:val=&quot;003518B8&quot;/&gt;&lt;wsp:rsid wsp:val=&quot;003F2ADB&quot;/&gt;&lt;wsp:rsid wsp:val=&quot;004268BA&quot;/&gt;&lt;wsp:rsid wsp:val=&quot;004C19E1&quot;/&gt;&lt;wsp:rsid wsp:val=&quot;004E678C&quot;/&gt;&lt;wsp:rsid wsp:val=&quot;0053366C&quot;/&gt;&lt;wsp:rsid wsp:val=&quot;005D38F6&quot;/&gt;&lt;wsp:rsid wsp:val=&quot;005E25DA&quot;/&gt;&lt;wsp:rsid wsp:val=&quot;005F2BB8&quot;/&gt;&lt;wsp:rsid wsp:val=&quot;007C6653&quot;/&gt;&lt;wsp:rsid wsp:val=&quot;007E7F39&quot;/&gt;&lt;wsp:rsid wsp:val=&quot;00880202&quot;/&gt;&lt;wsp:rsid wsp:val=&quot;008C0008&quot;/&gt;&lt;wsp:rsid wsp:val=&quot;00AA03C3&quot;/&gt;&lt;wsp:rsid wsp:val=&quot;00AF272E&quot;/&gt;&lt;wsp:rsid wsp:val=&quot;00B6172B&quot;/&gt;&lt;wsp:rsid wsp:val=&quot;00B87A9B&quot;/&gt;&lt;wsp:rsid wsp:val=&quot;00CD51B8&quot;/&gt;&lt;wsp:rsid wsp:val=&quot;00DC5CFA&quot;/&gt;&lt;wsp:rsid wsp:val=&quot;00DD66F8&quot;/&gt;&lt;wsp:rsid wsp:val=&quot;00E00B86&quot;/&gt;&lt;wsp:rsid wsp:val=&quot;00E30600&quot;/&gt;&lt;wsp:rsid wsp:val=&quot;00F10369&quot;/&gt;&lt;wsp:rsid wsp:val=&quot;00FA20D8&quot;/&gt;&lt;wsp:rsid wsp:val=&quot;00FA3A79&quot;/&gt;&lt;/wsp:rsids&gt;&lt;/w:docPr&gt;&lt;w:body&gt;&lt;wx:sect&gt;&lt;w:p wsp:rsidR=&quot;00000000&quot; wsp:rsidRDefault=&quot;00FA20D8&quot; wsp:rsidP=&quot;00FA20D8&quot;&gt;&lt;m:oMathPara&gt;&lt;m:oMath&gt;&lt;m:sSub&gt;&lt;m:sSubPr&gt;&lt;m:ctrlPr&gt;&lt;w:rPr&gt;&lt;w:rFonts w:ascii=&quot;Cambria Math&quot; w:fareast=&quot;仿宋&quot; w:h-ansi=&quot;Cambria Math&quot;/&gt;&lt;wx:font wx:val=&quot;Cambr&gt;&lt;&gt;&lt;&gt;&lt;ia/w Math&quot;/&gt;&lt;w:sz w:val=&quot;24&quot;/&gt;&lt;w:sz-cs w:val=&quot;24&quot;/&gt;&lt;/w:rPr&gt;&lt;/m:ctrlPr&gt;&lt;/m:sSubPr&gt;&lt;m:e&gt;&lt;m:r&gt;&lt;m:rPr&gt;&lt;m:sty m:val=&quot;p&quot;/&gt;&lt;/m:rPr&gt;&lt;w:rPr&gt;&lt;w:rFonts w:ascii=&quot;Cambria Math&quot; w:fareast=&quot;仿宋&quot; w:h-ansi=&quot;Cambria Math&quot;/&gt;&lt;wx:font wx:val=&quot;Cambria Math&quot;/&gt;&lt;w:sz w:val=&quot;&gt;&lt;24&gt;&lt;&quot;/&gt;&lt;&gt;&lt;w:/wsz-cs w:val=&quot;24&quot;/&gt;&lt;/w:rPr&gt;&lt;m:t&gt;Avg RW&lt;/m:t&gt;&lt;/m:r&gt;&lt;/m:e&gt;&lt;m:sub&gt;&lt;m:r&gt;&lt;m:rPr&gt;&lt;m:sty m:val=&quot;p&quot;/&gt;&lt;/m:rPr&gt;&lt;w:rPr&gt;&lt;w:rFonts w:ascii=&quot;Cambria Math&quot; w:fareast=&quot;仿宋&quot; w:h-ansi=&quot;Cambria Math&quot;/&gt;&lt;wx:font wx:val=&quot;Cambria Math&quot;/&gt;&lt;w:sz w:val=&quot;24&quot;/&gt;&lt;w:sz-cs &gt;&lt;w:va&gt;&lt;l=&quot;2&gt;&lt;4&quot;/&gt;&lt;//ww:rPr&gt;&lt;m:t&gt;fund&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891546">
        <w:rPr>
          <w:rFonts w:ascii="仿宋_GB2312" w:eastAsia="仿宋_GB2312" w:hAnsi="仿宋" w:hint="eastAsia"/>
          <w:sz w:val="30"/>
          <w:szCs w:val="30"/>
        </w:rPr>
        <w:instrText xml:space="preserve"> </w:instrText>
      </w:r>
      <w:r w:rsidRPr="00891546">
        <w:rPr>
          <w:rFonts w:ascii="仿宋_GB2312" w:eastAsia="仿宋_GB2312" w:hAnsi="仿宋" w:hint="eastAsia"/>
          <w:sz w:val="30"/>
          <w:szCs w:val="30"/>
        </w:rPr>
        <w:fldChar w:fldCharType="end"/>
      </w:r>
      <w:r w:rsidRPr="00891546">
        <w:rPr>
          <w:rFonts w:ascii="仿宋_GB2312" w:eastAsia="仿宋_GB2312" w:hAnsi="仿宋" w:hint="eastAsia"/>
          <w:sz w:val="30"/>
          <w:szCs w:val="30"/>
        </w:rPr>
        <w:t>是指资产管理产品的平均风险权重，用资产管理产品风险加权资产除以资产管理产品总资产；</w:t>
      </w:r>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3.</w:t>
      </w:r>
      <m:oMath>
        <m:r>
          <m:rPr>
            <m:sty m:val="p"/>
          </m:rPr>
          <w:rPr>
            <w:rFonts w:ascii="Cambria Math" w:eastAsia="仿宋_GB2312" w:hAnsi="Cambria Math" w:hint="eastAsia"/>
            <w:sz w:val="30"/>
            <w:szCs w:val="30"/>
            <w:lang w:val="zh-TW"/>
          </w:rPr>
          <m:t>Lvg</m:t>
        </m:r>
      </m:oMath>
      <w:r w:rsidRPr="00891546">
        <w:rPr>
          <w:rFonts w:ascii="仿宋_GB2312" w:eastAsia="仿宋_GB2312" w:hAnsi="仿宋" w:hint="eastAsia"/>
          <w:sz w:val="30"/>
          <w:szCs w:val="30"/>
        </w:rPr>
        <w:t>是指资产管理产品的杠杆率，用总资产除以净资产</w:t>
      </w:r>
      <w:r w:rsidRPr="00891546">
        <w:rPr>
          <w:rFonts w:ascii="仿宋_GB2312" w:eastAsia="仿宋_GB2312" w:hAnsi="仿宋" w:hint="eastAsia"/>
          <w:color w:val="000000"/>
          <w:sz w:val="30"/>
          <w:szCs w:val="30"/>
        </w:rPr>
        <w:t>。</w:t>
      </w:r>
      <w:r w:rsidRPr="00891546">
        <w:rPr>
          <w:rFonts w:ascii="仿宋_GB2312" w:eastAsia="仿宋_GB2312" w:hAnsi="仿宋" w:hint="eastAsia"/>
          <w:sz w:val="30"/>
          <w:szCs w:val="30"/>
        </w:rPr>
        <w:t>在授权基础法中，杠杆率可通过资产管理产品募集说明书、定期报告或管理此类资产管理产品的国家法律法规允许的最大财务杠杆进行确定。</w:t>
      </w:r>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4.</w:t>
      </w:r>
      <w:r w:rsidRPr="00891546">
        <w:rPr>
          <w:rFonts w:ascii="仿宋_GB2312" w:eastAsia="仿宋_GB2312" w:hAnsi="仿宋" w:hint="eastAsia"/>
          <w:sz w:val="30"/>
          <w:szCs w:val="30"/>
        </w:rPr>
        <w:fldChar w:fldCharType="begin"/>
      </w:r>
      <w:r w:rsidRPr="00891546">
        <w:rPr>
          <w:rFonts w:ascii="仿宋_GB2312" w:eastAsia="仿宋_GB2312" w:hAnsi="仿宋" w:hint="eastAsia"/>
          <w:sz w:val="30"/>
          <w:szCs w:val="30"/>
        </w:rPr>
        <w:instrText xml:space="preserve"> QUOTE </w:instrText>
      </w:r>
      <w:r w:rsidR="007D2F49" w:rsidRPr="00891546">
        <w:rPr>
          <w:rFonts w:ascii="仿宋_GB2312" w:eastAsia="仿宋_GB2312" w:hint="eastAsia"/>
          <w:position w:val="-21"/>
          <w:sz w:val="30"/>
          <w:szCs w:val="30"/>
        </w:rPr>
        <w:pict>
          <v:shape id="_x0000_i1027" type="#_x0000_t75" style="width:96.95pt;height:3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880202&quot;/&gt;&lt;wsp:rsid wsp:val=&quot;00010FC5&quot;/&gt;&lt;wsp:rsid wsp:val=&quot;00110DC5&quot;/&gt;&lt;wsp:rsid wsp:val=&quot;0012716E&quot;/&gt;&lt;wsp:rsid wsp:val=&quot;001368E1&quot;/&gt;&lt;wsp:rsid wsp:val=&quot;001D0DE7&quot;/&gt;&lt;wsp:rsid wsp:val=&quot;001E6B40&quot;/&gt;&lt;wsp:rsid wsp:val=&quot;002E600A&quot;/&gt;&lt;wsp:rsid wsp:val=&quot;003323BF&quot;/&gt;&lt;wsp:rsid wsp:val=&quot;003518B8&quot;/&gt;&lt;wsp:rsid wsp:val=&quot;003F2ADB&quot;/&gt;&lt;wsp:rsid wsp:val=&quot;004268BA&quot;/&gt;&lt;wsp:rsid wsp:val=&quot;004C19E1&quot;/&gt;&lt;wsp:rsid wsp:val=&quot;004E678C&quot;/&gt;&lt;wsp:rsid wsp:val=&quot;0053366C&quot;/&gt;&lt;wsp:rsid wsp:val=&quot;005D38F6&quot;/&gt;&lt;wsp:rsid wsp:val=&quot;005E25DA&quot;/&gt;&lt;wsp:rsid wsp:val=&quot;005F2BB8&quot;/&gt;&lt;wsp:rsid wsp:val=&quot;006F78FF&quot;/&gt;&lt;wsp:rsid wsp:val=&quot;007C6653&quot;/&gt;&lt;wsp:rsid wsp:val=&quot;007E7F39&quot;/&gt;&lt;wsp:rsid wsp:val=&quot;00880202&quot;/&gt;&lt;wsp:rsid wsp:val=&quot;008C0008&quot;/&gt;&lt;wsp:rsid wsp:val=&quot;00AA03C3&quot;/&gt;&lt;wsp:rsid wsp:val=&quot;00AF272E&quot;/&gt;&lt;wsp:rsid wsp:val=&quot;00B6172B&quot;/&gt;&lt;wsp:rsid wsp:val=&quot;00B87A9B&quot;/&gt;&lt;wsp:rsid wsp:val=&quot;00CD51B8&quot;/&gt;&lt;wsp:rsid wsp:val=&quot;00DC5CFA&quot;/&gt;&lt;wsp:rsid wsp:val=&quot;00DD66F8&quot;/&gt;&lt;wsp:rsid wsp:val=&quot;00E00B86&quot;/&gt;&lt;wsp:rsid wsp:val=&quot;00E30600&quot;/&gt;&lt;wsp:rsid wsp:val=&quot;00F10369&quot;/&gt;&lt;wsp:rsid wsp:val=&quot;00FA3A79&quot;/&gt;&lt;/wsp:rsids&gt;&lt;/w:docPr&gt;&lt;w:body&gt;&lt;wx:sect&gt;&lt;w:p wsp:rsidR=&quot;00000000&quot; wsp:rsidRDefault=&quot;006F78FF&quot; wsp:rsidP=&quot;006F78FF&quot;&gt;&lt;m:oMathPara&gt;&lt;m:oMath&gt;&lt;m:r&gt;&lt;m:rPr&gt;&lt;m:sty m:val=&quot;p&quot;/&gt;&lt;/m:rPr&gt;&lt;w:rPr&gt;&lt;w:rFonts w:ascii=&quot;Cambria Math&quot; w:fareast=&quot;仿宋_GB2312&quot;/&gt;&lt;wx:font wx:val=&quot;Cambria Math&gt;&lt;&gt;&lt;&gt;&lt;&quot;//w&gt;&lt;w:sz w:val=&quot;24&quot;/&gt;&lt;w:sz-cs w:val=&quot;24&quot;/&gt;&lt;w:lang w:val=&quot;ZH-TW&quot;/&gt;&lt;/w:rPr&gt;&lt;m:t&gt; Equity Investmen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891546">
        <w:rPr>
          <w:rFonts w:ascii="仿宋_GB2312" w:eastAsia="仿宋_GB2312" w:hAnsi="仿宋" w:hint="eastAsia"/>
          <w:sz w:val="30"/>
          <w:szCs w:val="30"/>
        </w:rPr>
        <w:instrText xml:space="preserve"> </w:instrText>
      </w:r>
      <w:r w:rsidRPr="00891546">
        <w:rPr>
          <w:rFonts w:ascii="仿宋_GB2312" w:eastAsia="仿宋_GB2312" w:hAnsi="仿宋" w:hint="eastAsia"/>
          <w:sz w:val="30"/>
          <w:szCs w:val="30"/>
        </w:rPr>
        <w:fldChar w:fldCharType="separate"/>
      </w:r>
      <m:oMath>
        <m:r>
          <m:rPr>
            <m:sty m:val="p"/>
          </m:rPr>
          <w:rPr>
            <w:rFonts w:ascii="Cambria Math" w:eastAsia="仿宋_GB2312" w:hAnsi="Cambria Math" w:hint="eastAsia"/>
            <w:sz w:val="30"/>
            <w:szCs w:val="30"/>
            <w:lang w:val="zh-TW"/>
          </w:rPr>
          <m:t>Equity Investment</m:t>
        </m:r>
      </m:oMath>
      <w:r w:rsidRPr="00891546">
        <w:rPr>
          <w:rFonts w:ascii="仿宋_GB2312" w:eastAsia="仿宋_GB2312" w:hAnsi="仿宋" w:hint="eastAsia"/>
          <w:sz w:val="30"/>
          <w:szCs w:val="30"/>
        </w:rPr>
        <w:fldChar w:fldCharType="end"/>
      </w:r>
      <w:r w:rsidRPr="00891546">
        <w:rPr>
          <w:rFonts w:ascii="仿宋_GB2312" w:eastAsia="仿宋_GB2312" w:hAnsi="仿宋" w:hint="eastAsia"/>
          <w:sz w:val="30"/>
          <w:szCs w:val="30"/>
        </w:rPr>
        <w:t>是指银行投资资产管理产品的金额，用商业银行持有的资产管理产品份额占比乘以资产管理产品净资产。</w:t>
      </w:r>
    </w:p>
    <w:p w:rsidR="00611BCD" w:rsidRDefault="00E9768A" w:rsidP="00E9768A">
      <w:pPr>
        <w:pStyle w:val="2"/>
      </w:pPr>
      <w:r>
        <w:rPr>
          <w:rFonts w:hint="eastAsia"/>
        </w:rPr>
        <w:lastRenderedPageBreak/>
        <w:t>五、</w:t>
      </w:r>
      <w:r>
        <w:rPr>
          <w:rFonts w:cs="黑体" w:hint="eastAsia"/>
        </w:rPr>
        <w:t>资产管理产品</w:t>
      </w:r>
      <w:r>
        <w:rPr>
          <w:rFonts w:hint="eastAsia"/>
        </w:rPr>
        <w:t>嵌套的处理方式</w:t>
      </w:r>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商业银行直接投资的资产管理产品嵌套其他资产管理产品，应采取如下方法计量：</w:t>
      </w:r>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（1）商业银行仅采用穿透法计量的，应逐层使用穿透法计量。</w:t>
      </w:r>
    </w:p>
    <w:p w:rsidR="00611BCD" w:rsidRPr="00891546" w:rsidRDefault="00E9768A" w:rsidP="00891546">
      <w:pPr>
        <w:spacing w:line="480" w:lineRule="exact"/>
        <w:ind w:firstLineChars="200" w:firstLine="600"/>
        <w:rPr>
          <w:rFonts w:ascii="仿宋_GB2312" w:eastAsia="仿宋_GB2312" w:hAnsi="仿宋" w:hint="eastAsia"/>
          <w:sz w:val="30"/>
          <w:szCs w:val="30"/>
        </w:rPr>
      </w:pPr>
      <w:r w:rsidRPr="00891546">
        <w:rPr>
          <w:rFonts w:ascii="仿宋_GB2312" w:eastAsia="仿宋_GB2312" w:hAnsi="仿宋" w:hint="eastAsia"/>
          <w:sz w:val="30"/>
          <w:szCs w:val="30"/>
        </w:rPr>
        <w:t>（2）商业银行无法仅使用穿透法的，应采用授权基础法、1250%或综合使用多种方法计量。对于嵌套的第三层及以上层级，仅可采用1250%的风险权重计量。</w:t>
      </w:r>
    </w:p>
    <w:sectPr w:rsidR="00611BCD" w:rsidRPr="00891546">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CD" w:rsidRDefault="00E9768A">
      <w:r>
        <w:separator/>
      </w:r>
    </w:p>
  </w:endnote>
  <w:endnote w:type="continuationSeparator" w:id="0">
    <w:p w:rsidR="005120CD" w:rsidRDefault="00E9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3801974"/>
      <w:docPartObj>
        <w:docPartGallery w:val="Page Numbers (Bottom of Page)"/>
        <w:docPartUnique/>
      </w:docPartObj>
    </w:sdtPr>
    <w:sdtEndPr>
      <w:rPr>
        <w:rFonts w:ascii="Calibri" w:hAnsi="Calibri"/>
      </w:rPr>
    </w:sdtEndPr>
    <w:sdtContent>
      <w:p w:rsidR="00611BCD" w:rsidRPr="005D3569" w:rsidRDefault="005D3569" w:rsidP="005D3569">
        <w:pPr>
          <w:pStyle w:val="a5"/>
          <w:jc w:val="center"/>
          <w:rPr>
            <w:rFonts w:ascii="Calibri" w:hAnsi="Calibri"/>
          </w:rPr>
        </w:pPr>
        <w:r w:rsidRPr="005D3569">
          <w:rPr>
            <w:rFonts w:ascii="Calibri" w:hAnsi="Calibri"/>
          </w:rPr>
          <w:fldChar w:fldCharType="begin"/>
        </w:r>
        <w:r w:rsidRPr="005D3569">
          <w:rPr>
            <w:rFonts w:ascii="Calibri" w:hAnsi="Calibri"/>
          </w:rPr>
          <w:instrText>PAGE   \* MERGEFORMAT</w:instrText>
        </w:r>
        <w:r w:rsidRPr="005D3569">
          <w:rPr>
            <w:rFonts w:ascii="Calibri" w:hAnsi="Calibri"/>
          </w:rPr>
          <w:fldChar w:fldCharType="separate"/>
        </w:r>
        <w:r w:rsidR="00A51C61" w:rsidRPr="00A51C61">
          <w:rPr>
            <w:rFonts w:ascii="Calibri" w:hAnsi="Calibri"/>
            <w:noProof/>
            <w:lang w:val="zh-CN"/>
          </w:rPr>
          <w:t>1</w:t>
        </w:r>
        <w:r w:rsidRPr="005D3569">
          <w:rPr>
            <w:rFonts w:ascii="Calibri"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CD" w:rsidRDefault="00E9768A">
      <w:r>
        <w:separator/>
      </w:r>
    </w:p>
  </w:footnote>
  <w:footnote w:type="continuationSeparator" w:id="0">
    <w:p w:rsidR="005120CD" w:rsidRDefault="00E97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1A6E"/>
    <w:multiLevelType w:val="singleLevel"/>
    <w:tmpl w:val="03BB1A6E"/>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880202"/>
    <w:rsid w:val="FEBF3276"/>
    <w:rsid w:val="FEEF6FC9"/>
    <w:rsid w:val="0000271E"/>
    <w:rsid w:val="00010988"/>
    <w:rsid w:val="00010FC5"/>
    <w:rsid w:val="00015AFD"/>
    <w:rsid w:val="00016A6B"/>
    <w:rsid w:val="00030FA1"/>
    <w:rsid w:val="00043BFF"/>
    <w:rsid w:val="00055ACF"/>
    <w:rsid w:val="00057455"/>
    <w:rsid w:val="00063EC4"/>
    <w:rsid w:val="000641B0"/>
    <w:rsid w:val="0007385B"/>
    <w:rsid w:val="00073878"/>
    <w:rsid w:val="000A573D"/>
    <w:rsid w:val="000B3524"/>
    <w:rsid w:val="000E0DE8"/>
    <w:rsid w:val="000E1A62"/>
    <w:rsid w:val="00110DC5"/>
    <w:rsid w:val="0012716E"/>
    <w:rsid w:val="00133F4B"/>
    <w:rsid w:val="001368E1"/>
    <w:rsid w:val="001513D2"/>
    <w:rsid w:val="00177D77"/>
    <w:rsid w:val="001808CF"/>
    <w:rsid w:val="0018147B"/>
    <w:rsid w:val="0018184F"/>
    <w:rsid w:val="00187C24"/>
    <w:rsid w:val="0019215B"/>
    <w:rsid w:val="001A1806"/>
    <w:rsid w:val="001B7D19"/>
    <w:rsid w:val="001D0251"/>
    <w:rsid w:val="001D0DE7"/>
    <w:rsid w:val="001D725E"/>
    <w:rsid w:val="001E6B40"/>
    <w:rsid w:val="001E7433"/>
    <w:rsid w:val="001E78E1"/>
    <w:rsid w:val="001F5A37"/>
    <w:rsid w:val="00200CAD"/>
    <w:rsid w:val="002052BC"/>
    <w:rsid w:val="00206035"/>
    <w:rsid w:val="002266AC"/>
    <w:rsid w:val="00235EBB"/>
    <w:rsid w:val="00251017"/>
    <w:rsid w:val="00265753"/>
    <w:rsid w:val="00271EA9"/>
    <w:rsid w:val="00271F4C"/>
    <w:rsid w:val="002729EE"/>
    <w:rsid w:val="002941FE"/>
    <w:rsid w:val="002A05C9"/>
    <w:rsid w:val="002B6DE5"/>
    <w:rsid w:val="002C0D3A"/>
    <w:rsid w:val="002D506E"/>
    <w:rsid w:val="002E600A"/>
    <w:rsid w:val="002F30B1"/>
    <w:rsid w:val="0032057F"/>
    <w:rsid w:val="0032060C"/>
    <w:rsid w:val="00322778"/>
    <w:rsid w:val="00324F66"/>
    <w:rsid w:val="003317DB"/>
    <w:rsid w:val="003323BF"/>
    <w:rsid w:val="00334D7D"/>
    <w:rsid w:val="00343523"/>
    <w:rsid w:val="003438A9"/>
    <w:rsid w:val="003449CF"/>
    <w:rsid w:val="00350729"/>
    <w:rsid w:val="00350B0D"/>
    <w:rsid w:val="003518B8"/>
    <w:rsid w:val="0037015E"/>
    <w:rsid w:val="00372DBF"/>
    <w:rsid w:val="0037686F"/>
    <w:rsid w:val="00392797"/>
    <w:rsid w:val="003A367E"/>
    <w:rsid w:val="003E26F9"/>
    <w:rsid w:val="003F2ADB"/>
    <w:rsid w:val="003F59F3"/>
    <w:rsid w:val="00401F45"/>
    <w:rsid w:val="004050AB"/>
    <w:rsid w:val="00406115"/>
    <w:rsid w:val="00406B7D"/>
    <w:rsid w:val="00412973"/>
    <w:rsid w:val="00414A79"/>
    <w:rsid w:val="0042508B"/>
    <w:rsid w:val="004268BA"/>
    <w:rsid w:val="00454863"/>
    <w:rsid w:val="00476C02"/>
    <w:rsid w:val="00477AD0"/>
    <w:rsid w:val="00486261"/>
    <w:rsid w:val="004B2527"/>
    <w:rsid w:val="004C19E1"/>
    <w:rsid w:val="004C2056"/>
    <w:rsid w:val="004C7ABB"/>
    <w:rsid w:val="004D0774"/>
    <w:rsid w:val="004E678C"/>
    <w:rsid w:val="005120CD"/>
    <w:rsid w:val="0051510F"/>
    <w:rsid w:val="00516519"/>
    <w:rsid w:val="00525817"/>
    <w:rsid w:val="0053366C"/>
    <w:rsid w:val="005366DC"/>
    <w:rsid w:val="00542E60"/>
    <w:rsid w:val="00556718"/>
    <w:rsid w:val="00582E68"/>
    <w:rsid w:val="00585ECB"/>
    <w:rsid w:val="005872A9"/>
    <w:rsid w:val="005972AC"/>
    <w:rsid w:val="005D3569"/>
    <w:rsid w:val="005D38F6"/>
    <w:rsid w:val="005E25DA"/>
    <w:rsid w:val="005E50D5"/>
    <w:rsid w:val="005E6E58"/>
    <w:rsid w:val="005F2BB8"/>
    <w:rsid w:val="005F4B10"/>
    <w:rsid w:val="00603A84"/>
    <w:rsid w:val="00606771"/>
    <w:rsid w:val="00611BCD"/>
    <w:rsid w:val="00611EA5"/>
    <w:rsid w:val="00613279"/>
    <w:rsid w:val="00621C14"/>
    <w:rsid w:val="00637BEE"/>
    <w:rsid w:val="006438E5"/>
    <w:rsid w:val="00670636"/>
    <w:rsid w:val="00671BC0"/>
    <w:rsid w:val="006740BA"/>
    <w:rsid w:val="006809BC"/>
    <w:rsid w:val="006C08CA"/>
    <w:rsid w:val="006C609E"/>
    <w:rsid w:val="0071316A"/>
    <w:rsid w:val="00714A51"/>
    <w:rsid w:val="0073013C"/>
    <w:rsid w:val="00735B5D"/>
    <w:rsid w:val="007521B0"/>
    <w:rsid w:val="00752C41"/>
    <w:rsid w:val="007746AD"/>
    <w:rsid w:val="00774ED2"/>
    <w:rsid w:val="00776909"/>
    <w:rsid w:val="00776C88"/>
    <w:rsid w:val="007812B0"/>
    <w:rsid w:val="00786CFE"/>
    <w:rsid w:val="00786ED7"/>
    <w:rsid w:val="00795B25"/>
    <w:rsid w:val="007A099D"/>
    <w:rsid w:val="007B35B9"/>
    <w:rsid w:val="007C0BAA"/>
    <w:rsid w:val="007C1DD0"/>
    <w:rsid w:val="007C6653"/>
    <w:rsid w:val="007D1C6F"/>
    <w:rsid w:val="007D2F49"/>
    <w:rsid w:val="007D4F93"/>
    <w:rsid w:val="007D780D"/>
    <w:rsid w:val="007E68E0"/>
    <w:rsid w:val="007E7F39"/>
    <w:rsid w:val="00803BE7"/>
    <w:rsid w:val="008062C0"/>
    <w:rsid w:val="00806822"/>
    <w:rsid w:val="0082354D"/>
    <w:rsid w:val="008273C6"/>
    <w:rsid w:val="00840E1D"/>
    <w:rsid w:val="0085085C"/>
    <w:rsid w:val="00852190"/>
    <w:rsid w:val="00857B29"/>
    <w:rsid w:val="00861626"/>
    <w:rsid w:val="008637D0"/>
    <w:rsid w:val="00870F7B"/>
    <w:rsid w:val="00880202"/>
    <w:rsid w:val="008821EA"/>
    <w:rsid w:val="008824E0"/>
    <w:rsid w:val="0088304E"/>
    <w:rsid w:val="00891546"/>
    <w:rsid w:val="00894DA6"/>
    <w:rsid w:val="00895002"/>
    <w:rsid w:val="00896869"/>
    <w:rsid w:val="008A0AD2"/>
    <w:rsid w:val="008A5744"/>
    <w:rsid w:val="008A763C"/>
    <w:rsid w:val="008C0008"/>
    <w:rsid w:val="008C7946"/>
    <w:rsid w:val="008F167E"/>
    <w:rsid w:val="00906AB1"/>
    <w:rsid w:val="0092424D"/>
    <w:rsid w:val="00931261"/>
    <w:rsid w:val="00933697"/>
    <w:rsid w:val="00960FE1"/>
    <w:rsid w:val="009610A3"/>
    <w:rsid w:val="00961FDB"/>
    <w:rsid w:val="00967258"/>
    <w:rsid w:val="009927F9"/>
    <w:rsid w:val="009A6CC6"/>
    <w:rsid w:val="009B0B8D"/>
    <w:rsid w:val="009B1E56"/>
    <w:rsid w:val="009C317C"/>
    <w:rsid w:val="009C4627"/>
    <w:rsid w:val="009E6070"/>
    <w:rsid w:val="009F2C43"/>
    <w:rsid w:val="009F7177"/>
    <w:rsid w:val="00A03268"/>
    <w:rsid w:val="00A03D8F"/>
    <w:rsid w:val="00A20D77"/>
    <w:rsid w:val="00A35F42"/>
    <w:rsid w:val="00A516A1"/>
    <w:rsid w:val="00A51C61"/>
    <w:rsid w:val="00A53FF1"/>
    <w:rsid w:val="00A56BB0"/>
    <w:rsid w:val="00A606F6"/>
    <w:rsid w:val="00A91585"/>
    <w:rsid w:val="00AA03C3"/>
    <w:rsid w:val="00AA375E"/>
    <w:rsid w:val="00AE490C"/>
    <w:rsid w:val="00AF272E"/>
    <w:rsid w:val="00AF6CD4"/>
    <w:rsid w:val="00AF752C"/>
    <w:rsid w:val="00B01A2E"/>
    <w:rsid w:val="00B03179"/>
    <w:rsid w:val="00B15A3C"/>
    <w:rsid w:val="00B51262"/>
    <w:rsid w:val="00B54A04"/>
    <w:rsid w:val="00B55166"/>
    <w:rsid w:val="00B6172B"/>
    <w:rsid w:val="00B72C3B"/>
    <w:rsid w:val="00B848DA"/>
    <w:rsid w:val="00B87A9B"/>
    <w:rsid w:val="00B94451"/>
    <w:rsid w:val="00B95422"/>
    <w:rsid w:val="00B97231"/>
    <w:rsid w:val="00BA7F26"/>
    <w:rsid w:val="00BB38DC"/>
    <w:rsid w:val="00BB6B42"/>
    <w:rsid w:val="00C23061"/>
    <w:rsid w:val="00C233D7"/>
    <w:rsid w:val="00C23E58"/>
    <w:rsid w:val="00C25D49"/>
    <w:rsid w:val="00C36E6F"/>
    <w:rsid w:val="00C406D4"/>
    <w:rsid w:val="00C46D6E"/>
    <w:rsid w:val="00C81F7F"/>
    <w:rsid w:val="00C84556"/>
    <w:rsid w:val="00C85D6A"/>
    <w:rsid w:val="00C85F05"/>
    <w:rsid w:val="00C90B49"/>
    <w:rsid w:val="00C94FB5"/>
    <w:rsid w:val="00CB1EB8"/>
    <w:rsid w:val="00CC0B85"/>
    <w:rsid w:val="00CD51B8"/>
    <w:rsid w:val="00CE4670"/>
    <w:rsid w:val="00D25006"/>
    <w:rsid w:val="00D8149C"/>
    <w:rsid w:val="00D81629"/>
    <w:rsid w:val="00DA380F"/>
    <w:rsid w:val="00DA6CDB"/>
    <w:rsid w:val="00DC5CFA"/>
    <w:rsid w:val="00DD5C74"/>
    <w:rsid w:val="00DD66F8"/>
    <w:rsid w:val="00DE6283"/>
    <w:rsid w:val="00E00B86"/>
    <w:rsid w:val="00E05395"/>
    <w:rsid w:val="00E0747D"/>
    <w:rsid w:val="00E1503F"/>
    <w:rsid w:val="00E30600"/>
    <w:rsid w:val="00E32E81"/>
    <w:rsid w:val="00E33288"/>
    <w:rsid w:val="00E423AD"/>
    <w:rsid w:val="00E65E6B"/>
    <w:rsid w:val="00E75811"/>
    <w:rsid w:val="00E92D05"/>
    <w:rsid w:val="00E9768A"/>
    <w:rsid w:val="00EA244B"/>
    <w:rsid w:val="00EA2913"/>
    <w:rsid w:val="00EA4458"/>
    <w:rsid w:val="00EB5D5C"/>
    <w:rsid w:val="00EB7034"/>
    <w:rsid w:val="00EC11F9"/>
    <w:rsid w:val="00EC21C2"/>
    <w:rsid w:val="00EC43E5"/>
    <w:rsid w:val="00ED6DCA"/>
    <w:rsid w:val="00EF243C"/>
    <w:rsid w:val="00EF4C6A"/>
    <w:rsid w:val="00F012C1"/>
    <w:rsid w:val="00F04AD7"/>
    <w:rsid w:val="00F10369"/>
    <w:rsid w:val="00F1057E"/>
    <w:rsid w:val="00F1581E"/>
    <w:rsid w:val="00F20012"/>
    <w:rsid w:val="00F2095F"/>
    <w:rsid w:val="00F23D7D"/>
    <w:rsid w:val="00F4488A"/>
    <w:rsid w:val="00F572BA"/>
    <w:rsid w:val="00F60F42"/>
    <w:rsid w:val="00F70668"/>
    <w:rsid w:val="00F802D0"/>
    <w:rsid w:val="00F840C2"/>
    <w:rsid w:val="00FA3A79"/>
    <w:rsid w:val="00FB59B6"/>
    <w:rsid w:val="00FC08F6"/>
    <w:rsid w:val="00FC2B65"/>
    <w:rsid w:val="00FC5266"/>
    <w:rsid w:val="00FD4C43"/>
    <w:rsid w:val="00FE07E1"/>
    <w:rsid w:val="085609A8"/>
    <w:rsid w:val="09BB233B"/>
    <w:rsid w:val="0A5169D9"/>
    <w:rsid w:val="0EA73B06"/>
    <w:rsid w:val="14717F06"/>
    <w:rsid w:val="18890BB6"/>
    <w:rsid w:val="1AD04C79"/>
    <w:rsid w:val="1B7D0C7B"/>
    <w:rsid w:val="213A7AC7"/>
    <w:rsid w:val="24FF6B37"/>
    <w:rsid w:val="26C91935"/>
    <w:rsid w:val="27EA49FE"/>
    <w:rsid w:val="2A697CF6"/>
    <w:rsid w:val="2FBB35C5"/>
    <w:rsid w:val="31334742"/>
    <w:rsid w:val="3A73051B"/>
    <w:rsid w:val="3AEF5036"/>
    <w:rsid w:val="447F3DF3"/>
    <w:rsid w:val="44CC170E"/>
    <w:rsid w:val="470D5ABA"/>
    <w:rsid w:val="4B7501EB"/>
    <w:rsid w:val="4C1C7C39"/>
    <w:rsid w:val="50E173C4"/>
    <w:rsid w:val="51FFAB42"/>
    <w:rsid w:val="52ED6727"/>
    <w:rsid w:val="54400F8C"/>
    <w:rsid w:val="56421018"/>
    <w:rsid w:val="617F1F55"/>
    <w:rsid w:val="641D6317"/>
    <w:rsid w:val="642C4C99"/>
    <w:rsid w:val="64770879"/>
    <w:rsid w:val="649C2852"/>
    <w:rsid w:val="6BFB6211"/>
    <w:rsid w:val="6EC80F89"/>
    <w:rsid w:val="72E86240"/>
    <w:rsid w:val="73A05323"/>
    <w:rsid w:val="76EE0C20"/>
    <w:rsid w:val="77A17774"/>
    <w:rsid w:val="77E30A79"/>
    <w:rsid w:val="7FA10F87"/>
    <w:rsid w:val="7FFB5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401F45"/>
    <w:pPr>
      <w:outlineLvl w:val="0"/>
    </w:pPr>
    <w:rPr>
      <w:sz w:val="44"/>
    </w:rPr>
  </w:style>
  <w:style w:type="paragraph" w:styleId="2">
    <w:name w:val="heading 2"/>
    <w:basedOn w:val="3"/>
    <w:next w:val="a"/>
    <w:link w:val="2Char"/>
    <w:qFormat/>
    <w:rsid w:val="00401F45"/>
    <w:pPr>
      <w:outlineLvl w:val="1"/>
    </w:pPr>
  </w:style>
  <w:style w:type="paragraph" w:styleId="3">
    <w:name w:val="heading 3"/>
    <w:basedOn w:val="20"/>
    <w:next w:val="a"/>
    <w:link w:val="3Char"/>
    <w:qFormat/>
    <w:rsid w:val="00401F45"/>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kern w:val="0"/>
      <w:sz w:val="18"/>
      <w:szCs w:val="18"/>
    </w:rPr>
  </w:style>
  <w:style w:type="paragraph" w:styleId="a5">
    <w:name w:val="footer"/>
    <w:basedOn w:val="a"/>
    <w:link w:val="Char1"/>
    <w:uiPriority w:val="99"/>
    <w:unhideWhenUsed/>
    <w:qFormat/>
    <w:pPr>
      <w:tabs>
        <w:tab w:val="center" w:pos="4153"/>
        <w:tab w:val="right" w:pos="8306"/>
      </w:tabs>
      <w:snapToGrid w:val="0"/>
      <w:jc w:val="left"/>
    </w:pPr>
    <w:rPr>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7">
    <w:name w:val="annotation subject"/>
    <w:basedOn w:val="a3"/>
    <w:next w:val="a3"/>
    <w:link w:val="Char3"/>
    <w:uiPriority w:val="99"/>
    <w:unhideWhenUsed/>
    <w:qFormat/>
    <w:rPr>
      <w:b/>
      <w:bCs/>
    </w:rPr>
  </w:style>
  <w:style w:type="character" w:styleId="a8">
    <w:name w:val="annotation reference"/>
    <w:uiPriority w:val="99"/>
    <w:unhideWhenUsed/>
    <w:qFormat/>
    <w:rPr>
      <w:sz w:val="21"/>
      <w:szCs w:val="21"/>
    </w:rPr>
  </w:style>
  <w:style w:type="character" w:customStyle="1" w:styleId="Char">
    <w:name w:val="批注文字 Char"/>
    <w:link w:val="a3"/>
    <w:uiPriority w:val="99"/>
    <w:qFormat/>
    <w:rPr>
      <w:kern w:val="2"/>
      <w:sz w:val="21"/>
      <w:szCs w:val="22"/>
    </w:rPr>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qFormat/>
    <w:rPr>
      <w:sz w:val="18"/>
      <w:szCs w:val="18"/>
    </w:rPr>
  </w:style>
  <w:style w:type="character" w:customStyle="1" w:styleId="Char3">
    <w:name w:val="批注主题 Char"/>
    <w:link w:val="a7"/>
    <w:uiPriority w:val="99"/>
    <w:semiHidden/>
    <w:qFormat/>
    <w:rPr>
      <w:b/>
      <w:bCs/>
      <w:kern w:val="2"/>
      <w:sz w:val="21"/>
      <w:szCs w:val="22"/>
    </w:rPr>
  </w:style>
  <w:style w:type="character" w:customStyle="1" w:styleId="10">
    <w:name w:val="占位符文本1"/>
    <w:uiPriority w:val="99"/>
    <w:semiHidden/>
    <w:qFormat/>
    <w:rPr>
      <w:color w:val="808080"/>
    </w:rPr>
  </w:style>
  <w:style w:type="paragraph" w:customStyle="1" w:styleId="11">
    <w:name w:val="列出段落1"/>
    <w:basedOn w:val="a"/>
    <w:uiPriority w:val="34"/>
    <w:qFormat/>
    <w:pPr>
      <w:ind w:firstLineChars="200" w:firstLine="420"/>
    </w:pPr>
  </w:style>
  <w:style w:type="paragraph" w:styleId="a9">
    <w:name w:val="Title"/>
    <w:basedOn w:val="aa"/>
    <w:next w:val="a"/>
    <w:link w:val="Char4"/>
    <w:qFormat/>
    <w:rsid w:val="00401F45"/>
    <w:pPr>
      <w:jc w:val="center"/>
    </w:pPr>
    <w:rPr>
      <w:rFonts w:ascii="仿宋_GB2312" w:eastAsia="仿宋_GB2312" w:hAnsi="仿宋"/>
      <w:szCs w:val="24"/>
    </w:rPr>
  </w:style>
  <w:style w:type="character" w:customStyle="1" w:styleId="Char4">
    <w:name w:val="标题 Char"/>
    <w:basedOn w:val="a0"/>
    <w:link w:val="a9"/>
    <w:qFormat/>
    <w:rsid w:val="00401F45"/>
    <w:rPr>
      <w:rFonts w:ascii="仿宋_GB2312" w:eastAsia="仿宋_GB2312" w:hAnsi="仿宋"/>
      <w:kern w:val="2"/>
      <w:sz w:val="21"/>
      <w:szCs w:val="24"/>
    </w:rPr>
  </w:style>
  <w:style w:type="paragraph" w:styleId="aa">
    <w:name w:val="Body Text"/>
    <w:basedOn w:val="a"/>
    <w:link w:val="Char5"/>
    <w:uiPriority w:val="99"/>
    <w:semiHidden/>
    <w:unhideWhenUsed/>
    <w:rsid w:val="00401F45"/>
    <w:pPr>
      <w:spacing w:after="120"/>
    </w:pPr>
  </w:style>
  <w:style w:type="character" w:customStyle="1" w:styleId="Char5">
    <w:name w:val="正文文本 Char"/>
    <w:basedOn w:val="a0"/>
    <w:link w:val="aa"/>
    <w:uiPriority w:val="99"/>
    <w:semiHidden/>
    <w:rsid w:val="00401F45"/>
    <w:rPr>
      <w:kern w:val="2"/>
      <w:sz w:val="21"/>
      <w:szCs w:val="22"/>
    </w:rPr>
  </w:style>
  <w:style w:type="character" w:customStyle="1" w:styleId="2Char">
    <w:name w:val="标题 2 Char"/>
    <w:basedOn w:val="a0"/>
    <w:link w:val="2"/>
    <w:qFormat/>
    <w:rsid w:val="00401F45"/>
    <w:rPr>
      <w:rFonts w:ascii="黑体" w:eastAsia="黑体" w:hAnsi="黑体"/>
      <w:smallCaps/>
      <w:kern w:val="2"/>
      <w:sz w:val="30"/>
      <w:szCs w:val="30"/>
    </w:rPr>
  </w:style>
  <w:style w:type="paragraph" w:styleId="12">
    <w:name w:val="toc 1"/>
    <w:basedOn w:val="a"/>
    <w:next w:val="a"/>
    <w:autoRedefine/>
    <w:uiPriority w:val="39"/>
    <w:semiHidden/>
    <w:unhideWhenUsed/>
    <w:rsid w:val="00401F45"/>
  </w:style>
  <w:style w:type="character" w:customStyle="1" w:styleId="1Char">
    <w:name w:val="标题 1 Char"/>
    <w:basedOn w:val="a0"/>
    <w:link w:val="1"/>
    <w:uiPriority w:val="9"/>
    <w:rsid w:val="00401F45"/>
    <w:rPr>
      <w:rFonts w:ascii="黑体" w:eastAsia="黑体" w:hAnsi="黑体"/>
      <w:bCs/>
      <w:caps/>
      <w:kern w:val="2"/>
      <w:sz w:val="44"/>
      <w:szCs w:val="32"/>
    </w:rPr>
  </w:style>
  <w:style w:type="character" w:customStyle="1" w:styleId="3Char">
    <w:name w:val="标题 3 Char"/>
    <w:basedOn w:val="a0"/>
    <w:link w:val="3"/>
    <w:qFormat/>
    <w:rsid w:val="00401F45"/>
    <w:rPr>
      <w:rFonts w:ascii="黑体" w:eastAsia="黑体" w:hAnsi="黑体"/>
      <w:smallCaps/>
      <w:kern w:val="2"/>
      <w:sz w:val="30"/>
      <w:szCs w:val="30"/>
    </w:rPr>
  </w:style>
  <w:style w:type="paragraph" w:styleId="20">
    <w:name w:val="toc 2"/>
    <w:basedOn w:val="a"/>
    <w:next w:val="a"/>
    <w:autoRedefine/>
    <w:uiPriority w:val="39"/>
    <w:semiHidden/>
    <w:unhideWhenUsed/>
    <w:rsid w:val="00401F45"/>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401F45"/>
    <w:pPr>
      <w:outlineLvl w:val="0"/>
    </w:pPr>
    <w:rPr>
      <w:sz w:val="44"/>
    </w:rPr>
  </w:style>
  <w:style w:type="paragraph" w:styleId="2">
    <w:name w:val="heading 2"/>
    <w:basedOn w:val="3"/>
    <w:next w:val="a"/>
    <w:link w:val="2Char"/>
    <w:qFormat/>
    <w:rsid w:val="00401F45"/>
    <w:pPr>
      <w:outlineLvl w:val="1"/>
    </w:pPr>
  </w:style>
  <w:style w:type="paragraph" w:styleId="3">
    <w:name w:val="heading 3"/>
    <w:basedOn w:val="20"/>
    <w:next w:val="a"/>
    <w:link w:val="3Char"/>
    <w:qFormat/>
    <w:rsid w:val="00401F45"/>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kern w:val="0"/>
      <w:sz w:val="18"/>
      <w:szCs w:val="18"/>
    </w:rPr>
  </w:style>
  <w:style w:type="paragraph" w:styleId="a5">
    <w:name w:val="footer"/>
    <w:basedOn w:val="a"/>
    <w:link w:val="Char1"/>
    <w:uiPriority w:val="99"/>
    <w:unhideWhenUsed/>
    <w:qFormat/>
    <w:pPr>
      <w:tabs>
        <w:tab w:val="center" w:pos="4153"/>
        <w:tab w:val="right" w:pos="8306"/>
      </w:tabs>
      <w:snapToGrid w:val="0"/>
      <w:jc w:val="left"/>
    </w:pPr>
    <w:rPr>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7">
    <w:name w:val="annotation subject"/>
    <w:basedOn w:val="a3"/>
    <w:next w:val="a3"/>
    <w:link w:val="Char3"/>
    <w:uiPriority w:val="99"/>
    <w:unhideWhenUsed/>
    <w:qFormat/>
    <w:rPr>
      <w:b/>
      <w:bCs/>
    </w:rPr>
  </w:style>
  <w:style w:type="character" w:styleId="a8">
    <w:name w:val="annotation reference"/>
    <w:uiPriority w:val="99"/>
    <w:unhideWhenUsed/>
    <w:qFormat/>
    <w:rPr>
      <w:sz w:val="21"/>
      <w:szCs w:val="21"/>
    </w:rPr>
  </w:style>
  <w:style w:type="character" w:customStyle="1" w:styleId="Char">
    <w:name w:val="批注文字 Char"/>
    <w:link w:val="a3"/>
    <w:uiPriority w:val="99"/>
    <w:qFormat/>
    <w:rPr>
      <w:kern w:val="2"/>
      <w:sz w:val="21"/>
      <w:szCs w:val="22"/>
    </w:rPr>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qFormat/>
    <w:rPr>
      <w:sz w:val="18"/>
      <w:szCs w:val="18"/>
    </w:rPr>
  </w:style>
  <w:style w:type="character" w:customStyle="1" w:styleId="Char3">
    <w:name w:val="批注主题 Char"/>
    <w:link w:val="a7"/>
    <w:uiPriority w:val="99"/>
    <w:semiHidden/>
    <w:qFormat/>
    <w:rPr>
      <w:b/>
      <w:bCs/>
      <w:kern w:val="2"/>
      <w:sz w:val="21"/>
      <w:szCs w:val="22"/>
    </w:rPr>
  </w:style>
  <w:style w:type="character" w:customStyle="1" w:styleId="10">
    <w:name w:val="占位符文本1"/>
    <w:uiPriority w:val="99"/>
    <w:semiHidden/>
    <w:qFormat/>
    <w:rPr>
      <w:color w:val="808080"/>
    </w:rPr>
  </w:style>
  <w:style w:type="paragraph" w:customStyle="1" w:styleId="11">
    <w:name w:val="列出段落1"/>
    <w:basedOn w:val="a"/>
    <w:uiPriority w:val="34"/>
    <w:qFormat/>
    <w:pPr>
      <w:ind w:firstLineChars="200" w:firstLine="420"/>
    </w:pPr>
  </w:style>
  <w:style w:type="paragraph" w:styleId="a9">
    <w:name w:val="Title"/>
    <w:basedOn w:val="aa"/>
    <w:next w:val="a"/>
    <w:link w:val="Char4"/>
    <w:qFormat/>
    <w:rsid w:val="00401F45"/>
    <w:pPr>
      <w:jc w:val="center"/>
    </w:pPr>
    <w:rPr>
      <w:rFonts w:ascii="仿宋_GB2312" w:eastAsia="仿宋_GB2312" w:hAnsi="仿宋"/>
      <w:szCs w:val="24"/>
    </w:rPr>
  </w:style>
  <w:style w:type="character" w:customStyle="1" w:styleId="Char4">
    <w:name w:val="标题 Char"/>
    <w:basedOn w:val="a0"/>
    <w:link w:val="a9"/>
    <w:qFormat/>
    <w:rsid w:val="00401F45"/>
    <w:rPr>
      <w:rFonts w:ascii="仿宋_GB2312" w:eastAsia="仿宋_GB2312" w:hAnsi="仿宋"/>
      <w:kern w:val="2"/>
      <w:sz w:val="21"/>
      <w:szCs w:val="24"/>
    </w:rPr>
  </w:style>
  <w:style w:type="paragraph" w:styleId="aa">
    <w:name w:val="Body Text"/>
    <w:basedOn w:val="a"/>
    <w:link w:val="Char5"/>
    <w:uiPriority w:val="99"/>
    <w:semiHidden/>
    <w:unhideWhenUsed/>
    <w:rsid w:val="00401F45"/>
    <w:pPr>
      <w:spacing w:after="120"/>
    </w:pPr>
  </w:style>
  <w:style w:type="character" w:customStyle="1" w:styleId="Char5">
    <w:name w:val="正文文本 Char"/>
    <w:basedOn w:val="a0"/>
    <w:link w:val="aa"/>
    <w:uiPriority w:val="99"/>
    <w:semiHidden/>
    <w:rsid w:val="00401F45"/>
    <w:rPr>
      <w:kern w:val="2"/>
      <w:sz w:val="21"/>
      <w:szCs w:val="22"/>
    </w:rPr>
  </w:style>
  <w:style w:type="character" w:customStyle="1" w:styleId="2Char">
    <w:name w:val="标题 2 Char"/>
    <w:basedOn w:val="a0"/>
    <w:link w:val="2"/>
    <w:qFormat/>
    <w:rsid w:val="00401F45"/>
    <w:rPr>
      <w:rFonts w:ascii="黑体" w:eastAsia="黑体" w:hAnsi="黑体"/>
      <w:smallCaps/>
      <w:kern w:val="2"/>
      <w:sz w:val="30"/>
      <w:szCs w:val="30"/>
    </w:rPr>
  </w:style>
  <w:style w:type="paragraph" w:styleId="12">
    <w:name w:val="toc 1"/>
    <w:basedOn w:val="a"/>
    <w:next w:val="a"/>
    <w:autoRedefine/>
    <w:uiPriority w:val="39"/>
    <w:semiHidden/>
    <w:unhideWhenUsed/>
    <w:rsid w:val="00401F45"/>
  </w:style>
  <w:style w:type="character" w:customStyle="1" w:styleId="1Char">
    <w:name w:val="标题 1 Char"/>
    <w:basedOn w:val="a0"/>
    <w:link w:val="1"/>
    <w:uiPriority w:val="9"/>
    <w:rsid w:val="00401F45"/>
    <w:rPr>
      <w:rFonts w:ascii="黑体" w:eastAsia="黑体" w:hAnsi="黑体"/>
      <w:bCs/>
      <w:caps/>
      <w:kern w:val="2"/>
      <w:sz w:val="44"/>
      <w:szCs w:val="32"/>
    </w:rPr>
  </w:style>
  <w:style w:type="character" w:customStyle="1" w:styleId="3Char">
    <w:name w:val="标题 3 Char"/>
    <w:basedOn w:val="a0"/>
    <w:link w:val="3"/>
    <w:qFormat/>
    <w:rsid w:val="00401F45"/>
    <w:rPr>
      <w:rFonts w:ascii="黑体" w:eastAsia="黑体" w:hAnsi="黑体"/>
      <w:smallCaps/>
      <w:kern w:val="2"/>
      <w:sz w:val="30"/>
      <w:szCs w:val="30"/>
    </w:rPr>
  </w:style>
  <w:style w:type="paragraph" w:styleId="20">
    <w:name w:val="toc 2"/>
    <w:basedOn w:val="a"/>
    <w:next w:val="a"/>
    <w:autoRedefine/>
    <w:uiPriority w:val="39"/>
    <w:semiHidden/>
    <w:unhideWhenUsed/>
    <w:rsid w:val="00401F45"/>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2460</Words>
  <Characters>249</Characters>
  <Application>Microsoft Office Word</Application>
  <DocSecurity>0</DocSecurity>
  <Lines>2</Lines>
  <Paragraphs>5</Paragraphs>
  <ScaleCrop>false</ScaleCrop>
  <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附件13</dc:title>
  <dc:creator>feiying</dc:creator>
  <cp:lastModifiedBy>梁爽</cp:lastModifiedBy>
  <cp:revision>14</cp:revision>
  <cp:lastPrinted>2020-09-24T22:44:00Z</cp:lastPrinted>
  <dcterms:created xsi:type="dcterms:W3CDTF">2020-09-24T22:27:00Z</dcterms:created>
  <dcterms:modified xsi:type="dcterms:W3CDTF">2023-02-17T10:06:00Z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945E63F717E94A82B985889B36CCD633</vt:lpwstr>
  </property>
</Properties>
</file>