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5CE" w:rsidRDefault="00294C0B">
      <w:pPr>
        <w:pStyle w:val="af1"/>
        <w:jc w:val="left"/>
        <w:rPr>
          <w:rFonts w:ascii="楷体_GB2312" w:eastAsia="楷体_GB2312"/>
          <w:sz w:val="32"/>
          <w:szCs w:val="30"/>
        </w:rPr>
      </w:pPr>
      <w:bookmarkStart w:id="0" w:name="_GoBack"/>
      <w:bookmarkEnd w:id="0"/>
      <w:r>
        <w:rPr>
          <w:rFonts w:ascii="楷体_GB2312" w:eastAsia="楷体_GB2312" w:hint="eastAsia"/>
          <w:sz w:val="32"/>
          <w:szCs w:val="30"/>
        </w:rPr>
        <w:t>附件</w:t>
      </w:r>
      <w:r>
        <w:rPr>
          <w:rFonts w:ascii="楷体_GB2312" w:eastAsia="楷体_GB2312"/>
          <w:sz w:val="32"/>
          <w:szCs w:val="30"/>
        </w:rPr>
        <w:t>15</w:t>
      </w:r>
      <w:r>
        <w:rPr>
          <w:rFonts w:ascii="楷体_GB2312" w:eastAsia="楷体_GB2312" w:hint="eastAsia"/>
          <w:sz w:val="32"/>
          <w:szCs w:val="30"/>
        </w:rPr>
        <w:t>：</w:t>
      </w:r>
    </w:p>
    <w:p w:rsidR="000F35CE" w:rsidRDefault="00294C0B">
      <w:pPr>
        <w:pStyle w:val="20"/>
        <w:spacing w:before="120" w:after="120"/>
        <w:ind w:firstLineChars="0" w:firstLine="0"/>
        <w:jc w:val="center"/>
        <w:rPr>
          <w:bCs/>
          <w:caps/>
          <w:smallCaps w:val="0"/>
          <w:sz w:val="44"/>
          <w:szCs w:val="32"/>
        </w:rPr>
      </w:pPr>
      <w:bookmarkStart w:id="1" w:name="_Hlk48900193"/>
      <w:r>
        <w:rPr>
          <w:rFonts w:hint="eastAsia"/>
          <w:bCs/>
          <w:caps/>
          <w:smallCaps w:val="0"/>
          <w:sz w:val="44"/>
          <w:szCs w:val="32"/>
        </w:rPr>
        <w:t>市场风险内部模型法监管要求</w:t>
      </w:r>
    </w:p>
    <w:bookmarkEnd w:id="1"/>
    <w:p w:rsidR="000F35CE" w:rsidRDefault="000F35CE">
      <w:pPr>
        <w:widowControl/>
        <w:spacing w:line="480" w:lineRule="exact"/>
        <w:ind w:firstLineChars="200" w:firstLine="602"/>
        <w:jc w:val="center"/>
        <w:rPr>
          <w:rFonts w:ascii="仿宋_GB2312" w:eastAsia="仿宋_GB2312" w:hAnsi="宋体" w:cs="宋体"/>
          <w:b/>
          <w:color w:val="000000"/>
          <w:kern w:val="0"/>
          <w:sz w:val="30"/>
          <w:szCs w:val="30"/>
        </w:rPr>
      </w:pPr>
    </w:p>
    <w:p w:rsidR="000F35CE" w:rsidRDefault="00294C0B">
      <w:pPr>
        <w:pStyle w:val="20"/>
      </w:pPr>
      <w:r>
        <w:rPr>
          <w:rFonts w:hint="eastAsia"/>
        </w:rPr>
        <w:t>一、</w:t>
      </w:r>
      <w:bookmarkStart w:id="2" w:name="_Hlk48835873"/>
      <w:r>
        <w:rPr>
          <w:rFonts w:hint="eastAsia"/>
        </w:rPr>
        <w:t>内部模型法应涵盖的</w:t>
      </w:r>
      <w:bookmarkEnd w:id="2"/>
      <w:r>
        <w:rPr>
          <w:rFonts w:hint="eastAsia"/>
        </w:rPr>
        <w:t>风险因子</w:t>
      </w:r>
    </w:p>
    <w:p w:rsidR="000F35CE" w:rsidRDefault="00294C0B">
      <w:pPr>
        <w:spacing w:line="480" w:lineRule="exact"/>
        <w:ind w:firstLineChars="200" w:firstLine="600"/>
        <w:outlineLvl w:val="1"/>
        <w:rPr>
          <w:rFonts w:ascii="楷体_GB2312" w:eastAsia="楷体_GB2312"/>
          <w:bCs/>
          <w:color w:val="000000"/>
          <w:sz w:val="30"/>
          <w:szCs w:val="30"/>
        </w:rPr>
      </w:pPr>
      <w:r>
        <w:rPr>
          <w:rFonts w:ascii="楷体_GB2312" w:eastAsia="楷体_GB2312" w:hint="eastAsia"/>
          <w:bCs/>
          <w:color w:val="000000"/>
          <w:sz w:val="30"/>
          <w:szCs w:val="30"/>
        </w:rPr>
        <w:t>（一）一般利率风险</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1．商业银行的内部模型应涵盖每一种计价货币的利率所对应的一系列风险因子。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2．商业银行应使用业内普遍接受的方法构建内部模型使用的收益率曲线。该收益率曲线应划分为不同的到期时间，以反映收益率的期限结构变化，每个到期时间都应对应一个风险因子。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w:t>
      </w:r>
      <w:r w:rsidRPr="0083785F">
        <w:rPr>
          <w:rFonts w:ascii="仿宋_GB2312" w:eastAsia="仿宋_GB2312" w:hint="eastAsia"/>
          <w:color w:val="000000"/>
          <w:sz w:val="30"/>
          <w:szCs w:val="30"/>
        </w:rPr>
        <w:t>．</w:t>
      </w:r>
      <w:r>
        <w:rPr>
          <w:rFonts w:ascii="仿宋_GB2312" w:eastAsia="仿宋_GB2312" w:hint="eastAsia"/>
          <w:color w:val="000000"/>
          <w:sz w:val="30"/>
          <w:szCs w:val="30"/>
        </w:rPr>
        <w:t>对于风险暴露较大的主要货币和主要市场的利率变化，商业银行应使用至少六个风险因子构建收益率曲线。风险因子的数量应最终由商业银行交易策略的复杂程度决定。</w:t>
      </w:r>
    </w:p>
    <w:p w:rsidR="000F35CE" w:rsidRDefault="00294C0B">
      <w:pPr>
        <w:spacing w:line="480" w:lineRule="exact"/>
        <w:ind w:firstLineChars="200" w:firstLine="600"/>
        <w:outlineLvl w:val="1"/>
        <w:rPr>
          <w:rFonts w:ascii="楷体_GB2312" w:eastAsia="楷体_GB2312"/>
          <w:bCs/>
          <w:color w:val="000000"/>
          <w:sz w:val="30"/>
          <w:szCs w:val="30"/>
        </w:rPr>
      </w:pPr>
      <w:r>
        <w:rPr>
          <w:rFonts w:ascii="楷体_GB2312" w:eastAsia="楷体_GB2312" w:hint="eastAsia"/>
          <w:bCs/>
          <w:color w:val="000000"/>
          <w:sz w:val="30"/>
          <w:szCs w:val="30"/>
        </w:rPr>
        <w:t>（二）</w:t>
      </w:r>
      <w:bookmarkStart w:id="3" w:name="_Hlk48836149"/>
      <w:r>
        <w:rPr>
          <w:rFonts w:ascii="楷体_GB2312" w:eastAsia="楷体_GB2312" w:hint="eastAsia"/>
          <w:bCs/>
          <w:color w:val="000000"/>
          <w:sz w:val="30"/>
          <w:szCs w:val="30"/>
        </w:rPr>
        <w:t>信用利差风险</w:t>
      </w:r>
      <w:bookmarkEnd w:id="3"/>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1．风险因子应能独立反映主要的利差风险（如债券利率与无风险利率之间的信用利差），以衡量利率工具收益率曲线与无风险收益率曲线波动的非完全相关性。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2．商业银行可根据无风险收益率曲线剥离出信用利差曲线，识别风险因子时应考虑到期时间、信用主体风险特征等因素。</w:t>
      </w:r>
    </w:p>
    <w:p w:rsidR="000F35CE" w:rsidRDefault="00294C0B">
      <w:pPr>
        <w:spacing w:line="480" w:lineRule="exact"/>
        <w:ind w:firstLineChars="200" w:firstLine="600"/>
        <w:outlineLvl w:val="1"/>
        <w:rPr>
          <w:rFonts w:ascii="楷体_GB2312" w:eastAsia="楷体_GB2312"/>
          <w:bCs/>
          <w:color w:val="000000"/>
          <w:sz w:val="30"/>
          <w:szCs w:val="30"/>
        </w:rPr>
      </w:pPr>
      <w:r>
        <w:rPr>
          <w:rFonts w:ascii="楷体_GB2312" w:eastAsia="楷体_GB2312" w:hint="eastAsia"/>
          <w:bCs/>
          <w:color w:val="000000"/>
          <w:sz w:val="30"/>
          <w:szCs w:val="30"/>
        </w:rPr>
        <w:t>（三）</w:t>
      </w:r>
      <w:bookmarkStart w:id="4" w:name="_Hlk48836156"/>
      <w:r>
        <w:rPr>
          <w:rFonts w:ascii="楷体_GB2312" w:eastAsia="楷体_GB2312" w:hint="eastAsia"/>
          <w:bCs/>
          <w:color w:val="000000"/>
          <w:sz w:val="30"/>
          <w:szCs w:val="30"/>
        </w:rPr>
        <w:t>股票风险</w:t>
      </w:r>
      <w:bookmarkEnd w:id="4"/>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1．商业银行的内部模型应包含与商业银行所持有的每个较大股票头寸所属交易市场相对应的风险因子。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2．对每个股票市场，内部模型中至少应包含一个用于反映股价变动的综合市场风险因子（如股指）。投资于个股或行业股指的头寸可表述为与该综合市场风险因子相对应的“贝塔（beta）</w:t>
      </w:r>
      <w:r>
        <w:rPr>
          <w:rFonts w:ascii="仿宋_GB2312" w:eastAsia="仿宋_GB2312" w:hint="eastAsia"/>
          <w:color w:val="000000"/>
          <w:sz w:val="30"/>
          <w:szCs w:val="30"/>
        </w:rPr>
        <w:lastRenderedPageBreak/>
        <w:t>等值”，即以贝塔（beta）表示其相对于综合市场风险因子的波动弹性。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w:t>
      </w:r>
      <w:r w:rsidRPr="0083785F">
        <w:rPr>
          <w:rFonts w:ascii="仿宋_GB2312" w:eastAsia="仿宋_GB2312" w:hint="eastAsia"/>
          <w:color w:val="000000"/>
          <w:sz w:val="30"/>
          <w:szCs w:val="30"/>
        </w:rPr>
        <w:t>．</w:t>
      </w:r>
      <w:r>
        <w:rPr>
          <w:rFonts w:ascii="仿宋_GB2312" w:eastAsia="仿宋_GB2312" w:hint="eastAsia"/>
          <w:color w:val="000000"/>
          <w:sz w:val="30"/>
          <w:szCs w:val="30"/>
        </w:rPr>
        <w:t>鼓励商业银行在内部模型中使用市场的不同行业所对应的风险因子，如制造业、周期性及非周期性行业等。最审慎的做法是对每支股票的波动性都设立风险因子。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w:t>
      </w:r>
      <w:r>
        <w:rPr>
          <w:rFonts w:ascii="楷体_GB2312" w:eastAsia="楷体_GB2312" w:hint="eastAsia"/>
          <w:b/>
          <w:color w:val="000000"/>
          <w:sz w:val="30"/>
          <w:szCs w:val="30"/>
        </w:rPr>
        <w:t>．</w:t>
      </w:r>
      <w:r>
        <w:rPr>
          <w:rFonts w:ascii="仿宋_GB2312" w:eastAsia="仿宋_GB2312" w:hint="eastAsia"/>
          <w:color w:val="000000"/>
          <w:sz w:val="30"/>
          <w:szCs w:val="30"/>
        </w:rPr>
        <w:t>对于一个给定的市场，建模技术的特点及复杂程度应与商业银行对该市场的风险暴露以及个股的集中度相匹配。</w:t>
      </w:r>
    </w:p>
    <w:p w:rsidR="000F35CE" w:rsidRDefault="00294C0B">
      <w:pPr>
        <w:spacing w:line="480" w:lineRule="exact"/>
        <w:ind w:firstLineChars="200" w:firstLine="600"/>
        <w:outlineLvl w:val="1"/>
        <w:rPr>
          <w:rFonts w:ascii="楷体_GB2312" w:eastAsia="楷体_GB2312"/>
          <w:bCs/>
          <w:color w:val="000000"/>
          <w:sz w:val="30"/>
          <w:szCs w:val="30"/>
        </w:rPr>
      </w:pPr>
      <w:r>
        <w:rPr>
          <w:rFonts w:ascii="楷体_GB2312" w:eastAsia="楷体_GB2312" w:hint="eastAsia"/>
          <w:bCs/>
          <w:color w:val="000000"/>
          <w:sz w:val="30"/>
          <w:szCs w:val="30"/>
        </w:rPr>
        <w:t>（四）</w:t>
      </w:r>
      <w:bookmarkStart w:id="5" w:name="_Hlk48836165"/>
      <w:r>
        <w:rPr>
          <w:rFonts w:ascii="楷体_GB2312" w:eastAsia="楷体_GB2312" w:hint="eastAsia"/>
          <w:bCs/>
          <w:color w:val="000000"/>
          <w:sz w:val="30"/>
          <w:szCs w:val="30"/>
        </w:rPr>
        <w:t>汇率风险</w:t>
      </w:r>
      <w:bookmarkEnd w:id="5"/>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内部模型中应包含与商业银行所持有的每一种风险暴露较大的外币与本币汇率相对应的风险因子。</w:t>
      </w:r>
    </w:p>
    <w:p w:rsidR="000F35CE" w:rsidRDefault="00294C0B">
      <w:pPr>
        <w:spacing w:line="480" w:lineRule="exact"/>
        <w:ind w:firstLineChars="200" w:firstLine="600"/>
        <w:outlineLvl w:val="1"/>
        <w:rPr>
          <w:rFonts w:ascii="楷体_GB2312" w:eastAsia="楷体_GB2312"/>
          <w:bCs/>
          <w:color w:val="000000"/>
          <w:sz w:val="30"/>
          <w:szCs w:val="30"/>
        </w:rPr>
      </w:pPr>
      <w:r>
        <w:rPr>
          <w:rFonts w:ascii="楷体_GB2312" w:eastAsia="楷体_GB2312" w:hint="eastAsia"/>
          <w:bCs/>
          <w:color w:val="000000"/>
          <w:sz w:val="30"/>
          <w:szCs w:val="30"/>
        </w:rPr>
        <w:t>（五）</w:t>
      </w:r>
      <w:bookmarkStart w:id="6" w:name="_Hlk48836173"/>
      <w:r>
        <w:rPr>
          <w:rFonts w:ascii="楷体_GB2312" w:eastAsia="楷体_GB2312" w:hint="eastAsia"/>
          <w:bCs/>
          <w:color w:val="000000"/>
          <w:sz w:val="30"/>
          <w:szCs w:val="30"/>
        </w:rPr>
        <w:t>商品风险</w:t>
      </w:r>
      <w:bookmarkEnd w:id="6"/>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1．内部模型应包含与商业银行所持有的每个较大商品头寸（含黄金）所属交易市场相对应的风险因子。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．对于交易比较活跃的商品，内部模型应考虑衍生工具头寸（如远期、掉期）和实物商品之间“便利收益率”的不同。</w:t>
      </w:r>
    </w:p>
    <w:p w:rsidR="000F35CE" w:rsidRDefault="00294C0B">
      <w:pPr>
        <w:spacing w:line="480" w:lineRule="exact"/>
        <w:ind w:firstLineChars="200" w:firstLine="600"/>
        <w:outlineLvl w:val="1"/>
        <w:rPr>
          <w:rFonts w:ascii="楷体_GB2312" w:eastAsia="楷体_GB2312"/>
          <w:bCs/>
          <w:color w:val="000000"/>
          <w:sz w:val="30"/>
          <w:szCs w:val="30"/>
        </w:rPr>
      </w:pPr>
      <w:bookmarkStart w:id="7" w:name="OLE_LINK6"/>
      <w:r>
        <w:rPr>
          <w:rFonts w:ascii="楷体_GB2312" w:eastAsia="楷体_GB2312" w:hint="eastAsia"/>
          <w:bCs/>
          <w:color w:val="000000"/>
          <w:sz w:val="30"/>
          <w:szCs w:val="30"/>
        </w:rPr>
        <w:t>（六）</w:t>
      </w:r>
      <w:bookmarkStart w:id="8" w:name="_Hlk48836182"/>
      <w:r>
        <w:rPr>
          <w:rFonts w:ascii="楷体_GB2312" w:eastAsia="楷体_GB2312" w:hint="eastAsia"/>
          <w:bCs/>
          <w:color w:val="000000"/>
          <w:sz w:val="30"/>
          <w:szCs w:val="30"/>
        </w:rPr>
        <w:t>其他</w:t>
      </w:r>
      <w:bookmarkEnd w:id="8"/>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1．内部模型和不可建模风险因子的压力情景应包含能有效反映与上述五大类别市场风险相关的期权性风险、基差风险和相关性风险等风险因子。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2．原则上，除证券化风险因子外，商业银行所使用的估值模型以及标准法中的风险因子都应包含在内部模型中。如未包含，则应说明其合理性。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3．对于符合本办法附件</w:t>
      </w:r>
      <w:r>
        <w:rPr>
          <w:rFonts w:ascii="仿宋_GB2312" w:eastAsia="仿宋_GB2312"/>
          <w:color w:val="000000"/>
          <w:sz w:val="30"/>
          <w:szCs w:val="30"/>
        </w:rPr>
        <w:t>13</w:t>
      </w:r>
      <w:r>
        <w:rPr>
          <w:rFonts w:ascii="仿宋_GB2312" w:eastAsia="仿宋_GB2312" w:hint="eastAsia"/>
          <w:color w:val="000000"/>
          <w:sz w:val="30"/>
          <w:szCs w:val="30"/>
        </w:rPr>
        <w:t>第一部分（四）6，即可穿透至底层资产的资产管理产品，商业银行应视为直接持有该资产管理产品底层头寸，并考虑银行在资产管理产品中投资的比例以及资产管理产品的杠杆放大效应。商业银行应将底层头寸分配给负责该</w:t>
      </w:r>
      <w:r>
        <w:rPr>
          <w:rFonts w:ascii="仿宋_GB2312" w:eastAsia="仿宋_GB2312" w:hint="eastAsia"/>
          <w:color w:val="000000"/>
          <w:sz w:val="30"/>
          <w:szCs w:val="30"/>
        </w:rPr>
        <w:lastRenderedPageBreak/>
        <w:t>资产管理产品的交易台。</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4．对于证券化产品和不符合上述标准的资产管理产品，商业银行应使用标准法计量资本要求。</w:t>
      </w:r>
    </w:p>
    <w:p w:rsidR="000F35CE" w:rsidRDefault="00294C0B">
      <w:pPr>
        <w:spacing w:line="480" w:lineRule="exact"/>
        <w:ind w:firstLineChars="200" w:firstLine="600"/>
        <w:rPr>
          <w:rFonts w:ascii="黑体" w:eastAsia="黑体" w:hAnsi="黑体"/>
          <w:b/>
          <w:color w:val="000000"/>
          <w:sz w:val="30"/>
          <w:szCs w:val="30"/>
        </w:rPr>
      </w:pPr>
      <w:r>
        <w:rPr>
          <w:rFonts w:ascii="仿宋_GB2312" w:eastAsia="仿宋_GB2312"/>
          <w:color w:val="000000"/>
          <w:sz w:val="30"/>
          <w:szCs w:val="30"/>
        </w:rPr>
        <w:t>5．</w:t>
      </w:r>
      <w:r>
        <w:rPr>
          <w:rFonts w:ascii="仿宋_GB2312" w:eastAsia="仿宋_GB2312" w:hint="eastAsia"/>
          <w:color w:val="000000"/>
          <w:sz w:val="30"/>
          <w:szCs w:val="30"/>
        </w:rPr>
        <w:t>经银保监会验收合格，商业银行可使用替代数据代表实际头寸（如股指替代股票）。商业银行应证明替代方案的逻辑性和合理性，并提供历史数据。</w:t>
      </w:r>
    </w:p>
    <w:bookmarkEnd w:id="7"/>
    <w:p w:rsidR="000F35CE" w:rsidRDefault="00294C0B">
      <w:pPr>
        <w:pStyle w:val="20"/>
        <w:rPr>
          <w:rFonts w:ascii="楷体" w:eastAsia="楷体" w:hAnsi="楷体" w:cs="宋体"/>
          <w:kern w:val="0"/>
        </w:rPr>
      </w:pPr>
      <w:r>
        <w:rPr>
          <w:rFonts w:hint="eastAsia"/>
        </w:rPr>
        <w:t>二、</w:t>
      </w:r>
      <w:bookmarkStart w:id="9" w:name="_Hlk48835888"/>
      <w:r>
        <w:rPr>
          <w:rFonts w:hint="eastAsia"/>
        </w:rPr>
        <w:t>内部模型法的最低定性要求</w:t>
      </w:r>
    </w:p>
    <w:bookmarkEnd w:id="9"/>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商业银行使用内部模型法应满足银保监会关于市场风险管理的一般要求和本办法的具体要求，并符合以下定性要求：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（一）资本计量应与其日常市场风险管理活动紧密结合，包括：</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1．资本计量的内部模型应基于</w:t>
      </w:r>
      <w:bookmarkStart w:id="10" w:name="OLE_LINK2"/>
      <w:r>
        <w:rPr>
          <w:rFonts w:ascii="仿宋_GB2312" w:eastAsia="仿宋_GB2312" w:hint="eastAsia"/>
          <w:color w:val="000000"/>
          <w:sz w:val="30"/>
          <w:szCs w:val="30"/>
        </w:rPr>
        <w:t>日常</w:t>
      </w:r>
      <w:bookmarkEnd w:id="10"/>
      <w:r>
        <w:rPr>
          <w:rFonts w:ascii="仿宋_GB2312" w:eastAsia="仿宋_GB2312" w:hint="eastAsia"/>
          <w:color w:val="000000"/>
          <w:sz w:val="30"/>
          <w:szCs w:val="30"/>
        </w:rPr>
        <w:t>内部市场风险管理的模型，而非针对市场风险资本要求计量特殊调整后的模型。两者核心设计要素应一致，应处理同一套风险因子。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2．模型应完全融入商业银行的日常市场风险管理过程，并作为提交高级管理层的风险报告的基础。模型结果应作为市场风险管理的必要组成部分。</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3．风险计量系统应与交易限额结合使用。交易限额与模型的联系应该保持一致，并被高级管理层所理解。</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（二）由独立的风险管理部门提供的市场风险每日报告应由一定层级的管理人员审阅，且该管理人员应有足够授权强制减少单个交易员的头寸和整个银行的风险暴露。</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（三）商业银行应建立独立于业务部门并直接向高级管理层报告的市场风险管理部门。该风险管理部门应负责设计和实施商业银行的风险管理体系，每日编制并分析基于风险计量模型输出结果的报告。</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（四）商业银行应建立</w:t>
      </w:r>
      <w:r>
        <w:rPr>
          <w:rFonts w:ascii="仿宋_GB2312" w:eastAsia="仿宋_GB2312"/>
          <w:color w:val="000000"/>
          <w:sz w:val="30"/>
          <w:szCs w:val="30"/>
        </w:rPr>
        <w:t>独立于设计和实施内部模型</w:t>
      </w:r>
      <w:r>
        <w:rPr>
          <w:rFonts w:ascii="仿宋_GB2312" w:eastAsia="仿宋_GB2312" w:hint="eastAsia"/>
          <w:color w:val="000000"/>
          <w:sz w:val="30"/>
          <w:szCs w:val="30"/>
        </w:rPr>
        <w:t>团队的模型验证团队。该团队应</w:t>
      </w:r>
      <w:r>
        <w:rPr>
          <w:rFonts w:ascii="仿宋_GB2312" w:eastAsia="仿宋_GB2312"/>
          <w:color w:val="000000"/>
          <w:sz w:val="30"/>
          <w:szCs w:val="30"/>
        </w:rPr>
        <w:t>对计量市场风险资本的内部模型开展初始和后续验证</w:t>
      </w:r>
      <w:r>
        <w:rPr>
          <w:rFonts w:ascii="仿宋_GB2312" w:eastAsia="仿宋_GB2312" w:hint="eastAsia"/>
          <w:color w:val="000000"/>
          <w:sz w:val="30"/>
          <w:szCs w:val="30"/>
        </w:rPr>
        <w:t>，验证频率</w:t>
      </w:r>
      <w:r>
        <w:rPr>
          <w:rFonts w:ascii="仿宋_GB2312" w:eastAsia="仿宋_GB2312"/>
          <w:color w:val="000000"/>
          <w:sz w:val="30"/>
          <w:szCs w:val="30"/>
        </w:rPr>
        <w:t>至少每年一次。</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（五）商业银行应拥有足够的能在交易、风险控制、审计和后台工作中使用复杂模型的员工。</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（六）商业银行应按照本办法的相关要求开展损益归因测试、压力测试和返回检验，频率分别不低于月度、月度和每日。</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（七）商业银行应建立足够支持其内部模型运行的信息系统。</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（八）商业银行所使用的内部模型应文档化，包含足够的细节。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（九）商业银行应将适用范围内的全部头寸纳入计量市场风险资本的内部模型，并准确报告计量结果。模型的风险计量应基于完善的理论基础、正确的计算逻辑。</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（十）商业银行的内部审计、模型验证（或外部审计）应对市场风险计量体系进行独立审查，频率为每年。独立审查的部门范围包括业务交易部门和独立风险管理部门。独立审查的内容应包括以下范围：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．风险管理部门的组织架构；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2．市场风险管理模型和流程体系文档的完备性；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3．市场风险管理模型的准确性和适当性（包括任何重大变化）；</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4．验证内部模型数据源的独立性、一致性、时效性和可靠性；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5．商业银行前台和后台人员使用的估值模型和估值系统的审批流程；</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6．交易台风险管理模型所反映的市场风险范围；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7．信息管理系统的完整性；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8．头寸数据的准确性和完整性；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9．波动率和相关性假设的准确性和适当性；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10．估值计算的准确性；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11．通过返回检验和损益归因测试验证交易台风险管理模型的准确性；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12．计量市场风险资本的模型与商业银行日常风险管理使用的内部模型之间的整体一致性。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一）商业银行应以交易台为单位向银保监会申请使用内部模型法计量市场风险资本要求，每次申请扩大使用范围至少应间隔一年。商业银行应指定拟纳入内模法的交易台，将其纳入申报评估范围，不得因标准法下资本要求较低而将交易台移出申报范围。商业银行对用于计量市场风险资本要求的内部模型进行任何重大变更前，应经银保监会验收合格。</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hint="eastAsia"/>
          <w:color w:val="000000"/>
          <w:sz w:val="30"/>
          <w:szCs w:val="30"/>
        </w:rPr>
        <w:t>（十二）</w:t>
      </w:r>
      <w:r>
        <w:rPr>
          <w:rFonts w:ascii="仿宋_GB2312" w:eastAsia="仿宋_GB2312" w:cs="仿宋_GB2312" w:hint="eastAsia"/>
          <w:color w:val="000000"/>
          <w:kern w:val="0"/>
          <w:sz w:val="30"/>
          <w:szCs w:val="30"/>
          <w:shd w:val="clear" w:color="auto" w:fill="FFFFFF"/>
          <w:lang w:bidi="ar"/>
        </w:rPr>
        <w:t>交易台的定义： 交易台是指在清晰的风险管理框架中执行明确交易策略的一组交易员或一套会计账目。用于资本计量的交易台的设定应经银保监会验收合格。</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交易台应满足下列要求：</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1．交易台的会计账目应指代清晰明确的利润单位。</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交易台的交易主管不得超过两个，交易主管的角色、职责和权限应明确区分。交易主管直接监督交易员或会计账目，每个交易员或会计账目的业务范围应明确定义。除非经银保监会验收合格，交易员及交易主管只能分配到一个交易台。</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3．每个会计账目只能划入一个交易台。交易台应有清晰明确的风险范围且与预设目标一致。该范围应详细说明交易台涉及的风险类别和风险因子。</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4．交易台向高级管理层的汇报路径应清晰明确。</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5．交易台应有清晰的书面交易策略，包括主要交易活动、交易对冲策略、交易经济逻辑。</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6．交易台应有清晰的人员安排和年度业务计划。</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7．交易台应具有定期管理报告，包括交易台的损益、成本和风险加权资产。</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8．交易台应具有清晰的风险管理职责。商业银行应明确负责监督交易台交易行为的关键团队和人员。</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9．交易台应具有明确的交易授权和交易限额。商业银行高级管理层应至少每年对其进行审核。</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10．交易台应至少每周生成交易台风险管理报告，包括损益报告和风险计量报告。</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11．交易台应有每日限额报告和市场流动性评估报告，对于债券、实物商品等具有存货特征的头寸，应有头寸持有期报告。</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（十三）在满足前述交易台要求的前提下，商业银行可根据业务经营和管理的需要，合理调整人员安排，在验收合格的交易台框架下设置操作性子交易台，而无需经银保监会评估。</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（十四）对于商业银行设置用于覆盖银行账簿外汇和商品头寸的名义交易台和一般利率风险内部风险转移交易台，可无需满足本部分（十二）中关于交易员与会计账目的要求。</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（十五）若商业银行拟采用内模法计量名义交易台下外汇或商品头寸的市场风险资本要求，可采取以下方法之一：</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1．通过内部风险转移将头寸转移至其他已获批使用内部模型法且符合内部模型法使用条件的交易台；</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hint="eastAsia"/>
          <w:color w:val="000000"/>
          <w:kern w:val="0"/>
          <w:sz w:val="30"/>
          <w:szCs w:val="30"/>
          <w:shd w:val="clear" w:color="auto" w:fill="FFFFFF"/>
          <w:lang w:bidi="ar"/>
        </w:rPr>
        <w:t>2．以名义交易台申请内部模型法，在此情况下，名义交易台仅需满足交易台的定量要求。</w:t>
      </w:r>
    </w:p>
    <w:p w:rsidR="000F35CE" w:rsidRDefault="00294C0B">
      <w:pPr>
        <w:pStyle w:val="20"/>
      </w:pPr>
      <w:r>
        <w:rPr>
          <w:rFonts w:hint="eastAsia"/>
        </w:rPr>
        <w:t>三、</w:t>
      </w:r>
      <w:bookmarkStart w:id="11" w:name="_Hlk48835895"/>
      <w:r>
        <w:rPr>
          <w:rFonts w:hint="eastAsia"/>
        </w:rPr>
        <w:t>风险因子模型合格性要求</w:t>
      </w:r>
    </w:p>
    <w:bookmarkEnd w:id="11"/>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（一）只有通过合格性检验并符合建模原则的风险因子才可纳入可建模风险因子预期尾部损失模型，否则应纳入不可建模风险因子计量资本要求。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（二）合格性检验用于检验代表风险因子的真实价格数量是否充足。抵质押品的对账或估值结果不应视为满足风险因子合格性检验的真实价格。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s="仿宋_GB2312" w:hint="eastAsia"/>
          <w:color w:val="000000"/>
          <w:kern w:val="0"/>
          <w:sz w:val="30"/>
          <w:szCs w:val="30"/>
          <w:shd w:val="clear" w:color="auto" w:fill="FFFFFF"/>
          <w:lang w:bidi="ar"/>
        </w:rPr>
        <w:t>（三）</w:t>
      </w:r>
      <w:r>
        <w:rPr>
          <w:rFonts w:ascii="仿宋_GB2312" w:eastAsia="仿宋_GB2312" w:hint="eastAsia"/>
          <w:color w:val="000000"/>
          <w:sz w:val="30"/>
          <w:szCs w:val="30"/>
        </w:rPr>
        <w:t xml:space="preserve">真实价格为符合下列条件之一的价格： </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1．商业银行自身已完成交易的价格；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2．其他机构之间真实完成的可核实交易价格；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3．由商业银行本身或另一家银行提交并通过第三方经纪商、交易平台或交易所验证的有效报价；</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4．从第三方经纪商获得的价格，应满足：</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（1）交易或有效报价已由该经纪商完成；</w:t>
      </w:r>
    </w:p>
    <w:p w:rsidR="000F35CE" w:rsidRDefault="00294C0B">
      <w:pPr>
        <w:widowControl/>
        <w:spacing w:line="480" w:lineRule="exact"/>
        <w:ind w:firstLineChars="200" w:firstLine="600"/>
        <w:jc w:val="left"/>
        <w:rPr>
          <w:rFonts w:ascii="仿宋_GB2312" w:eastAsia="仿宋_GB2312"/>
          <w:color w:val="000000"/>
          <w:sz w:val="30"/>
          <w:szCs w:val="30"/>
        </w:rPr>
      </w:pPr>
      <w:r>
        <w:rPr>
          <w:rFonts w:ascii="仿宋_GB2312" w:eastAsia="仿宋_GB2312" w:hint="eastAsia"/>
          <w:color w:val="000000"/>
          <w:sz w:val="30"/>
          <w:szCs w:val="30"/>
        </w:rPr>
        <w:t>（2）经纪商应提供交易或有效报价的证据；或该价格符合上述1至3列出的三项准则中的任何一条。</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（四）通过合格性检验的风险因子每季度应至少满足以下标准之一：</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1．对该风险因子，商业银行应在过去12个月识别出不少于24个真实价格，并且任意90天内真实价格不少于4个。每天计数的真实价格不得超过1个。</w:t>
      </w:r>
      <w:bookmarkStart w:id="12" w:name="_Hlk71359196"/>
      <w:r>
        <w:rPr>
          <w:rFonts w:ascii="仿宋_GB2312" w:eastAsia="仿宋_GB2312" w:hint="eastAsia"/>
          <w:color w:val="000000"/>
          <w:sz w:val="30"/>
          <w:szCs w:val="30"/>
        </w:rPr>
        <w:t>上述要求应每月监测并满足。</w:t>
      </w:r>
      <w:bookmarkEnd w:id="12"/>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2．对该风险因子，商业银行应在过去12个月识别出不少于100个真实价格，每天的真实价格不得超过1个。</w:t>
      </w:r>
    </w:p>
    <w:p w:rsidR="000F35CE" w:rsidRDefault="00294C0B">
      <w:pPr>
        <w:spacing w:line="480" w:lineRule="exact"/>
        <w:ind w:firstLineChars="200" w:firstLine="600"/>
        <w:rPr>
          <w:rFonts w:ascii="仿宋_GB2312" w:eastAsia="仿宋_GB2312"/>
          <w:color w:val="000000"/>
          <w:sz w:val="30"/>
          <w:szCs w:val="30"/>
        </w:rPr>
      </w:pPr>
      <w:bookmarkStart w:id="13" w:name="_Hlk71359423"/>
      <w:r>
        <w:rPr>
          <w:rFonts w:ascii="仿宋_GB2312" w:eastAsia="仿宋_GB2312" w:hint="eastAsia"/>
          <w:color w:val="000000"/>
          <w:sz w:val="30"/>
          <w:szCs w:val="30"/>
        </w:rPr>
        <w:t>（五）商业银行可使用根据从第三方经纪商收集的信息得出的真实价格，前提是满足以下所有条件</w:t>
      </w:r>
      <w:bookmarkEnd w:id="13"/>
      <w:r>
        <w:rPr>
          <w:rFonts w:ascii="仿宋_GB2312" w:eastAsia="仿宋_GB2312" w:hint="eastAsia"/>
          <w:color w:val="000000"/>
          <w:sz w:val="30"/>
          <w:szCs w:val="30"/>
        </w:rPr>
        <w:t xml:space="preserve">： </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1．经纪商将真实价格相应的数量和日期告知商业银行；</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2．经纪商单独提供信息识别方法，使商业银行能够将真实价格映射到风险因子；</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3．经纪商接受对其定价信息有效性的审计。审计结果报告应提供给银保监会和相关商业银行。若报告不合格，银保监会可禁止商业银行就该风险因子使用来自该经纪商的数据。</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（六）商业银行若使用参数函数（如隐含收益率曲线等）表示曲线或曲面，并将其作为风险因子时，应在其市场数据输入项层面（而非其本身）进行风险因子合格性检验。</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七）商业银行可使用反映特定经济体、地区或行业市场变动情况的系统性信用或股票风险因子。如果市场指数或单个发行人的工具与系统性风险因子属性相同，可使用指数或工具的真实价格进行风险因子合格性检验。</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（八）商业银行应制定描述真实价格与风险因子的映射关系的政策和文档，并向银保监会证明检验方法的适当性。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（九）商业银行可采用自行分组法或监管分组法，用于计算风险因子合格性检验的真实价格观测值。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1．自行分组法。商业银行应定义拟使用分组，分组应满足以下要求：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（1）每个分组只能包含一个风险因子，风险因子应与损益归因测试中用于风险理论损益的风险因子对应；</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（2）分组不能重叠。</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2．监管分组法。商业银行应使用表1中的分组标准：</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（1）具有同一个到期日维度的利率、汇率和商品风险因子（不包括隐含波动率），适用表格中（A）行分组；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（2）具有几个不同的到期日维度的利率、汇率和商品风险因子（不包括隐含波动率），适用表格中（B）行分组。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（3）具有一个或多个到期日维度的信用利差和股票风险因子（不包括隐含波动率），适用表格中（C）行分组；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w:t>
      </w:r>
      <w:r>
        <w:rPr>
          <w:rFonts w:ascii="仿宋_GB2312" w:eastAsia="仿宋_GB2312"/>
          <w:color w:val="000000"/>
          <w:sz w:val="30"/>
          <w:szCs w:val="30"/>
        </w:rPr>
        <w:t>4</w:t>
      </w:r>
      <w:r>
        <w:rPr>
          <w:rFonts w:ascii="仿宋_GB2312" w:eastAsia="仿宋_GB2312" w:hint="eastAsia"/>
          <w:color w:val="000000"/>
          <w:sz w:val="30"/>
          <w:szCs w:val="30"/>
        </w:rPr>
        <w:t>）具有一个或多个执行价格维度的任何风险因子（得尔塔δ，即一个期权在到期时为价内期权的概率），适用表格中（D）行分组；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（5）对于隐含波动率风险因子的行权日和执行价格维度（不包括利率互换期权的风险因子），适用表格中（C）行和（D）行的分组；</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（6）对于利率互换期权的隐含波动率风险因子的到期日、行权日和执行价格维度，适用表格（B）行、（C）行和（D）行的分组。</w:t>
      </w: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5"/>
        <w:gridCol w:w="1417"/>
        <w:gridCol w:w="1322"/>
        <w:gridCol w:w="1103"/>
        <w:gridCol w:w="1102"/>
        <w:gridCol w:w="1103"/>
        <w:gridCol w:w="1102"/>
        <w:gridCol w:w="1103"/>
        <w:gridCol w:w="1103"/>
      </w:tblGrid>
      <w:tr w:rsidR="000F35CE">
        <w:tc>
          <w:tcPr>
            <w:tcW w:w="11057" w:type="dxa"/>
            <w:gridSpan w:val="10"/>
            <w:tcBorders>
              <w:top w:val="nil"/>
              <w:left w:val="nil"/>
              <w:right w:val="nil"/>
            </w:tcBorders>
          </w:tcPr>
          <w:p w:rsidR="000F35CE" w:rsidRDefault="00294C0B">
            <w:pPr>
              <w:spacing w:line="480" w:lineRule="exact"/>
              <w:jc w:val="center"/>
              <w:rPr>
                <w:rFonts w:ascii="仿宋_GB2312" w:eastAsia="楷体_GB2312"/>
                <w:color w:val="000000"/>
                <w:sz w:val="30"/>
                <w:szCs w:val="30"/>
              </w:rPr>
            </w:pPr>
            <w:r>
              <w:rPr>
                <w:rFonts w:ascii="楷体_GB2312" w:eastAsia="楷体_GB2312" w:hint="eastAsia"/>
                <w:b/>
                <w:color w:val="000000"/>
                <w:sz w:val="28"/>
                <w:szCs w:val="28"/>
              </w:rPr>
              <w:t>表1 监管分组法的标准分组</w:t>
            </w:r>
          </w:p>
        </w:tc>
      </w:tr>
      <w:tr w:rsidR="000F35CE">
        <w:tc>
          <w:tcPr>
            <w:tcW w:w="567" w:type="dxa"/>
            <w:vMerge w:val="restart"/>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行</w:t>
            </w:r>
          </w:p>
        </w:tc>
        <w:tc>
          <w:tcPr>
            <w:tcW w:w="10490" w:type="dxa"/>
            <w:gridSpan w:val="9"/>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分组</w:t>
            </w:r>
          </w:p>
        </w:tc>
      </w:tr>
      <w:tr w:rsidR="000F35CE">
        <w:tc>
          <w:tcPr>
            <w:tcW w:w="567" w:type="dxa"/>
            <w:vMerge/>
          </w:tcPr>
          <w:p w:rsidR="000F35CE" w:rsidRDefault="000F35CE">
            <w:pPr>
              <w:spacing w:line="480" w:lineRule="exact"/>
              <w:rPr>
                <w:rFonts w:ascii="宋体" w:hAnsi="宋体"/>
                <w:color w:val="000000"/>
                <w:sz w:val="22"/>
                <w:szCs w:val="22"/>
              </w:rPr>
            </w:pPr>
          </w:p>
        </w:tc>
        <w:tc>
          <w:tcPr>
            <w:tcW w:w="1135"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1</w:t>
            </w:r>
          </w:p>
        </w:tc>
        <w:tc>
          <w:tcPr>
            <w:tcW w:w="1417"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2</w:t>
            </w:r>
          </w:p>
        </w:tc>
        <w:tc>
          <w:tcPr>
            <w:tcW w:w="1322"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3</w:t>
            </w:r>
          </w:p>
        </w:tc>
        <w:tc>
          <w:tcPr>
            <w:tcW w:w="1103"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4</w:t>
            </w:r>
          </w:p>
        </w:tc>
        <w:tc>
          <w:tcPr>
            <w:tcW w:w="1102"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5</w:t>
            </w:r>
          </w:p>
        </w:tc>
        <w:tc>
          <w:tcPr>
            <w:tcW w:w="1103"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6</w:t>
            </w:r>
          </w:p>
        </w:tc>
        <w:tc>
          <w:tcPr>
            <w:tcW w:w="1102"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7</w:t>
            </w:r>
          </w:p>
        </w:tc>
        <w:tc>
          <w:tcPr>
            <w:tcW w:w="1103"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8</w:t>
            </w:r>
          </w:p>
        </w:tc>
        <w:tc>
          <w:tcPr>
            <w:tcW w:w="1103" w:type="dxa"/>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9</w:t>
            </w:r>
          </w:p>
        </w:tc>
      </w:tr>
      <w:tr w:rsidR="000F35CE">
        <w:tc>
          <w:tcPr>
            <w:tcW w:w="567" w:type="dxa"/>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w:t>
            </w:r>
            <w:r>
              <w:rPr>
                <w:rFonts w:ascii="宋体" w:hAnsi="宋体"/>
                <w:color w:val="000000"/>
                <w:sz w:val="22"/>
                <w:szCs w:val="22"/>
              </w:rPr>
              <w:t>A)</w:t>
            </w:r>
          </w:p>
        </w:tc>
        <w:tc>
          <w:tcPr>
            <w:tcW w:w="1135"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0≤t&lt;</w:t>
            </w:r>
            <w:r>
              <w:rPr>
                <w:rFonts w:ascii="宋体" w:hAnsi="宋体"/>
                <w:color w:val="000000"/>
                <w:sz w:val="18"/>
                <w:szCs w:val="18"/>
              </w:rPr>
              <w:t>0.75</w:t>
            </w:r>
          </w:p>
        </w:tc>
        <w:tc>
          <w:tcPr>
            <w:tcW w:w="1417"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.75</w:t>
            </w:r>
            <w:r>
              <w:rPr>
                <w:rFonts w:ascii="宋体" w:hAnsi="宋体" w:hint="eastAsia"/>
                <w:color w:val="000000"/>
                <w:sz w:val="18"/>
                <w:szCs w:val="18"/>
              </w:rPr>
              <w:t>≤t&lt;</w:t>
            </w:r>
            <w:r>
              <w:rPr>
                <w:rFonts w:ascii="宋体" w:hAnsi="宋体"/>
                <w:color w:val="000000"/>
                <w:sz w:val="18"/>
                <w:szCs w:val="18"/>
              </w:rPr>
              <w:t>1</w:t>
            </w:r>
            <w:r>
              <w:rPr>
                <w:rFonts w:ascii="宋体" w:hAnsi="宋体" w:hint="eastAsia"/>
                <w:color w:val="000000"/>
                <w:sz w:val="18"/>
                <w:szCs w:val="18"/>
              </w:rPr>
              <w:t>.</w:t>
            </w:r>
            <w:r>
              <w:rPr>
                <w:rFonts w:ascii="宋体" w:hAnsi="宋体"/>
                <w:color w:val="000000"/>
                <w:sz w:val="18"/>
                <w:szCs w:val="18"/>
              </w:rPr>
              <w:t>5</w:t>
            </w:r>
          </w:p>
        </w:tc>
        <w:tc>
          <w:tcPr>
            <w:tcW w:w="1322"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1.</w:t>
            </w:r>
            <w:r>
              <w:rPr>
                <w:rFonts w:ascii="宋体" w:hAnsi="宋体"/>
                <w:color w:val="000000"/>
                <w:sz w:val="18"/>
                <w:szCs w:val="18"/>
              </w:rPr>
              <w:t>5</w:t>
            </w:r>
            <w:r>
              <w:rPr>
                <w:rFonts w:ascii="宋体" w:hAnsi="宋体" w:hint="eastAsia"/>
                <w:color w:val="000000"/>
                <w:sz w:val="18"/>
                <w:szCs w:val="18"/>
              </w:rPr>
              <w:t>≤t&lt;</w:t>
            </w:r>
            <w:r>
              <w:rPr>
                <w:rFonts w:ascii="宋体" w:hAnsi="宋体"/>
                <w:color w:val="000000"/>
                <w:sz w:val="18"/>
                <w:szCs w:val="18"/>
              </w:rPr>
              <w:t>4</w:t>
            </w:r>
          </w:p>
        </w:tc>
        <w:tc>
          <w:tcPr>
            <w:tcW w:w="1103" w:type="dxa"/>
          </w:tcPr>
          <w:p w:rsidR="000F35CE" w:rsidRDefault="00294C0B">
            <w:pPr>
              <w:spacing w:line="480" w:lineRule="exact"/>
              <w:rPr>
                <w:rFonts w:ascii="宋体" w:hAnsi="宋体"/>
                <w:color w:val="000000"/>
                <w:sz w:val="18"/>
                <w:szCs w:val="18"/>
              </w:rPr>
            </w:pPr>
            <w:r>
              <w:rPr>
                <w:rFonts w:ascii="宋体" w:hAnsi="宋体"/>
                <w:color w:val="000000"/>
                <w:sz w:val="18"/>
                <w:szCs w:val="18"/>
              </w:rPr>
              <w:t>4</w:t>
            </w:r>
            <w:r>
              <w:rPr>
                <w:rFonts w:ascii="宋体" w:hAnsi="宋体" w:hint="eastAsia"/>
                <w:color w:val="000000"/>
                <w:sz w:val="18"/>
                <w:szCs w:val="18"/>
              </w:rPr>
              <w:t>≤t&lt;</w:t>
            </w:r>
            <w:r>
              <w:rPr>
                <w:rFonts w:ascii="宋体" w:hAnsi="宋体"/>
                <w:color w:val="000000"/>
                <w:sz w:val="18"/>
                <w:szCs w:val="18"/>
              </w:rPr>
              <w:t>7</w:t>
            </w:r>
          </w:p>
        </w:tc>
        <w:tc>
          <w:tcPr>
            <w:tcW w:w="1102" w:type="dxa"/>
          </w:tcPr>
          <w:p w:rsidR="000F35CE" w:rsidRDefault="00294C0B">
            <w:pPr>
              <w:spacing w:line="480" w:lineRule="exact"/>
              <w:rPr>
                <w:rFonts w:ascii="宋体" w:hAnsi="宋体"/>
                <w:color w:val="000000"/>
                <w:sz w:val="18"/>
                <w:szCs w:val="18"/>
              </w:rPr>
            </w:pPr>
            <w:r>
              <w:rPr>
                <w:rFonts w:ascii="宋体" w:hAnsi="宋体"/>
                <w:color w:val="000000"/>
                <w:sz w:val="18"/>
                <w:szCs w:val="18"/>
              </w:rPr>
              <w:t>7</w:t>
            </w:r>
            <w:r>
              <w:rPr>
                <w:rFonts w:ascii="宋体" w:hAnsi="宋体" w:hint="eastAsia"/>
                <w:color w:val="000000"/>
                <w:sz w:val="18"/>
                <w:szCs w:val="18"/>
              </w:rPr>
              <w:t>≤t&lt;</w:t>
            </w:r>
            <w:r>
              <w:rPr>
                <w:rFonts w:ascii="宋体" w:hAnsi="宋体"/>
                <w:color w:val="000000"/>
                <w:sz w:val="18"/>
                <w:szCs w:val="18"/>
              </w:rPr>
              <w:t>12</w:t>
            </w:r>
          </w:p>
        </w:tc>
        <w:tc>
          <w:tcPr>
            <w:tcW w:w="1103" w:type="dxa"/>
          </w:tcPr>
          <w:p w:rsidR="000F35CE" w:rsidRDefault="00294C0B">
            <w:pPr>
              <w:spacing w:line="480" w:lineRule="exact"/>
              <w:rPr>
                <w:rFonts w:ascii="宋体" w:hAnsi="宋体"/>
                <w:color w:val="000000"/>
                <w:sz w:val="18"/>
                <w:szCs w:val="18"/>
              </w:rPr>
            </w:pPr>
            <w:r>
              <w:rPr>
                <w:rFonts w:ascii="宋体" w:hAnsi="宋体"/>
                <w:color w:val="000000"/>
                <w:sz w:val="18"/>
                <w:szCs w:val="18"/>
              </w:rPr>
              <w:t>12</w:t>
            </w:r>
            <w:r>
              <w:rPr>
                <w:rFonts w:ascii="宋体" w:hAnsi="宋体" w:hint="eastAsia"/>
                <w:color w:val="000000"/>
                <w:sz w:val="18"/>
                <w:szCs w:val="18"/>
              </w:rPr>
              <w:t>≤t&lt;</w:t>
            </w:r>
            <w:r>
              <w:rPr>
                <w:rFonts w:ascii="宋体" w:hAnsi="宋体"/>
                <w:color w:val="000000"/>
                <w:sz w:val="18"/>
                <w:szCs w:val="18"/>
              </w:rPr>
              <w:t>18</w:t>
            </w:r>
          </w:p>
        </w:tc>
        <w:tc>
          <w:tcPr>
            <w:tcW w:w="1102" w:type="dxa"/>
          </w:tcPr>
          <w:p w:rsidR="000F35CE" w:rsidRDefault="00294C0B">
            <w:pPr>
              <w:spacing w:line="480" w:lineRule="exact"/>
              <w:rPr>
                <w:rFonts w:ascii="宋体" w:hAnsi="宋体"/>
                <w:color w:val="000000"/>
                <w:sz w:val="18"/>
                <w:szCs w:val="18"/>
              </w:rPr>
            </w:pPr>
            <w:r>
              <w:rPr>
                <w:rFonts w:ascii="宋体" w:hAnsi="宋体"/>
                <w:color w:val="000000"/>
                <w:sz w:val="18"/>
                <w:szCs w:val="18"/>
              </w:rPr>
              <w:t>18</w:t>
            </w:r>
            <w:r>
              <w:rPr>
                <w:rFonts w:ascii="宋体" w:hAnsi="宋体" w:hint="eastAsia"/>
                <w:color w:val="000000"/>
                <w:sz w:val="18"/>
                <w:szCs w:val="18"/>
              </w:rPr>
              <w:t>≤t&lt;</w:t>
            </w:r>
            <w:r>
              <w:rPr>
                <w:rFonts w:ascii="宋体" w:hAnsi="宋体"/>
                <w:color w:val="000000"/>
                <w:sz w:val="18"/>
                <w:szCs w:val="18"/>
              </w:rPr>
              <w:t>25</w:t>
            </w:r>
          </w:p>
        </w:tc>
        <w:tc>
          <w:tcPr>
            <w:tcW w:w="1103" w:type="dxa"/>
          </w:tcPr>
          <w:p w:rsidR="000F35CE" w:rsidRDefault="00294C0B">
            <w:pPr>
              <w:spacing w:line="480" w:lineRule="exact"/>
              <w:rPr>
                <w:rFonts w:ascii="宋体" w:hAnsi="宋体"/>
                <w:color w:val="000000"/>
                <w:sz w:val="18"/>
                <w:szCs w:val="18"/>
              </w:rPr>
            </w:pPr>
            <w:r>
              <w:rPr>
                <w:rFonts w:ascii="宋体" w:hAnsi="宋体"/>
                <w:color w:val="000000"/>
                <w:sz w:val="18"/>
                <w:szCs w:val="18"/>
              </w:rPr>
              <w:t>25</w:t>
            </w:r>
            <w:r>
              <w:rPr>
                <w:rFonts w:ascii="宋体" w:hAnsi="宋体" w:hint="eastAsia"/>
                <w:color w:val="000000"/>
                <w:sz w:val="18"/>
                <w:szCs w:val="18"/>
              </w:rPr>
              <w:t>≤t&lt;</w:t>
            </w:r>
            <w:r>
              <w:rPr>
                <w:rFonts w:ascii="宋体" w:hAnsi="宋体"/>
                <w:color w:val="000000"/>
                <w:sz w:val="18"/>
                <w:szCs w:val="18"/>
              </w:rPr>
              <w:t>35</w:t>
            </w:r>
          </w:p>
        </w:tc>
        <w:tc>
          <w:tcPr>
            <w:tcW w:w="1103" w:type="dxa"/>
          </w:tcPr>
          <w:p w:rsidR="000F35CE" w:rsidRDefault="00294C0B">
            <w:pPr>
              <w:spacing w:line="480" w:lineRule="exact"/>
              <w:rPr>
                <w:rFonts w:ascii="宋体" w:hAnsi="宋体"/>
                <w:color w:val="000000"/>
                <w:sz w:val="18"/>
                <w:szCs w:val="18"/>
              </w:rPr>
            </w:pPr>
            <w:r>
              <w:rPr>
                <w:rFonts w:ascii="宋体" w:hAnsi="宋体"/>
                <w:color w:val="000000"/>
                <w:sz w:val="18"/>
                <w:szCs w:val="18"/>
              </w:rPr>
              <w:t>35</w:t>
            </w:r>
            <w:r>
              <w:rPr>
                <w:rFonts w:ascii="宋体" w:hAnsi="宋体" w:hint="eastAsia"/>
                <w:color w:val="000000"/>
                <w:sz w:val="18"/>
                <w:szCs w:val="18"/>
              </w:rPr>
              <w:t>≤t</w:t>
            </w:r>
            <w:r>
              <w:rPr>
                <w:rFonts w:ascii="宋体" w:hAnsi="宋体"/>
                <w:color w:val="000000"/>
                <w:sz w:val="18"/>
                <w:szCs w:val="18"/>
              </w:rPr>
              <w:t>&lt;</w:t>
            </w:r>
            <w:r>
              <w:rPr>
                <w:rFonts w:ascii="宋体" w:hAnsi="宋体" w:hint="eastAsia"/>
                <w:color w:val="000000"/>
                <w:sz w:val="18"/>
                <w:szCs w:val="18"/>
              </w:rPr>
              <w:t>∞</w:t>
            </w:r>
          </w:p>
        </w:tc>
      </w:tr>
      <w:tr w:rsidR="000F35CE">
        <w:tc>
          <w:tcPr>
            <w:tcW w:w="567" w:type="dxa"/>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w:t>
            </w:r>
            <w:r>
              <w:rPr>
                <w:rFonts w:ascii="宋体" w:hAnsi="宋体"/>
                <w:color w:val="000000"/>
                <w:sz w:val="22"/>
                <w:szCs w:val="22"/>
              </w:rPr>
              <w:t>B)</w:t>
            </w:r>
          </w:p>
        </w:tc>
        <w:tc>
          <w:tcPr>
            <w:tcW w:w="1135"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0≤t&lt;</w:t>
            </w:r>
            <w:r>
              <w:rPr>
                <w:rFonts w:ascii="宋体" w:hAnsi="宋体"/>
                <w:color w:val="000000"/>
                <w:sz w:val="18"/>
                <w:szCs w:val="18"/>
              </w:rPr>
              <w:t>0.75</w:t>
            </w:r>
          </w:p>
        </w:tc>
        <w:tc>
          <w:tcPr>
            <w:tcW w:w="1417"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.75</w:t>
            </w:r>
            <w:r>
              <w:rPr>
                <w:rFonts w:ascii="宋体" w:hAnsi="宋体" w:hint="eastAsia"/>
                <w:color w:val="000000"/>
                <w:sz w:val="18"/>
                <w:szCs w:val="18"/>
              </w:rPr>
              <w:t>≤t&lt;4</w:t>
            </w:r>
          </w:p>
        </w:tc>
        <w:tc>
          <w:tcPr>
            <w:tcW w:w="1322"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4≤t&lt;10</w:t>
            </w:r>
          </w:p>
        </w:tc>
        <w:tc>
          <w:tcPr>
            <w:tcW w:w="1103"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10≤t&lt;18</w:t>
            </w:r>
          </w:p>
        </w:tc>
        <w:tc>
          <w:tcPr>
            <w:tcW w:w="1102"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18≤t&lt;30</w:t>
            </w:r>
          </w:p>
        </w:tc>
        <w:tc>
          <w:tcPr>
            <w:tcW w:w="1103"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30≤t&lt;∞</w:t>
            </w:r>
          </w:p>
        </w:tc>
        <w:tc>
          <w:tcPr>
            <w:tcW w:w="1102" w:type="dxa"/>
          </w:tcPr>
          <w:p w:rsidR="000F35CE" w:rsidRDefault="000F35CE">
            <w:pPr>
              <w:spacing w:line="480" w:lineRule="exact"/>
              <w:rPr>
                <w:rFonts w:ascii="宋体" w:hAnsi="宋体"/>
                <w:color w:val="000000"/>
                <w:sz w:val="18"/>
                <w:szCs w:val="18"/>
              </w:rPr>
            </w:pPr>
          </w:p>
        </w:tc>
        <w:tc>
          <w:tcPr>
            <w:tcW w:w="1103" w:type="dxa"/>
          </w:tcPr>
          <w:p w:rsidR="000F35CE" w:rsidRDefault="000F35CE">
            <w:pPr>
              <w:spacing w:line="480" w:lineRule="exact"/>
              <w:rPr>
                <w:rFonts w:ascii="宋体" w:hAnsi="宋体"/>
                <w:color w:val="000000"/>
                <w:sz w:val="18"/>
                <w:szCs w:val="18"/>
              </w:rPr>
            </w:pPr>
          </w:p>
        </w:tc>
        <w:tc>
          <w:tcPr>
            <w:tcW w:w="1103" w:type="dxa"/>
          </w:tcPr>
          <w:p w:rsidR="000F35CE" w:rsidRDefault="000F35CE">
            <w:pPr>
              <w:spacing w:line="480" w:lineRule="exact"/>
              <w:rPr>
                <w:rFonts w:ascii="宋体" w:hAnsi="宋体"/>
                <w:color w:val="000000"/>
                <w:sz w:val="18"/>
                <w:szCs w:val="18"/>
              </w:rPr>
            </w:pPr>
          </w:p>
        </w:tc>
      </w:tr>
      <w:tr w:rsidR="000F35CE">
        <w:tc>
          <w:tcPr>
            <w:tcW w:w="567" w:type="dxa"/>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w:t>
            </w:r>
            <w:r>
              <w:rPr>
                <w:rFonts w:ascii="宋体" w:hAnsi="宋体"/>
                <w:color w:val="000000"/>
                <w:sz w:val="22"/>
                <w:szCs w:val="22"/>
              </w:rPr>
              <w:t>C)</w:t>
            </w:r>
          </w:p>
        </w:tc>
        <w:tc>
          <w:tcPr>
            <w:tcW w:w="1135"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0≤t&lt;1.5</w:t>
            </w:r>
          </w:p>
        </w:tc>
        <w:tc>
          <w:tcPr>
            <w:tcW w:w="1417"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1.5≤t&lt;3.5</w:t>
            </w:r>
          </w:p>
        </w:tc>
        <w:tc>
          <w:tcPr>
            <w:tcW w:w="1322"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3.5≤t&lt;7.5</w:t>
            </w:r>
          </w:p>
        </w:tc>
        <w:tc>
          <w:tcPr>
            <w:tcW w:w="1103"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7.5≤t&lt;15</w:t>
            </w:r>
          </w:p>
        </w:tc>
        <w:tc>
          <w:tcPr>
            <w:tcW w:w="1102" w:type="dxa"/>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15≤t&lt;∞</w:t>
            </w:r>
          </w:p>
        </w:tc>
        <w:tc>
          <w:tcPr>
            <w:tcW w:w="1103" w:type="dxa"/>
          </w:tcPr>
          <w:p w:rsidR="000F35CE" w:rsidRDefault="000F35CE">
            <w:pPr>
              <w:spacing w:line="480" w:lineRule="exact"/>
              <w:rPr>
                <w:rFonts w:ascii="宋体" w:hAnsi="宋体"/>
                <w:color w:val="000000"/>
                <w:sz w:val="18"/>
                <w:szCs w:val="18"/>
              </w:rPr>
            </w:pPr>
          </w:p>
        </w:tc>
        <w:tc>
          <w:tcPr>
            <w:tcW w:w="1102" w:type="dxa"/>
          </w:tcPr>
          <w:p w:rsidR="000F35CE" w:rsidRDefault="000F35CE">
            <w:pPr>
              <w:spacing w:line="480" w:lineRule="exact"/>
              <w:rPr>
                <w:rFonts w:ascii="宋体" w:hAnsi="宋体"/>
                <w:color w:val="000000"/>
                <w:sz w:val="18"/>
                <w:szCs w:val="18"/>
              </w:rPr>
            </w:pPr>
          </w:p>
        </w:tc>
        <w:tc>
          <w:tcPr>
            <w:tcW w:w="1103" w:type="dxa"/>
          </w:tcPr>
          <w:p w:rsidR="000F35CE" w:rsidRDefault="000F35CE">
            <w:pPr>
              <w:spacing w:line="480" w:lineRule="exact"/>
              <w:rPr>
                <w:rFonts w:ascii="宋体" w:hAnsi="宋体"/>
                <w:color w:val="000000"/>
                <w:sz w:val="18"/>
                <w:szCs w:val="18"/>
              </w:rPr>
            </w:pPr>
          </w:p>
        </w:tc>
        <w:tc>
          <w:tcPr>
            <w:tcW w:w="1103" w:type="dxa"/>
          </w:tcPr>
          <w:p w:rsidR="000F35CE" w:rsidRDefault="000F35CE">
            <w:pPr>
              <w:spacing w:line="480" w:lineRule="exact"/>
              <w:rPr>
                <w:rFonts w:ascii="宋体" w:hAnsi="宋体"/>
                <w:color w:val="000000"/>
                <w:sz w:val="18"/>
                <w:szCs w:val="18"/>
              </w:rPr>
            </w:pPr>
          </w:p>
        </w:tc>
      </w:tr>
      <w:tr w:rsidR="000F35CE">
        <w:tc>
          <w:tcPr>
            <w:tcW w:w="567" w:type="dxa"/>
            <w:tcBorders>
              <w:bottom w:val="single" w:sz="4" w:space="0" w:color="auto"/>
            </w:tcBorders>
            <w:vAlign w:val="center"/>
          </w:tcPr>
          <w:p w:rsidR="000F35CE" w:rsidRDefault="00294C0B">
            <w:pPr>
              <w:spacing w:line="480" w:lineRule="exact"/>
              <w:jc w:val="center"/>
              <w:rPr>
                <w:rFonts w:ascii="宋体" w:hAnsi="宋体"/>
                <w:color w:val="000000"/>
                <w:sz w:val="22"/>
                <w:szCs w:val="22"/>
              </w:rPr>
            </w:pPr>
            <w:r>
              <w:rPr>
                <w:rFonts w:ascii="宋体" w:hAnsi="宋体" w:hint="eastAsia"/>
                <w:color w:val="000000"/>
                <w:sz w:val="22"/>
                <w:szCs w:val="22"/>
              </w:rPr>
              <w:t>(</w:t>
            </w:r>
            <w:r>
              <w:rPr>
                <w:rFonts w:ascii="宋体" w:hAnsi="宋体"/>
                <w:color w:val="000000"/>
                <w:sz w:val="22"/>
                <w:szCs w:val="22"/>
              </w:rPr>
              <w:t>D)</w:t>
            </w:r>
          </w:p>
        </w:tc>
        <w:tc>
          <w:tcPr>
            <w:tcW w:w="1135" w:type="dxa"/>
            <w:tcBorders>
              <w:bottom w:val="single" w:sz="4" w:space="0" w:color="auto"/>
            </w:tcBorders>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0≤δ&lt;</w:t>
            </w:r>
            <w:r>
              <w:rPr>
                <w:rFonts w:ascii="宋体" w:hAnsi="宋体"/>
                <w:color w:val="000000"/>
                <w:sz w:val="18"/>
                <w:szCs w:val="18"/>
              </w:rPr>
              <w:t>0.05</w:t>
            </w:r>
          </w:p>
        </w:tc>
        <w:tc>
          <w:tcPr>
            <w:tcW w:w="1417" w:type="dxa"/>
            <w:tcBorders>
              <w:bottom w:val="single" w:sz="4" w:space="0" w:color="auto"/>
            </w:tcBorders>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05</w:t>
            </w:r>
            <w:r>
              <w:rPr>
                <w:rFonts w:ascii="宋体" w:hAnsi="宋体" w:hint="eastAsia"/>
                <w:color w:val="000000"/>
                <w:sz w:val="18"/>
                <w:szCs w:val="18"/>
              </w:rPr>
              <w:t>≤δ&lt;</w:t>
            </w:r>
            <w:r>
              <w:rPr>
                <w:rFonts w:ascii="宋体" w:hAnsi="宋体"/>
                <w:color w:val="000000"/>
                <w:sz w:val="18"/>
                <w:szCs w:val="18"/>
              </w:rPr>
              <w:t>0.3</w:t>
            </w:r>
          </w:p>
        </w:tc>
        <w:tc>
          <w:tcPr>
            <w:tcW w:w="1322" w:type="dxa"/>
            <w:tcBorders>
              <w:bottom w:val="single" w:sz="4" w:space="0" w:color="auto"/>
            </w:tcBorders>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.3</w:t>
            </w:r>
            <w:r>
              <w:rPr>
                <w:rFonts w:ascii="宋体" w:hAnsi="宋体" w:hint="eastAsia"/>
                <w:color w:val="000000"/>
                <w:sz w:val="18"/>
                <w:szCs w:val="18"/>
              </w:rPr>
              <w:t>≤δ&lt;</w:t>
            </w:r>
            <w:r>
              <w:rPr>
                <w:rFonts w:ascii="宋体" w:hAnsi="宋体"/>
                <w:color w:val="000000"/>
                <w:sz w:val="18"/>
                <w:szCs w:val="18"/>
              </w:rPr>
              <w:t>0.7</w:t>
            </w:r>
          </w:p>
        </w:tc>
        <w:tc>
          <w:tcPr>
            <w:tcW w:w="1103" w:type="dxa"/>
            <w:tcBorders>
              <w:bottom w:val="single" w:sz="4" w:space="0" w:color="auto"/>
            </w:tcBorders>
          </w:tcPr>
          <w:p w:rsidR="000F35CE" w:rsidRDefault="00294C0B">
            <w:pPr>
              <w:spacing w:line="480" w:lineRule="exact"/>
              <w:rPr>
                <w:rFonts w:ascii="宋体" w:hAnsi="宋体"/>
                <w:color w:val="000000"/>
                <w:sz w:val="18"/>
                <w:szCs w:val="18"/>
              </w:rPr>
            </w:pPr>
            <w:r>
              <w:rPr>
                <w:rFonts w:ascii="宋体" w:hAnsi="宋体" w:hint="eastAsia"/>
                <w:color w:val="000000"/>
                <w:sz w:val="18"/>
                <w:szCs w:val="18"/>
              </w:rPr>
              <w:t>0</w:t>
            </w:r>
            <w:r>
              <w:rPr>
                <w:rFonts w:ascii="宋体" w:hAnsi="宋体"/>
                <w:color w:val="000000"/>
                <w:sz w:val="18"/>
                <w:szCs w:val="18"/>
              </w:rPr>
              <w:t>.7</w:t>
            </w:r>
            <w:r>
              <w:rPr>
                <w:rFonts w:ascii="宋体" w:hAnsi="宋体" w:hint="eastAsia"/>
                <w:color w:val="000000"/>
                <w:sz w:val="18"/>
                <w:szCs w:val="18"/>
              </w:rPr>
              <w:t>≤δ&lt;</w:t>
            </w:r>
            <w:r>
              <w:rPr>
                <w:rFonts w:ascii="宋体" w:hAnsi="宋体"/>
                <w:color w:val="000000"/>
                <w:sz w:val="18"/>
                <w:szCs w:val="18"/>
              </w:rPr>
              <w:t>0.95</w:t>
            </w:r>
          </w:p>
        </w:tc>
        <w:tc>
          <w:tcPr>
            <w:tcW w:w="1102" w:type="dxa"/>
            <w:tcBorders>
              <w:bottom w:val="single" w:sz="4" w:space="0" w:color="auto"/>
            </w:tcBorders>
          </w:tcPr>
          <w:p w:rsidR="000F35CE" w:rsidRDefault="00294C0B">
            <w:pPr>
              <w:spacing w:line="480" w:lineRule="exact"/>
              <w:rPr>
                <w:rFonts w:ascii="宋体" w:hAnsi="宋体"/>
                <w:color w:val="000000"/>
                <w:sz w:val="18"/>
                <w:szCs w:val="18"/>
              </w:rPr>
            </w:pPr>
            <w:r>
              <w:rPr>
                <w:rFonts w:ascii="宋体" w:hAnsi="宋体"/>
                <w:color w:val="000000"/>
                <w:sz w:val="18"/>
                <w:szCs w:val="18"/>
              </w:rPr>
              <w:t>0.95</w:t>
            </w:r>
            <w:r>
              <w:rPr>
                <w:rFonts w:ascii="宋体" w:hAnsi="宋体" w:hint="eastAsia"/>
                <w:color w:val="000000"/>
                <w:sz w:val="18"/>
                <w:szCs w:val="18"/>
              </w:rPr>
              <w:t>≤δ&lt;</w:t>
            </w:r>
            <w:r>
              <w:rPr>
                <w:rFonts w:ascii="宋体" w:hAnsi="宋体"/>
                <w:color w:val="000000"/>
                <w:sz w:val="18"/>
                <w:szCs w:val="18"/>
              </w:rPr>
              <w:t>1</w:t>
            </w:r>
            <w:r>
              <w:rPr>
                <w:rFonts w:ascii="宋体" w:hAnsi="宋体" w:hint="eastAsia"/>
                <w:color w:val="000000"/>
                <w:sz w:val="18"/>
                <w:szCs w:val="18"/>
              </w:rPr>
              <w:t>.</w:t>
            </w:r>
            <w:r>
              <w:rPr>
                <w:rFonts w:ascii="宋体" w:hAnsi="宋体"/>
                <w:color w:val="000000"/>
                <w:sz w:val="18"/>
                <w:szCs w:val="18"/>
              </w:rPr>
              <w:t>00</w:t>
            </w:r>
          </w:p>
        </w:tc>
        <w:tc>
          <w:tcPr>
            <w:tcW w:w="1103" w:type="dxa"/>
            <w:tcBorders>
              <w:bottom w:val="single" w:sz="4" w:space="0" w:color="auto"/>
            </w:tcBorders>
          </w:tcPr>
          <w:p w:rsidR="000F35CE" w:rsidRDefault="000F35CE">
            <w:pPr>
              <w:spacing w:line="480" w:lineRule="exact"/>
              <w:rPr>
                <w:rFonts w:ascii="宋体" w:hAnsi="宋体"/>
                <w:color w:val="000000"/>
                <w:sz w:val="18"/>
                <w:szCs w:val="18"/>
              </w:rPr>
            </w:pPr>
          </w:p>
        </w:tc>
        <w:tc>
          <w:tcPr>
            <w:tcW w:w="1102" w:type="dxa"/>
            <w:tcBorders>
              <w:bottom w:val="single" w:sz="4" w:space="0" w:color="auto"/>
            </w:tcBorders>
          </w:tcPr>
          <w:p w:rsidR="000F35CE" w:rsidRDefault="000F35CE">
            <w:pPr>
              <w:spacing w:line="480" w:lineRule="exact"/>
              <w:rPr>
                <w:rFonts w:ascii="宋体" w:hAnsi="宋体"/>
                <w:color w:val="000000"/>
                <w:sz w:val="18"/>
                <w:szCs w:val="18"/>
              </w:rPr>
            </w:pPr>
          </w:p>
        </w:tc>
        <w:tc>
          <w:tcPr>
            <w:tcW w:w="1103" w:type="dxa"/>
            <w:tcBorders>
              <w:bottom w:val="single" w:sz="4" w:space="0" w:color="auto"/>
            </w:tcBorders>
          </w:tcPr>
          <w:p w:rsidR="000F35CE" w:rsidRDefault="000F35CE">
            <w:pPr>
              <w:spacing w:line="480" w:lineRule="exact"/>
              <w:rPr>
                <w:rFonts w:ascii="宋体" w:hAnsi="宋体"/>
                <w:color w:val="000000"/>
                <w:sz w:val="18"/>
                <w:szCs w:val="18"/>
              </w:rPr>
            </w:pPr>
          </w:p>
        </w:tc>
        <w:tc>
          <w:tcPr>
            <w:tcW w:w="1103" w:type="dxa"/>
            <w:tcBorders>
              <w:bottom w:val="single" w:sz="4" w:space="0" w:color="auto"/>
            </w:tcBorders>
          </w:tcPr>
          <w:p w:rsidR="000F35CE" w:rsidRDefault="000F35CE">
            <w:pPr>
              <w:spacing w:line="480" w:lineRule="exact"/>
              <w:rPr>
                <w:rFonts w:ascii="宋体" w:hAnsi="宋体"/>
                <w:color w:val="000000"/>
                <w:sz w:val="18"/>
                <w:szCs w:val="18"/>
              </w:rPr>
            </w:pPr>
          </w:p>
        </w:tc>
      </w:tr>
      <w:tr w:rsidR="000F35CE">
        <w:tc>
          <w:tcPr>
            <w:tcW w:w="11057" w:type="dxa"/>
            <w:gridSpan w:val="10"/>
            <w:tcBorders>
              <w:left w:val="nil"/>
              <w:right w:val="nil"/>
            </w:tcBorders>
            <w:vAlign w:val="center"/>
          </w:tcPr>
          <w:p w:rsidR="000F35CE" w:rsidRDefault="00294C0B">
            <w:pPr>
              <w:spacing w:line="480" w:lineRule="exact"/>
              <w:rPr>
                <w:rFonts w:ascii="宋体" w:hAnsi="宋体"/>
                <w:color w:val="000000"/>
                <w:sz w:val="22"/>
                <w:szCs w:val="22"/>
              </w:rPr>
            </w:pPr>
            <w:r>
              <w:rPr>
                <w:rFonts w:ascii="宋体" w:hAnsi="宋体" w:hint="eastAsia"/>
                <w:color w:val="000000"/>
                <w:sz w:val="22"/>
                <w:szCs w:val="22"/>
              </w:rPr>
              <w:t>注：到期剩余期限以t表示，以年为单位；得尔塔以δ表示。</w:t>
            </w:r>
          </w:p>
        </w:tc>
      </w:tr>
    </w:tbl>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商业银行应统计分配在每一个分组内的全部真实价格观测值，评估该组的风险因子是否通过合格性检验。</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（十）通过合格性检验的风险因子用于可建模风险因子预期尾部损失建模，应满足可建模原则。可建模原则包括：</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1．模型数据为可建模风险因子或其组合；</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2．模型数据应反映非系统性风险（</w:t>
      </w:r>
      <w:r>
        <w:rPr>
          <w:rFonts w:ascii="仿宋_GB2312" w:eastAsia="仿宋_GB2312"/>
          <w:color w:val="000000"/>
          <w:sz w:val="30"/>
          <w:szCs w:val="30"/>
        </w:rPr>
        <w:t xml:space="preserve">idiosyncratic </w:t>
      </w:r>
      <w:r>
        <w:rPr>
          <w:rFonts w:ascii="仿宋_GB2312" w:eastAsia="仿宋_GB2312" w:hint="eastAsia"/>
          <w:color w:val="000000"/>
          <w:sz w:val="30"/>
          <w:szCs w:val="30"/>
        </w:rPr>
        <w:t>risk）和系统性风险（</w:t>
      </w:r>
      <w:r>
        <w:rPr>
          <w:rFonts w:ascii="仿宋_GB2312" w:eastAsia="仿宋_GB2312"/>
          <w:color w:val="000000"/>
          <w:sz w:val="30"/>
          <w:szCs w:val="30"/>
        </w:rPr>
        <w:t>general market risk</w:t>
      </w:r>
      <w:r>
        <w:rPr>
          <w:rFonts w:ascii="仿宋_GB2312" w:eastAsia="仿宋_GB2312" w:hint="eastAsia"/>
          <w:color w:val="000000"/>
          <w:sz w:val="30"/>
          <w:szCs w:val="30"/>
        </w:rPr>
        <w:t>）；</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3．模型数据应体现风险波动性和相关性；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 xml:space="preserve">4．模型数据应采用市场真实价格或报价； </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5．模型数据应至少每月更新；若商业银行使用回归估计风险因子参数，至少应每两周重估一次；商业银行应制定清晰的补数规则；</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6．用于计量压力预期尾部损失的数据应反映压力期间的市场价格或报价；</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7．仅在无法取得可靠数据时，方可使用替代数据。商业银行应能够证明使用技术的合理性，并且不会实质性地低估风险。</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（十一）当金融市场发生重大制度转变时，可能造成银行间大量可建模风险因子成为不可建模风险因子。在上述情形下，经银保监会认可，商业银行可将一些未</w:t>
      </w:r>
      <w:r>
        <w:rPr>
          <w:rFonts w:ascii="仿宋_GB2312" w:eastAsia="仿宋_GB2312" w:hAnsi="Calibri" w:hint="eastAsia"/>
          <w:color w:val="000000"/>
          <w:sz w:val="30"/>
          <w:szCs w:val="30"/>
        </w:rPr>
        <w:t>通过合格性检验的风险因子视为可建模的，但不能降低资本要求。</w:t>
      </w:r>
    </w:p>
    <w:p w:rsidR="000F35CE" w:rsidRDefault="00294C0B">
      <w:pPr>
        <w:pStyle w:val="20"/>
        <w:rPr>
          <w:rFonts w:ascii="楷体" w:eastAsia="楷体" w:hAnsi="楷体" w:cs="宋体"/>
          <w:kern w:val="0"/>
        </w:rPr>
      </w:pPr>
      <w:r>
        <w:rPr>
          <w:rFonts w:hint="eastAsia"/>
        </w:rPr>
        <w:t>四、</w:t>
      </w:r>
      <w:bookmarkStart w:id="14" w:name="_Hlk48835902"/>
      <w:bookmarkStart w:id="15" w:name="_Hlk71376640"/>
      <w:r>
        <w:rPr>
          <w:rFonts w:hint="eastAsia"/>
        </w:rPr>
        <w:t>可建模风险因子的资本要求</w:t>
      </w:r>
    </w:p>
    <w:bookmarkEnd w:id="14"/>
    <w:bookmarkEnd w:id="15"/>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（一）商业银行可使用任何能够反映其所有主要风险的模型方法计算市场风险资本要求，包括但不限于方差-协方差法、历史模拟法和蒙特卡罗模拟法等。</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Ansi="宋体" w:cs="宋体" w:hint="eastAsia"/>
          <w:color w:val="000000"/>
          <w:kern w:val="0"/>
          <w:sz w:val="30"/>
          <w:szCs w:val="30"/>
        </w:rPr>
        <w:t>（二）</w:t>
      </w:r>
      <w:r>
        <w:rPr>
          <w:rFonts w:ascii="仿宋_GB2312" w:eastAsia="仿宋_GB2312" w:hint="eastAsia"/>
          <w:color w:val="000000"/>
          <w:sz w:val="30"/>
          <w:szCs w:val="30"/>
        </w:rPr>
        <w:t>商业银行应在每个交易日计算全行层面和交易台层面预期尾部损失，使用单尾97.5%的置信区间。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Ansi="宋体" w:cs="宋体" w:hint="eastAsia"/>
          <w:color w:val="000000"/>
          <w:kern w:val="0"/>
          <w:sz w:val="30"/>
          <w:szCs w:val="30"/>
        </w:rPr>
        <w:t>（三）</w:t>
      </w:r>
      <w:r>
        <w:rPr>
          <w:rFonts w:ascii="仿宋_GB2312" w:eastAsia="仿宋_GB2312" w:hint="eastAsia"/>
          <w:color w:val="000000"/>
          <w:sz w:val="30"/>
          <w:szCs w:val="30"/>
        </w:rPr>
        <w:t>计算预期尾部损失时，商业银行应对基于基准10天持有期的预期尾部损失进行放大。公式如下：</w:t>
      </w:r>
    </w:p>
    <w:bookmarkStart w:id="16" w:name="MTBlankEqn"/>
    <w:p w:rsidR="000F35CE" w:rsidRDefault="00294C0B">
      <w:pPr>
        <w:ind w:firstLineChars="200" w:firstLine="600"/>
        <w:jc w:val="center"/>
        <w:rPr>
          <w:rFonts w:ascii="仿宋_GB2312" w:eastAsia="仿宋_GB2312"/>
          <w:color w:val="000000"/>
          <w:sz w:val="30"/>
          <w:szCs w:val="30"/>
        </w:rPr>
      </w:pPr>
      <w:r>
        <w:rPr>
          <w:position w:val="-38"/>
          <w:sz w:val="30"/>
          <w:szCs w:val="30"/>
        </w:rPr>
        <w:object w:dxaOrig="5179" w:dyaOrig="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258.85pt;height:48pt;mso-wrap-style:square;mso-position-horizontal-relative:page;mso-position-vertical-relative:page" o:ole="">
            <v:imagedata r:id="rId8" o:title=""/>
          </v:shape>
          <o:OLEObject Type="Embed" ProgID="Equation.DSMT4" ShapeID="Object 1" DrawAspect="Content" ObjectID="_1738154963" r:id="rId9"/>
        </w:object>
      </w:r>
      <w:bookmarkEnd w:id="16"/>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其中：</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1．ES是监管流动性调整后的预期尾部损失；</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2．T是基准期限10天；</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w:t>
      </w:r>
      <w:r>
        <w:rPr>
          <w:position w:val="-12"/>
          <w:sz w:val="30"/>
          <w:szCs w:val="30"/>
        </w:rPr>
        <w:object w:dxaOrig="859" w:dyaOrig="359">
          <v:shape id="Object 2" o:spid="_x0000_i1026" type="#_x0000_t75" style="width:42.85pt;height:18.15pt;mso-wrap-style:square;mso-position-horizontal-relative:page;mso-position-vertical-relative:page" o:ole="">
            <v:imagedata r:id="rId10" o:title=""/>
          </v:shape>
          <o:OLEObject Type="Embed" ProgID="Equation.DSMT4" ShapeID="Object 2" DrawAspect="Content" ObjectID="_1738154964" r:id="rId11"/>
        </w:object>
      </w:r>
      <w:r>
        <w:rPr>
          <w:rFonts w:ascii="仿宋_GB2312" w:eastAsia="仿宋_GB2312" w:hint="eastAsia"/>
          <w:color w:val="000000"/>
          <w:sz w:val="30"/>
          <w:szCs w:val="30"/>
        </w:rPr>
        <w:t>是投资组合持有的头寸集合</w:t>
      </w:r>
      <w:r>
        <w:rPr>
          <w:position w:val="-12"/>
          <w:sz w:val="30"/>
          <w:szCs w:val="30"/>
        </w:rPr>
        <w:object w:dxaOrig="899" w:dyaOrig="359">
          <v:shape id="Object 3" o:spid="_x0000_i1027" type="#_x0000_t75" style="width:44.9pt;height:18.15pt;mso-wrap-style:square;mso-position-horizontal-relative:page;mso-position-vertical-relative:page" o:ole="">
            <v:imagedata r:id="rId12" o:title=""/>
          </v:shape>
          <o:OLEObject Type="Embed" ProgID="Equation.DSMT4" ShapeID="Object 3" DrawAspect="Content" ObjectID="_1738154965" r:id="rId13"/>
        </w:object>
      </w:r>
      <w:r>
        <w:rPr>
          <w:rFonts w:ascii="仿宋_GB2312" w:eastAsia="仿宋_GB2312" w:hint="eastAsia"/>
          <w:color w:val="000000"/>
          <w:sz w:val="30"/>
          <w:szCs w:val="30"/>
        </w:rPr>
        <w:t>在期限T内承受所有风险因子冲击时的预期尾部损失；</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w:t>
      </w:r>
      <w:r>
        <w:rPr>
          <w:position w:val="-12"/>
          <w:sz w:val="30"/>
          <w:szCs w:val="30"/>
        </w:rPr>
        <w:object w:dxaOrig="1080" w:dyaOrig="359">
          <v:shape id="Object 4" o:spid="_x0000_i1028" type="#_x0000_t75" style="width:54.15pt;height:17.85pt;mso-wrap-style:square;mso-position-horizontal-relative:page;mso-position-vertical-relative:page" o:ole="">
            <v:imagedata r:id="rId14" o:title=""/>
          </v:shape>
          <o:OLEObject Type="Embed" ProgID="Equation.DSMT4" ShapeID="Object 4" DrawAspect="Content" ObjectID="_1738154966" r:id="rId15"/>
        </w:object>
      </w:r>
      <w:r>
        <w:rPr>
          <w:rFonts w:ascii="仿宋_GB2312" w:eastAsia="仿宋_GB2312" w:hint="eastAsia"/>
          <w:color w:val="000000"/>
          <w:sz w:val="30"/>
          <w:szCs w:val="30"/>
        </w:rPr>
        <w:t>是投资组合持有的头寸集合</w:t>
      </w:r>
      <w:r>
        <w:rPr>
          <w:position w:val="-12"/>
          <w:sz w:val="30"/>
          <w:szCs w:val="30"/>
        </w:rPr>
        <w:object w:dxaOrig="899" w:dyaOrig="359">
          <v:shape id="Object 5" o:spid="_x0000_i1029" type="#_x0000_t75" style="width:44.9pt;height:18.15pt;mso-wrap-style:square;mso-position-horizontal-relative:page;mso-position-vertical-relative:page" o:ole="">
            <v:imagedata r:id="rId16" o:title=""/>
          </v:shape>
          <o:OLEObject Type="Embed" ProgID="Equation.DSMT4" ShapeID="Object 5" DrawAspect="Content" ObjectID="_1738154967" r:id="rId17"/>
        </w:object>
      </w:r>
      <w:r>
        <w:rPr>
          <w:rFonts w:ascii="仿宋_GB2312" w:eastAsia="仿宋_GB2312" w:hint="eastAsia"/>
          <w:color w:val="000000"/>
          <w:sz w:val="30"/>
          <w:szCs w:val="30"/>
        </w:rPr>
        <w:t>在期限T内承受风险因子子集</w:t>
      </w:r>
      <w:r>
        <w:rPr>
          <w:position w:val="-12"/>
          <w:sz w:val="30"/>
          <w:szCs w:val="30"/>
        </w:rPr>
        <w:object w:dxaOrig="879" w:dyaOrig="359">
          <v:shape id="Object 6" o:spid="_x0000_i1030" type="#_x0000_t75" style="width:43.9pt;height:17.85pt;mso-wrap-style:square;mso-position-horizontal-relative:page;mso-position-vertical-relative:page" o:ole="">
            <v:imagedata r:id="rId18" o:title=""/>
          </v:shape>
          <o:OLEObject Type="Embed" ProgID="Equation.DSMT4" ShapeID="Object 6" DrawAspect="Content" ObjectID="_1738154968" r:id="rId19"/>
        </w:object>
      </w:r>
      <w:r>
        <w:rPr>
          <w:rFonts w:ascii="仿宋_GB2312" w:eastAsia="仿宋_GB2312" w:hint="eastAsia"/>
          <w:color w:val="000000"/>
          <w:sz w:val="30"/>
          <w:szCs w:val="30"/>
        </w:rPr>
        <w:t>冲击时（其他风险因子保持不变）的预期尾部损失；</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w:t>
      </w:r>
      <w:r>
        <w:rPr>
          <w:position w:val="-12"/>
          <w:sz w:val="30"/>
          <w:szCs w:val="30"/>
        </w:rPr>
        <w:object w:dxaOrig="859" w:dyaOrig="359">
          <v:shape id="Object 7" o:spid="_x0000_i1031" type="#_x0000_t75" style="width:42.85pt;height:18.15pt;mso-wrap-style:square;mso-position-horizontal-relative:page;mso-position-vertical-relative:page" o:ole="">
            <v:imagedata r:id="rId10" o:title=""/>
          </v:shape>
          <o:OLEObject Type="Embed" ProgID="Equation.DSMT4" ShapeID="Object 7" DrawAspect="Content" ObjectID="_1738154969" r:id="rId20"/>
        </w:object>
      </w:r>
      <w:r>
        <w:rPr>
          <w:rFonts w:ascii="仿宋_GB2312" w:eastAsia="仿宋_GB2312" w:hint="eastAsia"/>
          <w:color w:val="000000"/>
          <w:sz w:val="30"/>
          <w:szCs w:val="30"/>
        </w:rPr>
        <w:t>应针对风险因子在期限T的变化计算，</w:t>
      </w:r>
      <w:r>
        <w:rPr>
          <w:position w:val="-12"/>
          <w:sz w:val="30"/>
          <w:szCs w:val="30"/>
        </w:rPr>
        <w:object w:dxaOrig="1080" w:dyaOrig="359">
          <v:shape id="Object 8" o:spid="_x0000_i1032" type="#_x0000_t75" style="width:54.15pt;height:17.85pt;mso-wrap-style:square;mso-position-horizontal-relative:page;mso-position-vertical-relative:page" o:ole="">
            <v:imagedata r:id="rId14" o:title=""/>
          </v:shape>
          <o:OLEObject Type="Embed" ProgID="Equation.DSMT4" ShapeID="Object 8" DrawAspect="Content" ObjectID="_1738154970" r:id="rId21"/>
        </w:object>
      </w:r>
      <w:r>
        <w:rPr>
          <w:rFonts w:ascii="仿宋_GB2312" w:eastAsia="仿宋_GB2312" w:hint="eastAsia"/>
          <w:color w:val="000000"/>
          <w:sz w:val="30"/>
          <w:szCs w:val="30"/>
        </w:rPr>
        <w:t>应针对风险因子的相关子集</w:t>
      </w:r>
      <w:r>
        <w:rPr>
          <w:position w:val="-12"/>
          <w:sz w:val="30"/>
          <w:szCs w:val="30"/>
        </w:rPr>
        <w:object w:dxaOrig="879" w:dyaOrig="359">
          <v:shape id="Object 9" o:spid="_x0000_i1033" type="#_x0000_t75" style="width:43.9pt;height:17.85pt;mso-wrap-style:square;mso-position-horizontal-relative:page;mso-position-vertical-relative:page" o:ole="">
            <v:imagedata r:id="rId18" o:title=""/>
          </v:shape>
          <o:OLEObject Type="Embed" ProgID="Equation.DSMT4" ShapeID="Object 9" DrawAspect="Content" ObjectID="_1738154971" r:id="rId22"/>
        </w:object>
      </w:r>
      <w:r>
        <w:rPr>
          <w:rFonts w:ascii="仿宋_GB2312" w:eastAsia="仿宋_GB2312" w:hint="eastAsia"/>
          <w:color w:val="000000"/>
          <w:sz w:val="30"/>
          <w:szCs w:val="30"/>
        </w:rPr>
        <w:t>在期限T的变化计算，不能用较短期限进行放大处理；</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w:t>
      </w:r>
      <w:r>
        <w:rPr>
          <w:position w:val="-12"/>
          <w:sz w:val="30"/>
          <w:szCs w:val="30"/>
        </w:rPr>
        <w:object w:dxaOrig="879" w:dyaOrig="359">
          <v:shape id="Object 10" o:spid="_x0000_i1034" type="#_x0000_t75" style="width:43.9pt;height:17.85pt;mso-wrap-style:square;mso-position-horizontal-relative:page;mso-position-vertical-relative:page" o:ole="">
            <v:imagedata r:id="rId18" o:title=""/>
          </v:shape>
          <o:OLEObject Type="Embed" ProgID="Equation.DSMT4" ShapeID="Object 10" DrawAspect="Content" ObjectID="_1738154972" r:id="rId23"/>
        </w:object>
      </w:r>
      <w:r>
        <w:rPr>
          <w:rFonts w:ascii="仿宋_GB2312" w:eastAsia="仿宋_GB2312" w:hint="eastAsia"/>
          <w:color w:val="000000"/>
          <w:sz w:val="30"/>
          <w:szCs w:val="30"/>
        </w:rPr>
        <w:t>是</w:t>
      </w:r>
      <w:r>
        <w:rPr>
          <w:position w:val="-12"/>
          <w:sz w:val="30"/>
          <w:szCs w:val="30"/>
        </w:rPr>
        <w:object w:dxaOrig="1180" w:dyaOrig="359">
          <v:shape id="Object 11" o:spid="_x0000_i1035" type="#_x0000_t75" style="width:58.95pt;height:17.85pt;mso-wrap-style:square;mso-position-horizontal-relative:page;mso-position-vertical-relative:page" o:ole="">
            <v:imagedata r:id="rId24" o:title=""/>
          </v:shape>
          <o:OLEObject Type="Embed" ProgID="Equation.DSMT4" ShapeID="Object 11" DrawAspect="Content" ObjectID="_1738154973" r:id="rId25"/>
        </w:object>
      </w:r>
      <w:r>
        <w:rPr>
          <w:rFonts w:ascii="仿宋_GB2312" w:eastAsia="仿宋_GB2312" w:hint="eastAsia"/>
          <w:color w:val="000000"/>
          <w:sz w:val="30"/>
          <w:szCs w:val="30"/>
        </w:rPr>
        <w:t>的风险因子子集，持有p</w:t>
      </w:r>
      <w:r>
        <w:rPr>
          <w:rFonts w:ascii="仿宋_GB2312" w:eastAsia="仿宋_GB2312" w:hint="eastAsia"/>
          <w:color w:val="000000"/>
          <w:sz w:val="30"/>
          <w:szCs w:val="30"/>
          <w:vertAlign w:val="subscript"/>
        </w:rPr>
        <w:t>i</w:t>
      </w:r>
      <w:r>
        <w:rPr>
          <w:rFonts w:ascii="仿宋_GB2312" w:eastAsia="仿宋_GB2312" w:hint="eastAsia"/>
          <w:color w:val="000000"/>
          <w:sz w:val="30"/>
          <w:szCs w:val="30"/>
        </w:rPr>
        <w:t>投资组合的风险因子的流动性期限不应短于</w:t>
      </w:r>
      <w:proofErr w:type="spellStart"/>
      <w:r>
        <w:rPr>
          <w:rFonts w:ascii="仿宋_GB2312" w:eastAsia="仿宋_GB2312" w:hint="eastAsia"/>
          <w:color w:val="000000"/>
          <w:sz w:val="30"/>
          <w:szCs w:val="30"/>
        </w:rPr>
        <w:t>LH</w:t>
      </w:r>
      <w:r>
        <w:rPr>
          <w:rFonts w:ascii="仿宋_GB2312" w:eastAsia="仿宋_GB2312" w:hint="eastAsia"/>
          <w:color w:val="000000"/>
          <w:sz w:val="30"/>
          <w:szCs w:val="30"/>
          <w:vertAlign w:val="subscript"/>
        </w:rPr>
        <w:t>j</w:t>
      </w:r>
      <w:proofErr w:type="spellEnd"/>
      <w:r>
        <w:rPr>
          <w:rFonts w:ascii="仿宋_GB2312" w:eastAsia="仿宋_GB2312" w:hint="eastAsia"/>
          <w:color w:val="000000"/>
          <w:sz w:val="30"/>
          <w:szCs w:val="30"/>
        </w:rPr>
        <w:t>。风险因子的流动性期限按照本部分（十）确定；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7．基于基准时间间隔T算出的风险因子变化值的时间序列可通过重叠区间确定。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8．</w:t>
      </w:r>
      <w:proofErr w:type="spellStart"/>
      <w:r>
        <w:rPr>
          <w:rFonts w:ascii="仿宋_GB2312" w:eastAsia="仿宋_GB2312" w:hint="eastAsia"/>
          <w:color w:val="000000"/>
          <w:sz w:val="30"/>
          <w:szCs w:val="30"/>
        </w:rPr>
        <w:t>LH</w:t>
      </w:r>
      <w:r>
        <w:rPr>
          <w:rFonts w:ascii="仿宋_GB2312" w:eastAsia="仿宋_GB2312" w:hint="eastAsia"/>
          <w:color w:val="000000"/>
          <w:sz w:val="30"/>
          <w:szCs w:val="30"/>
          <w:vertAlign w:val="subscript"/>
        </w:rPr>
        <w:t>j</w:t>
      </w:r>
      <w:proofErr w:type="spellEnd"/>
      <w:r>
        <w:rPr>
          <w:rFonts w:ascii="仿宋_GB2312" w:eastAsia="仿宋_GB2312" w:hint="eastAsia"/>
          <w:color w:val="000000"/>
          <w:sz w:val="30"/>
          <w:szCs w:val="30"/>
        </w:rPr>
        <w:t>是第j组的流动性期限，它的天数如下表所示：</w:t>
      </w:r>
    </w:p>
    <w:p w:rsidR="000F35CE" w:rsidRDefault="00294C0B">
      <w:pPr>
        <w:spacing w:line="480" w:lineRule="exact"/>
        <w:ind w:firstLineChars="200" w:firstLine="562"/>
        <w:jc w:val="center"/>
        <w:rPr>
          <w:rFonts w:ascii="仿宋_GB2312" w:eastAsia="楷体_GB2312"/>
          <w:color w:val="000000"/>
          <w:sz w:val="30"/>
          <w:szCs w:val="30"/>
        </w:rPr>
      </w:pPr>
      <w:r>
        <w:rPr>
          <w:rFonts w:ascii="楷体_GB2312" w:eastAsia="楷体_GB2312" w:hint="eastAsia"/>
          <w:b/>
          <w:color w:val="000000"/>
          <w:sz w:val="28"/>
          <w:szCs w:val="28"/>
        </w:rPr>
        <w:t>表2　流动性期限对应表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0"/>
        <w:gridCol w:w="4360"/>
      </w:tblGrid>
      <w:tr w:rsidR="000F35CE">
        <w:trPr>
          <w:trHeight w:val="90"/>
        </w:trPr>
        <w:tc>
          <w:tcPr>
            <w:tcW w:w="4360" w:type="dxa"/>
          </w:tcPr>
          <w:p w:rsidR="000F35CE" w:rsidRDefault="00294C0B">
            <w:pPr>
              <w:spacing w:line="360" w:lineRule="exact"/>
              <w:jc w:val="center"/>
              <w:rPr>
                <w:rFonts w:ascii="宋体" w:hAnsi="宋体" w:cs="宋体"/>
                <w:b/>
                <w:bCs/>
                <w:color w:val="000000"/>
                <w:sz w:val="22"/>
                <w:szCs w:val="22"/>
              </w:rPr>
            </w:pPr>
            <w:r>
              <w:rPr>
                <w:rFonts w:ascii="宋体" w:hAnsi="宋体" w:cs="宋体" w:hint="eastAsia"/>
                <w:b/>
                <w:bCs/>
                <w:color w:val="000000"/>
                <w:sz w:val="22"/>
                <w:szCs w:val="22"/>
              </w:rPr>
              <w:t>j</w:t>
            </w:r>
          </w:p>
        </w:tc>
        <w:tc>
          <w:tcPr>
            <w:tcW w:w="4360" w:type="dxa"/>
          </w:tcPr>
          <w:p w:rsidR="000F35CE" w:rsidRDefault="00294C0B">
            <w:pPr>
              <w:spacing w:line="360" w:lineRule="exact"/>
              <w:jc w:val="center"/>
              <w:rPr>
                <w:rFonts w:ascii="宋体" w:hAnsi="宋体" w:cs="宋体"/>
                <w:b/>
                <w:bCs/>
                <w:color w:val="000000"/>
                <w:sz w:val="22"/>
                <w:szCs w:val="22"/>
              </w:rPr>
            </w:pPr>
            <w:proofErr w:type="spellStart"/>
            <w:r>
              <w:rPr>
                <w:rFonts w:ascii="宋体" w:hAnsi="宋体" w:cs="宋体" w:hint="eastAsia"/>
                <w:b/>
                <w:bCs/>
                <w:color w:val="000000"/>
                <w:sz w:val="22"/>
                <w:szCs w:val="22"/>
              </w:rPr>
              <w:t>LH</w:t>
            </w:r>
            <w:r>
              <w:rPr>
                <w:rFonts w:ascii="宋体" w:hAnsi="宋体" w:cs="宋体" w:hint="eastAsia"/>
                <w:b/>
                <w:bCs/>
                <w:color w:val="000000"/>
                <w:sz w:val="22"/>
                <w:szCs w:val="22"/>
                <w:vertAlign w:val="subscript"/>
              </w:rPr>
              <w:t>j</w:t>
            </w:r>
            <w:proofErr w:type="spellEnd"/>
          </w:p>
        </w:tc>
      </w:tr>
      <w:tr w:rsidR="000F35CE">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1</w:t>
            </w:r>
          </w:p>
        </w:tc>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10</w:t>
            </w:r>
          </w:p>
        </w:tc>
      </w:tr>
      <w:tr w:rsidR="000F35CE">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2</w:t>
            </w:r>
          </w:p>
        </w:tc>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20</w:t>
            </w:r>
          </w:p>
        </w:tc>
      </w:tr>
      <w:tr w:rsidR="000F35CE">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3</w:t>
            </w:r>
          </w:p>
        </w:tc>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40</w:t>
            </w:r>
          </w:p>
        </w:tc>
      </w:tr>
      <w:tr w:rsidR="000F35CE">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4</w:t>
            </w:r>
          </w:p>
        </w:tc>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60</w:t>
            </w:r>
          </w:p>
        </w:tc>
      </w:tr>
      <w:tr w:rsidR="000F35CE">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5</w:t>
            </w:r>
          </w:p>
        </w:tc>
        <w:tc>
          <w:tcPr>
            <w:tcW w:w="4360" w:type="dxa"/>
          </w:tcPr>
          <w:p w:rsidR="000F35CE" w:rsidRDefault="00294C0B">
            <w:pPr>
              <w:spacing w:line="360" w:lineRule="exact"/>
              <w:jc w:val="center"/>
              <w:rPr>
                <w:rFonts w:ascii="宋体" w:hAnsi="宋体" w:cs="宋体"/>
                <w:color w:val="000000"/>
                <w:sz w:val="22"/>
                <w:szCs w:val="22"/>
              </w:rPr>
            </w:pPr>
            <w:r>
              <w:rPr>
                <w:rFonts w:ascii="宋体" w:hAnsi="宋体" w:cs="宋体" w:hint="eastAsia"/>
                <w:color w:val="000000"/>
                <w:sz w:val="22"/>
                <w:szCs w:val="22"/>
              </w:rPr>
              <w:t>120</w:t>
            </w:r>
          </w:p>
        </w:tc>
      </w:tr>
    </w:tbl>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Ansi="宋体" w:cs="宋体" w:hint="eastAsia"/>
          <w:color w:val="000000"/>
          <w:kern w:val="0"/>
          <w:sz w:val="30"/>
          <w:szCs w:val="30"/>
        </w:rPr>
        <w:t>（四）</w:t>
      </w:r>
      <w:r>
        <w:rPr>
          <w:rFonts w:ascii="仿宋_GB2312" w:eastAsia="仿宋_GB2312" w:hint="eastAsia"/>
          <w:color w:val="000000"/>
          <w:sz w:val="30"/>
          <w:szCs w:val="30"/>
        </w:rPr>
        <w:t>计算</w:t>
      </w:r>
      <w:r>
        <w:rPr>
          <w:rFonts w:ascii="仿宋_GB2312" w:eastAsia="仿宋_GB2312" w:hAnsi="宋体" w:cs="宋体" w:hint="eastAsia"/>
          <w:color w:val="000000"/>
          <w:kern w:val="0"/>
          <w:sz w:val="30"/>
          <w:szCs w:val="30"/>
        </w:rPr>
        <w:t>预期尾部损失</w:t>
      </w:r>
      <w:r>
        <w:rPr>
          <w:rFonts w:ascii="仿宋_GB2312" w:eastAsia="仿宋_GB2312" w:hint="eastAsia"/>
          <w:color w:val="000000"/>
          <w:sz w:val="30"/>
          <w:szCs w:val="30"/>
        </w:rPr>
        <w:t>采用的观察期应符合下列要求：</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1．观察期长度应至少为一年（或250个交易日）。</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2．若价格波动率显著变大时，经银保监会验收合格，商业银行可使用不短于6个月的观察期计算预期尾部损失。</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Ansi="宋体" w:cs="宋体" w:hint="eastAsia"/>
          <w:color w:val="000000"/>
          <w:kern w:val="0"/>
          <w:sz w:val="30"/>
          <w:szCs w:val="30"/>
        </w:rPr>
        <w:t>（五）</w:t>
      </w:r>
      <w:r>
        <w:rPr>
          <w:rFonts w:ascii="仿宋_GB2312" w:eastAsia="仿宋_GB2312" w:hint="eastAsia"/>
          <w:color w:val="000000"/>
          <w:sz w:val="30"/>
          <w:szCs w:val="30"/>
        </w:rPr>
        <w:t>在计算</w:t>
      </w:r>
      <w:r>
        <w:rPr>
          <w:rFonts w:ascii="仿宋_GB2312" w:eastAsia="仿宋_GB2312" w:hAnsi="宋体" w:cs="宋体" w:hint="eastAsia"/>
          <w:color w:val="000000"/>
          <w:kern w:val="0"/>
          <w:sz w:val="30"/>
          <w:szCs w:val="30"/>
        </w:rPr>
        <w:t>预期尾部损失</w:t>
      </w:r>
      <w:r>
        <w:rPr>
          <w:rFonts w:ascii="仿宋_GB2312" w:eastAsia="仿宋_GB2312" w:hint="eastAsia"/>
          <w:color w:val="000000"/>
          <w:sz w:val="30"/>
          <w:szCs w:val="30"/>
        </w:rPr>
        <w:t>的基础上，商业银行还应对其现有的资产组合计算压力</w:t>
      </w:r>
      <w:r>
        <w:rPr>
          <w:rFonts w:ascii="仿宋_GB2312" w:eastAsia="仿宋_GB2312" w:hAnsi="宋体" w:cs="宋体" w:hint="eastAsia"/>
          <w:color w:val="000000"/>
          <w:kern w:val="0"/>
          <w:sz w:val="30"/>
          <w:szCs w:val="30"/>
        </w:rPr>
        <w:t>预期尾部损失</w:t>
      </w:r>
      <w:r>
        <w:rPr>
          <w:rFonts w:ascii="仿宋_GB2312" w:eastAsia="仿宋_GB2312" w:hint="eastAsia"/>
          <w:color w:val="000000"/>
          <w:sz w:val="30"/>
          <w:szCs w:val="30"/>
        </w:rPr>
        <w:t>，压力</w:t>
      </w:r>
      <w:r>
        <w:rPr>
          <w:rFonts w:ascii="仿宋_GB2312" w:eastAsia="仿宋_GB2312" w:hAnsi="宋体" w:cs="宋体" w:hint="eastAsia"/>
          <w:color w:val="000000"/>
          <w:kern w:val="0"/>
          <w:sz w:val="30"/>
          <w:szCs w:val="30"/>
        </w:rPr>
        <w:t>预期尾部损失</w:t>
      </w:r>
      <w:r>
        <w:rPr>
          <w:rFonts w:ascii="仿宋_GB2312" w:eastAsia="仿宋_GB2312" w:hint="eastAsia"/>
          <w:color w:val="000000"/>
          <w:sz w:val="30"/>
          <w:szCs w:val="30"/>
        </w:rPr>
        <w:t>应覆盖商业银行所有的主要市场风险</w:t>
      </w:r>
      <w:r>
        <w:rPr>
          <w:rFonts w:ascii="仿宋_GB2312" w:eastAsia="仿宋_GB2312" w:hAnsi="Calibri" w:hint="eastAsia"/>
          <w:color w:val="000000"/>
          <w:sz w:val="30"/>
          <w:szCs w:val="30"/>
        </w:rPr>
        <w:t>。</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 xml:space="preserve">（六）用于计量市场风险资本的预期尾部损失计算公式如下： </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其中：</w:t>
      </w:r>
    </w:p>
    <w:p w:rsidR="000F35CE" w:rsidRDefault="00294C0B" w:rsidP="0083785F">
      <w:pPr>
        <w:jc w:val="center"/>
        <w:rPr>
          <w:rFonts w:ascii="仿宋_GB2312" w:eastAsia="仿宋_GB2312" w:hAnsi="宋体" w:cs="宋体"/>
          <w:color w:val="000000"/>
          <w:kern w:val="0"/>
          <w:sz w:val="30"/>
          <w:szCs w:val="30"/>
        </w:rPr>
      </w:pPr>
      <w:r>
        <w:rPr>
          <w:position w:val="-32"/>
          <w:sz w:val="30"/>
          <w:szCs w:val="30"/>
        </w:rPr>
        <w:object w:dxaOrig="1980" w:dyaOrig="719">
          <v:shape id="Object 12" o:spid="_x0000_i1036" type="#_x0000_t75" style="width:99.1pt;height:36pt;mso-wrap-style:square;mso-position-horizontal-relative:page;mso-position-vertical-relative:page" o:ole="">
            <v:imagedata r:id="rId26" o:title=""/>
          </v:shape>
          <o:OLEObject Type="Embed" ProgID="Equation.DSMT4" ShapeID="Object 12" DrawAspect="Content" ObjectID="_1738154974" r:id="rId27"/>
        </w:objec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1．</w:t>
      </w:r>
      <w:r>
        <w:rPr>
          <w:position w:val="-14"/>
          <w:sz w:val="30"/>
          <w:szCs w:val="30"/>
        </w:rPr>
        <w:object w:dxaOrig="599" w:dyaOrig="379">
          <v:shape id="Object 13" o:spid="_x0000_i1037" type="#_x0000_t75" style="width:30.15pt;height:18.85pt;mso-wrap-style:square;mso-position-horizontal-relative:page;mso-position-vertical-relative:page" o:ole="">
            <v:imagedata r:id="rId28" o:title=""/>
          </v:shape>
          <o:OLEObject Type="Embed" ProgID="Equation.DSMT4" ShapeID="Object 13" DrawAspect="Content" ObjectID="_1738154975" r:id="rId29"/>
        </w:object>
      </w:r>
      <w:r>
        <w:rPr>
          <w:rFonts w:ascii="仿宋_GB2312" w:eastAsia="仿宋_GB2312" w:hAnsi="宋体" w:cs="宋体" w:hint="eastAsia"/>
          <w:color w:val="000000"/>
          <w:kern w:val="0"/>
          <w:sz w:val="30"/>
          <w:szCs w:val="30"/>
        </w:rPr>
        <w:t>是在12个月的压力情景下，使用简化风险因子组计算的预期尾部损失；压力情景根据本部分（七）确定。</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w:t>
      </w:r>
      <w:r>
        <w:rPr>
          <w:position w:val="-14"/>
          <w:sz w:val="30"/>
          <w:szCs w:val="30"/>
        </w:rPr>
        <w:object w:dxaOrig="619" w:dyaOrig="379">
          <v:shape id="Object 14" o:spid="_x0000_i1038" type="#_x0000_t75" style="width:30.85pt;height:18.85pt;mso-wrap-style:square;mso-position-horizontal-relative:page;mso-position-vertical-relative:page" o:ole="">
            <v:imagedata r:id="rId30" o:title=""/>
          </v:shape>
          <o:OLEObject Type="Embed" ProgID="Equation.DSMT4" ShapeID="Object 14" DrawAspect="Content" ObjectID="_1738154976" r:id="rId31"/>
        </w:object>
      </w:r>
      <w:r>
        <w:rPr>
          <w:rFonts w:ascii="仿宋_GB2312" w:eastAsia="仿宋_GB2312" w:hAnsi="宋体" w:cs="宋体" w:hint="eastAsia"/>
          <w:color w:val="000000"/>
          <w:kern w:val="0"/>
          <w:sz w:val="30"/>
          <w:szCs w:val="30"/>
        </w:rPr>
        <w:t>是基于最近12个月的观察期，使用全部风险因子计算的预期尾部损失。</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w:t>
      </w:r>
      <w:r>
        <w:rPr>
          <w:position w:val="-14"/>
          <w:sz w:val="30"/>
          <w:szCs w:val="30"/>
        </w:rPr>
        <w:object w:dxaOrig="619" w:dyaOrig="379">
          <v:shape id="Object 15" o:spid="_x0000_i1039" type="#_x0000_t75" style="width:30.85pt;height:18.85pt;mso-wrap-style:square;mso-position-horizontal-relative:page;mso-position-vertical-relative:page" o:ole="">
            <v:imagedata r:id="rId32" o:title=""/>
          </v:shape>
          <o:OLEObject Type="Embed" ProgID="Equation.DSMT4" ShapeID="Object 15" DrawAspect="Content" ObjectID="_1738154977" r:id="rId33"/>
        </w:object>
      </w:r>
      <w:r>
        <w:rPr>
          <w:rFonts w:ascii="仿宋_GB2312" w:eastAsia="仿宋_GB2312" w:hAnsi="宋体" w:cs="宋体" w:hint="eastAsia"/>
          <w:color w:val="000000"/>
          <w:kern w:val="0"/>
          <w:sz w:val="30"/>
          <w:szCs w:val="30"/>
        </w:rPr>
        <w:t>是基于最近12个月的观察期，使用简化风险因子组计算的预期尾部损失。</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4．简化风险因子集合是一组与投资组合相关且具有足够长观察历史的风险因子，应经银保监会验收合格且满足本附件第三部分规定的可建模因子数据质量要求。简化风险因子计算的预期尾部损失与完整预期尾部损失的比率的前12周平均值不小于75%。</w:t>
      </w:r>
    </w:p>
    <w:p w:rsidR="000F35CE" w:rsidRDefault="00294C0B">
      <w:pPr>
        <w:spacing w:line="48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5．</w:t>
      </w:r>
      <w:r>
        <w:rPr>
          <w:position w:val="-14"/>
          <w:sz w:val="30"/>
          <w:szCs w:val="30"/>
        </w:rPr>
        <w:object w:dxaOrig="1399" w:dyaOrig="379">
          <v:shape id="Object 16" o:spid="_x0000_i1040" type="#_x0000_t75" style="width:69.95pt;height:18.85pt;mso-wrap-style:square;mso-position-horizontal-relative:page;mso-position-vertical-relative:page" o:ole="">
            <v:imagedata r:id="rId34" o:title=""/>
          </v:shape>
          <o:OLEObject Type="Embed" ProgID="Equation.DSMT4" ShapeID="Object 16" DrawAspect="Content" ObjectID="_1738154978" r:id="rId35"/>
        </w:object>
      </w:r>
      <w:r>
        <w:rPr>
          <w:rFonts w:ascii="仿宋_GB2312" w:eastAsia="仿宋_GB2312" w:hAnsi="宋体" w:cs="宋体" w:hint="eastAsia"/>
          <w:color w:val="000000"/>
          <w:kern w:val="0"/>
          <w:sz w:val="30"/>
          <w:szCs w:val="30"/>
        </w:rPr>
        <w:t>最低为1。</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（七）压力预期尾部损失的计算要求包括：</w:t>
      </w:r>
    </w:p>
    <w:p w:rsidR="000F35CE" w:rsidRDefault="00294C0B">
      <w:pPr>
        <w:spacing w:line="480" w:lineRule="exact"/>
        <w:ind w:firstLineChars="200" w:firstLine="600"/>
        <w:rPr>
          <w:rFonts w:ascii="仿宋_GB2312" w:eastAsia="仿宋_GB2312"/>
          <w:color w:val="000000"/>
          <w:sz w:val="30"/>
          <w:szCs w:val="30"/>
        </w:rPr>
      </w:pPr>
      <w:bookmarkStart w:id="17" w:name="_Hlk71375514"/>
      <w:r>
        <w:rPr>
          <w:rFonts w:ascii="仿宋_GB2312" w:eastAsia="仿宋_GB2312" w:hint="eastAsia"/>
          <w:color w:val="000000"/>
          <w:sz w:val="30"/>
          <w:szCs w:val="30"/>
        </w:rPr>
        <w:t>1．选用给商业银行造成最大损失的连续的12个月压力期间作为显著压力情景。</w:t>
      </w:r>
      <w:bookmarkStart w:id="18" w:name="_Hlk71376704"/>
      <w:r>
        <w:rPr>
          <w:rFonts w:ascii="仿宋_GB2312" w:eastAsia="仿宋_GB2312" w:hint="eastAsia"/>
          <w:color w:val="000000"/>
          <w:sz w:val="30"/>
          <w:szCs w:val="30"/>
        </w:rPr>
        <w:t>商业银行应通过最大化可建模风险因子资本要求确定最大损失。</w:t>
      </w:r>
      <w:bookmarkEnd w:id="18"/>
    </w:p>
    <w:bookmarkEnd w:id="17"/>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2．选用的连续12个月的压力期间是指包括极端金融压力事件的连续期间，其观察期应至少回溯至2</w:t>
      </w:r>
      <w:r>
        <w:rPr>
          <w:rFonts w:ascii="仿宋_GB2312" w:eastAsia="仿宋_GB2312"/>
          <w:color w:val="000000"/>
          <w:sz w:val="30"/>
          <w:szCs w:val="30"/>
        </w:rPr>
        <w:t>007</w:t>
      </w:r>
      <w:r>
        <w:rPr>
          <w:rFonts w:ascii="仿宋_GB2312" w:eastAsia="仿宋_GB2312" w:hint="eastAsia"/>
          <w:color w:val="000000"/>
          <w:sz w:val="30"/>
          <w:szCs w:val="30"/>
        </w:rPr>
        <w:t>年，每个观察值应赋予相同权重。若极端压力事件的持续期间少于12个月，商业银行应使用适当方法将期间扩展至12个月。</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3．选用的连续12个月的压力期间应与商业银行自身的资产组合相关。</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4．商业银行选取压力期间的方法应经银保监会认可。商业银行应将按认可方法确定的压力期间报备银保监会，并应定期对其进行审核。</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（八）商业银行应至少每季度更新一次数据集，并同步更新简化风险因子组。如市场风险因子的变动过大影响模型数据的审慎性，则应提高更新频率。数据集更新流程应足够灵活以适应提高更新频率的要求。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（九）商业银行可自主识别风险类别之间的相关性，书面记录并报告银保监会。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不同风险因子类别对应的流动性期限如下表所列。商业银行应将每个风险因子映射到下表所列的风险因子类别之一。风险因子的映射应以书面形式记录，经商业银行风险管理部门验证，报送银保监会并接受内部审计。</w:t>
      </w:r>
    </w:p>
    <w:p w:rsidR="000F35CE" w:rsidRDefault="00294C0B">
      <w:pPr>
        <w:spacing w:line="480" w:lineRule="exact"/>
        <w:ind w:firstLineChars="200" w:firstLine="562"/>
        <w:jc w:val="center"/>
        <w:rPr>
          <w:rFonts w:ascii="仿宋_GB2312" w:eastAsia="楷体_GB2312"/>
          <w:color w:val="000000"/>
          <w:sz w:val="30"/>
          <w:szCs w:val="30"/>
        </w:rPr>
      </w:pPr>
      <w:r>
        <w:rPr>
          <w:rFonts w:ascii="楷体_GB2312" w:eastAsia="楷体_GB2312" w:hint="eastAsia"/>
          <w:b/>
          <w:color w:val="000000"/>
          <w:sz w:val="28"/>
          <w:szCs w:val="28"/>
        </w:rPr>
        <w:t>表3　风险因子类别的流动性期限对应表</w:t>
      </w:r>
    </w:p>
    <w:tbl>
      <w:tblPr>
        <w:tblW w:w="9127" w:type="dxa"/>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977"/>
        <w:gridCol w:w="1361"/>
        <w:gridCol w:w="3480"/>
        <w:gridCol w:w="1309"/>
      </w:tblGrid>
      <w:tr w:rsidR="000F35CE">
        <w:trPr>
          <w:trHeight w:val="300"/>
        </w:trPr>
        <w:tc>
          <w:tcPr>
            <w:tcW w:w="2977" w:type="dxa"/>
            <w:vAlign w:val="center"/>
          </w:tcPr>
          <w:p w:rsidR="000F35CE" w:rsidRDefault="00294C0B">
            <w:pPr>
              <w:widowControl/>
              <w:jc w:val="center"/>
              <w:rPr>
                <w:rFonts w:ascii="宋体" w:hAnsi="宋体" w:cs="宋体"/>
                <w:b/>
                <w:bCs/>
                <w:color w:val="000000"/>
                <w:kern w:val="0"/>
                <w:szCs w:val="21"/>
              </w:rPr>
            </w:pPr>
            <w:r>
              <w:rPr>
                <w:rFonts w:ascii="宋体" w:hAnsi="宋体" w:cs="宋体" w:hint="eastAsia"/>
                <w:b/>
                <w:bCs/>
                <w:color w:val="000000"/>
                <w:kern w:val="0"/>
                <w:szCs w:val="21"/>
              </w:rPr>
              <w:t>风险因子类别</w:t>
            </w:r>
          </w:p>
        </w:tc>
        <w:tc>
          <w:tcPr>
            <w:tcW w:w="1361" w:type="dxa"/>
            <w:tcBorders>
              <w:right w:val="single" w:sz="4" w:space="0" w:color="auto"/>
            </w:tcBorders>
            <w:vAlign w:val="center"/>
          </w:tcPr>
          <w:p w:rsidR="000F35CE" w:rsidRDefault="00294C0B">
            <w:pPr>
              <w:widowControl/>
              <w:jc w:val="center"/>
              <w:rPr>
                <w:rFonts w:ascii="宋体" w:hAnsi="宋体" w:cs="宋体"/>
                <w:b/>
                <w:bCs/>
                <w:color w:val="000000"/>
                <w:kern w:val="0"/>
                <w:szCs w:val="21"/>
              </w:rPr>
            </w:pPr>
            <w:r>
              <w:rPr>
                <w:rFonts w:ascii="宋体" w:hAnsi="宋体" w:cs="宋体" w:hint="eastAsia"/>
                <w:b/>
                <w:bCs/>
                <w:color w:val="000000"/>
                <w:kern w:val="0"/>
                <w:szCs w:val="21"/>
              </w:rPr>
              <w:t>流动性期限</w:t>
            </w:r>
          </w:p>
        </w:tc>
        <w:tc>
          <w:tcPr>
            <w:tcW w:w="3480" w:type="dxa"/>
            <w:tcBorders>
              <w:left w:val="single" w:sz="4" w:space="0" w:color="auto"/>
            </w:tcBorders>
            <w:vAlign w:val="center"/>
          </w:tcPr>
          <w:p w:rsidR="000F35CE" w:rsidRDefault="00294C0B">
            <w:pPr>
              <w:widowControl/>
              <w:jc w:val="center"/>
              <w:rPr>
                <w:rFonts w:ascii="宋体" w:hAnsi="宋体" w:cs="宋体"/>
                <w:b/>
                <w:bCs/>
                <w:color w:val="000000"/>
                <w:kern w:val="0"/>
                <w:szCs w:val="21"/>
              </w:rPr>
            </w:pPr>
            <w:r>
              <w:rPr>
                <w:rFonts w:ascii="宋体" w:hAnsi="宋体" w:cs="宋体" w:hint="eastAsia"/>
                <w:b/>
                <w:bCs/>
                <w:color w:val="000000"/>
                <w:kern w:val="0"/>
                <w:szCs w:val="21"/>
              </w:rPr>
              <w:t>风险因子类别</w:t>
            </w:r>
          </w:p>
        </w:tc>
        <w:tc>
          <w:tcPr>
            <w:tcW w:w="1309" w:type="dxa"/>
            <w:vAlign w:val="center"/>
          </w:tcPr>
          <w:p w:rsidR="000F35CE" w:rsidRDefault="00294C0B">
            <w:pPr>
              <w:widowControl/>
              <w:jc w:val="center"/>
              <w:rPr>
                <w:rFonts w:ascii="宋体" w:hAnsi="宋体" w:cs="宋体"/>
                <w:b/>
                <w:bCs/>
                <w:color w:val="000000"/>
                <w:kern w:val="0"/>
                <w:szCs w:val="21"/>
              </w:rPr>
            </w:pPr>
            <w:r>
              <w:rPr>
                <w:rFonts w:ascii="宋体" w:hAnsi="宋体" w:cs="宋体" w:hint="eastAsia"/>
                <w:b/>
                <w:bCs/>
                <w:color w:val="000000"/>
                <w:kern w:val="0"/>
                <w:szCs w:val="21"/>
              </w:rPr>
              <w:t>流动性期限</w:t>
            </w:r>
          </w:p>
        </w:tc>
      </w:tr>
      <w:tr w:rsidR="000F35CE">
        <w:trPr>
          <w:trHeight w:val="724"/>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利率：指定货币－EUR, USD, GBP, AUD, JPY, SEK, CAD和CNY</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股票价格（小市值）：波动率</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60</w:t>
            </w:r>
          </w:p>
        </w:tc>
      </w:tr>
      <w:tr w:rsidR="000F35CE">
        <w:trPr>
          <w:trHeight w:val="300"/>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利率：未指定的货币</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股票：其他类型</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60</w:t>
            </w:r>
          </w:p>
        </w:tc>
      </w:tr>
      <w:tr w:rsidR="000F35CE">
        <w:trPr>
          <w:trHeight w:val="300"/>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利率：波动率</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60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vertAlign w:val="superscript"/>
              </w:rPr>
            </w:pPr>
            <w:r>
              <w:rPr>
                <w:rFonts w:ascii="宋体" w:hAnsi="宋体" w:cs="宋体" w:hint="eastAsia"/>
                <w:color w:val="000000"/>
                <w:kern w:val="0"/>
                <w:sz w:val="22"/>
                <w:szCs w:val="22"/>
              </w:rPr>
              <w:t>汇率：指定货币对</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10</w:t>
            </w:r>
          </w:p>
        </w:tc>
      </w:tr>
      <w:tr w:rsidR="000F35CE">
        <w:trPr>
          <w:trHeight w:val="300"/>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利率：其他类型</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60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汇率：未指定货币对</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20</w:t>
            </w:r>
          </w:p>
        </w:tc>
      </w:tr>
      <w:tr w:rsidR="000F35CE">
        <w:trPr>
          <w:trHeight w:val="339"/>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信用利差：主权（投资级）</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外汇：波动率</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40</w:t>
            </w:r>
          </w:p>
        </w:tc>
      </w:tr>
      <w:tr w:rsidR="000F35CE">
        <w:trPr>
          <w:trHeight w:val="414"/>
        </w:trPr>
        <w:tc>
          <w:tcPr>
            <w:tcW w:w="2977" w:type="dxa"/>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信用利差：主权（高收益率）</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40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外汇：其他类型</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40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信用利差：公司（投资级）</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40</w:t>
            </w:r>
          </w:p>
        </w:tc>
        <w:tc>
          <w:tcPr>
            <w:tcW w:w="3480" w:type="dxa"/>
            <w:tcBorders>
              <w:left w:val="single" w:sz="4" w:space="0" w:color="auto"/>
            </w:tcBorders>
            <w:vAlign w:val="center"/>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能源和碳排放交易价格</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20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信用利差：公司（高收益率）</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60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贵金属和有色金属价格</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20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信用利差：波动率</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120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其他商品价格</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60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信用利差：其它类型</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120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能源和碳排放交易价格：波动率</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60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股票价格（大市值）：</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贵金属和有色金属价格：波动率</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60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股票价格（小市值）：</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其他商品价格：波动率</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120</w:t>
            </w:r>
          </w:p>
        </w:tc>
      </w:tr>
      <w:tr w:rsidR="000F35CE">
        <w:trPr>
          <w:trHeight w:val="300"/>
        </w:trPr>
        <w:tc>
          <w:tcPr>
            <w:tcW w:w="2977" w:type="dxa"/>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股票价格（大市值）：波动率</w:t>
            </w:r>
          </w:p>
        </w:tc>
        <w:tc>
          <w:tcPr>
            <w:tcW w:w="1361" w:type="dxa"/>
            <w:tcBorders>
              <w:right w:val="single" w:sz="4" w:space="0" w:color="auto"/>
            </w:tcBorders>
            <w:vAlign w:val="center"/>
          </w:tcPr>
          <w:p w:rsidR="000F35CE" w:rsidRDefault="00294C0B">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3480" w:type="dxa"/>
            <w:tcBorders>
              <w:left w:val="single" w:sz="4" w:space="0" w:color="auto"/>
            </w:tcBorders>
            <w:vAlign w:val="bottom"/>
          </w:tcPr>
          <w:p w:rsidR="000F35CE" w:rsidRDefault="00294C0B">
            <w:pPr>
              <w:widowControl/>
              <w:jc w:val="left"/>
              <w:rPr>
                <w:rFonts w:ascii="宋体" w:hAnsi="宋体" w:cs="宋体"/>
                <w:color w:val="000000"/>
                <w:kern w:val="0"/>
                <w:sz w:val="22"/>
                <w:szCs w:val="22"/>
              </w:rPr>
            </w:pPr>
            <w:r>
              <w:rPr>
                <w:rFonts w:ascii="宋体" w:hAnsi="宋体" w:cs="宋体" w:hint="eastAsia"/>
                <w:color w:val="000000"/>
                <w:kern w:val="0"/>
                <w:sz w:val="22"/>
                <w:szCs w:val="22"/>
              </w:rPr>
              <w:t>商品：其他类型</w:t>
            </w:r>
          </w:p>
        </w:tc>
        <w:tc>
          <w:tcPr>
            <w:tcW w:w="1309" w:type="dxa"/>
            <w:vAlign w:val="center"/>
          </w:tcPr>
          <w:p w:rsidR="000F35CE" w:rsidRDefault="00294C0B">
            <w:pPr>
              <w:widowControl/>
              <w:jc w:val="center"/>
              <w:rPr>
                <w:rFonts w:ascii="宋体" w:hAnsi="宋体" w:cs="宋体"/>
                <w:color w:val="000000"/>
                <w:kern w:val="0"/>
                <w:sz w:val="24"/>
              </w:rPr>
            </w:pPr>
            <w:r>
              <w:rPr>
                <w:rFonts w:ascii="宋体" w:hAnsi="宋体" w:cs="宋体" w:hint="eastAsia"/>
                <w:color w:val="000000"/>
                <w:kern w:val="0"/>
                <w:sz w:val="24"/>
              </w:rPr>
              <w:t>120</w:t>
            </w:r>
          </w:p>
        </w:tc>
      </w:tr>
    </w:tbl>
    <w:p w:rsidR="000F35CE" w:rsidRDefault="00294C0B">
      <w:pPr>
        <w:ind w:firstLineChars="200" w:firstLine="440"/>
        <w:rPr>
          <w:rFonts w:ascii="宋体" w:hAnsi="宋体" w:cs="宋体"/>
          <w:color w:val="000000"/>
          <w:kern w:val="0"/>
          <w:sz w:val="22"/>
          <w:szCs w:val="22"/>
        </w:rPr>
      </w:pPr>
      <w:r>
        <w:rPr>
          <w:rFonts w:ascii="宋体" w:hAnsi="宋体" w:cs="宋体" w:hint="eastAsia"/>
          <w:color w:val="000000"/>
          <w:kern w:val="0"/>
          <w:sz w:val="22"/>
          <w:szCs w:val="22"/>
        </w:rPr>
        <w:t>注：（1）投资级应符合本办法附件2</w:t>
      </w:r>
      <w:r>
        <w:rPr>
          <w:rFonts w:ascii="宋体" w:hAnsi="宋体" w:cs="宋体"/>
          <w:color w:val="000000"/>
          <w:kern w:val="0"/>
          <w:sz w:val="22"/>
          <w:szCs w:val="22"/>
        </w:rPr>
        <w:t>5</w:t>
      </w:r>
      <w:r>
        <w:rPr>
          <w:rFonts w:ascii="宋体" w:hAnsi="宋体" w:cs="宋体" w:hint="eastAsia"/>
          <w:color w:val="000000"/>
          <w:kern w:val="0"/>
          <w:sz w:val="22"/>
          <w:szCs w:val="22"/>
        </w:rPr>
        <w:t>标准，不满足投资级标准的应认定为高收益率。对于我国主权机构、地方政府、公共部门实体，若无法获取主权评级，可使用债项评级作为信用水平判断依据。（2）“大市值类”指股票总市值大于或等于130亿元人民币，“小市值类”指股票总市值小于130亿元人民币，其中，股票总市值是指同一上市法人或集团在全球证券交易所发行的所有可流通股票市场价值的总和。（3）指定货币对包括美元/ 欧元、美元/ 日元、美元/ 英镑、美元/ 澳大利亚元、美元/ 加拿大元、美元/ 瑞士法郎、美元/ 墨西哥元、美元/人民币、美元/ 新西兰元、美元/ 卢布、美元/ 港元、美元/ 新加坡元、美元/ 新土耳其里拉、美元/ 韩元、美元/ 瑞典克朗、美元/ 南非兰特、美元/ 印度卢比、美元/ 挪威克朗、美元/ 巴西雷亚尔、欧元/日元、欧元/英镑、欧元/瑞士法郎、日元/澳元及以上货币对的一阶交叉货币对。</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（十一）经银保监会认可，流动性期限可高于表</w:t>
      </w:r>
      <w:r>
        <w:rPr>
          <w:rFonts w:ascii="仿宋_GB2312" w:eastAsia="仿宋_GB2312"/>
          <w:color w:val="000000"/>
          <w:sz w:val="30"/>
          <w:szCs w:val="30"/>
        </w:rPr>
        <w:t>3</w:t>
      </w:r>
      <w:r>
        <w:rPr>
          <w:rFonts w:ascii="仿宋_GB2312" w:eastAsia="仿宋_GB2312" w:hint="eastAsia"/>
          <w:color w:val="000000"/>
          <w:sz w:val="30"/>
          <w:szCs w:val="30"/>
        </w:rPr>
        <w:t>中对应的值，但应是20天、40天、60天或120天期限，并不得超过产品的剩余期限。</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int="eastAsia"/>
          <w:color w:val="000000"/>
          <w:sz w:val="30"/>
          <w:szCs w:val="30"/>
        </w:rPr>
        <w:t>（十二）</w:t>
      </w:r>
      <w:r>
        <w:rPr>
          <w:rFonts w:ascii="仿宋_GB2312" w:eastAsia="仿宋_GB2312" w:hAnsi="Calibri" w:hint="eastAsia"/>
          <w:color w:val="000000"/>
          <w:sz w:val="30"/>
          <w:szCs w:val="30"/>
        </w:rPr>
        <w:t>可建模风险因子的总资本要求(IMCC)</w:t>
      </w:r>
      <w:r>
        <w:rPr>
          <w:rFonts w:ascii="仿宋_GB2312" w:eastAsia="仿宋_GB2312" w:hint="eastAsia"/>
          <w:color w:val="000000"/>
          <w:sz w:val="30"/>
          <w:szCs w:val="30"/>
        </w:rPr>
        <w:t>为受</w:t>
      </w:r>
      <w:r>
        <w:rPr>
          <w:rFonts w:ascii="仿宋_GB2312" w:eastAsia="仿宋_GB2312" w:hAnsi="Calibri" w:hint="eastAsia"/>
          <w:color w:val="000000"/>
          <w:sz w:val="30"/>
          <w:szCs w:val="30"/>
        </w:rPr>
        <w:t>分散效应和不受分散效应</w:t>
      </w:r>
      <w:r>
        <w:rPr>
          <w:rFonts w:ascii="仿宋_GB2312" w:eastAsia="仿宋_GB2312" w:hint="eastAsia"/>
          <w:color w:val="000000"/>
          <w:sz w:val="30"/>
          <w:szCs w:val="30"/>
        </w:rPr>
        <w:t>影响</w:t>
      </w:r>
      <w:r>
        <w:rPr>
          <w:rFonts w:ascii="仿宋_GB2312" w:eastAsia="仿宋_GB2312" w:hAnsi="Calibri" w:hint="eastAsia"/>
          <w:color w:val="000000"/>
          <w:sz w:val="30"/>
          <w:szCs w:val="30"/>
        </w:rPr>
        <w:t>的各风险类别预期尾部损失资本要求的加权平均值，公式如下：</w:t>
      </w:r>
      <w:r>
        <w:rPr>
          <w:rFonts w:ascii="仿宋_GB2312" w:eastAsia="仿宋_GB2312" w:hint="eastAsia"/>
          <w:color w:val="000000"/>
          <w:sz w:val="30"/>
          <w:szCs w:val="30"/>
        </w:rPr>
        <w:t xml:space="preserve"> </w:t>
      </w:r>
    </w:p>
    <w:p w:rsidR="000F35CE" w:rsidRDefault="00294C0B" w:rsidP="0083785F">
      <w:pPr>
        <w:jc w:val="center"/>
        <w:rPr>
          <w:rFonts w:ascii="仿宋_GB2312" w:eastAsia="仿宋_GB2312" w:hAnsi="Calibri"/>
          <w:color w:val="000000"/>
          <w:sz w:val="30"/>
          <w:szCs w:val="30"/>
        </w:rPr>
      </w:pPr>
      <w:r>
        <w:rPr>
          <w:position w:val="-30"/>
          <w:sz w:val="30"/>
          <w:szCs w:val="30"/>
        </w:rPr>
        <w:object w:dxaOrig="5020" w:dyaOrig="719">
          <v:shape id="Object 17" o:spid="_x0000_i1041" type="#_x0000_t75" style="width:250.95pt;height:36pt;mso-wrap-style:square;mso-position-horizontal-relative:page;mso-position-vertical-relative:page" o:ole="">
            <v:imagedata r:id="rId36" o:title=""/>
          </v:shape>
          <o:OLEObject Type="Embed" ProgID="Equation.DSMT4" ShapeID="Object 17" DrawAspect="Content" ObjectID="_1738154979" r:id="rId37"/>
        </w:objec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其中：</w:t>
      </w:r>
    </w:p>
    <w:p w:rsidR="000F35CE" w:rsidRDefault="00294C0B">
      <w:pPr>
        <w:ind w:firstLineChars="200" w:firstLine="600"/>
        <w:rPr>
          <w:rFonts w:ascii="仿宋_GB2312" w:eastAsia="仿宋_GB2312"/>
          <w:color w:val="000000"/>
          <w:sz w:val="30"/>
          <w:szCs w:val="30"/>
        </w:rPr>
      </w:pPr>
      <w:r>
        <w:rPr>
          <w:rFonts w:ascii="仿宋_GB2312" w:eastAsia="仿宋_GB2312" w:hint="eastAsia"/>
          <w:color w:val="000000"/>
          <w:sz w:val="30"/>
          <w:szCs w:val="30"/>
        </w:rPr>
        <w:t>1．</w:t>
      </w:r>
      <w:r>
        <w:rPr>
          <w:position w:val="-32"/>
          <w:sz w:val="30"/>
          <w:szCs w:val="30"/>
        </w:rPr>
        <w:object w:dxaOrig="5539" w:dyaOrig="719">
          <v:shape id="Object 18" o:spid="_x0000_i1042" type="#_x0000_t75" style="width:277.05pt;height:36pt;mso-wrap-style:square;mso-position-horizontal-relative:page;mso-position-vertical-relative:page" o:ole="">
            <v:imagedata r:id="rId38" o:title=""/>
          </v:shape>
          <o:OLEObject Type="Embed" ProgID="Equation.DSMT4" ShapeID="Object 18" DrawAspect="Content" ObjectID="_1738154980" r:id="rId39"/>
        </w:object>
      </w:r>
      <w:r>
        <w:rPr>
          <w:rFonts w:ascii="仿宋_GB2312" w:eastAsia="仿宋_GB2312" w:hint="eastAsia"/>
          <w:color w:val="000000"/>
          <w:sz w:val="30"/>
          <w:szCs w:val="30"/>
        </w:rPr>
        <w:t>。</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position w:val="-12"/>
          <w:sz w:val="30"/>
          <w:szCs w:val="30"/>
        </w:rPr>
        <w:object w:dxaOrig="1180" w:dyaOrig="359">
          <v:shape id="Object 19" o:spid="_x0000_i1043" type="#_x0000_t75" style="width:58.95pt;height:17.85pt;mso-wrap-style:square;mso-position-horizontal-relative:page;mso-position-vertical-relative:page" o:ole="">
            <v:imagedata r:id="rId40" o:title=""/>
          </v:shape>
          <o:OLEObject Type="Embed" ProgID="Equation.DSMT4" ShapeID="Object 19" DrawAspect="Content" ObjectID="_1738154981" r:id="rId41"/>
        </w:object>
      </w:r>
      <w:r>
        <w:rPr>
          <w:rFonts w:ascii="仿宋_GB2312" w:eastAsia="仿宋_GB2312" w:hint="eastAsia"/>
          <w:color w:val="000000"/>
          <w:sz w:val="30"/>
          <w:szCs w:val="30"/>
        </w:rPr>
        <w:t>为全行层面上使用内部模型计算的资本要求，受分散效应影响。</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w:t>
      </w:r>
      <w:r>
        <w:rPr>
          <w:position w:val="-12"/>
          <w:sz w:val="30"/>
          <w:szCs w:val="30"/>
        </w:rPr>
        <w:object w:dxaOrig="1219" w:dyaOrig="359">
          <v:shape id="Object 20" o:spid="_x0000_i1044" type="#_x0000_t75" style="width:61.05pt;height:18.15pt;mso-wrap-style:square;mso-position-horizontal-relative:page;mso-position-vertical-relative:page" o:ole="">
            <v:imagedata r:id="rId42" o:title=""/>
          </v:shape>
          <o:OLEObject Type="Embed" ProgID="Equation.DSMT4" ShapeID="Object 20" DrawAspect="Content" ObjectID="_1738154982" r:id="rId43"/>
        </w:object>
      </w:r>
      <w:r>
        <w:rPr>
          <w:rFonts w:ascii="仿宋_GB2312" w:eastAsia="仿宋_GB2312" w:hint="eastAsia"/>
          <w:color w:val="000000"/>
          <w:sz w:val="30"/>
          <w:szCs w:val="30"/>
        </w:rPr>
        <w:t>为各风险类别计算预期尾部损失资本要求，不受分散效应影响。</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4．计算风险类别层面的</w:t>
      </w:r>
      <w:r>
        <w:rPr>
          <w:position w:val="-14"/>
          <w:sz w:val="30"/>
          <w:szCs w:val="30"/>
        </w:rPr>
        <w:object w:dxaOrig="719" w:dyaOrig="379">
          <v:shape id="Object 21" o:spid="_x0000_i1045" type="#_x0000_t75" style="width:36pt;height:18.85pt;mso-wrap-style:square;mso-position-horizontal-relative:page;mso-position-vertical-relative:page" o:ole="">
            <v:imagedata r:id="rId44" o:title=""/>
          </v:shape>
          <o:OLEObject Type="Embed" ProgID="Equation.DSMT4" ShapeID="Object 21" DrawAspect="Content" ObjectID="_1738154983" r:id="rId45"/>
        </w:object>
      </w:r>
      <w:r>
        <w:rPr>
          <w:rFonts w:ascii="仿宋_GB2312" w:eastAsia="仿宋_GB2312" w:hint="eastAsia"/>
          <w:color w:val="000000"/>
          <w:sz w:val="30"/>
          <w:szCs w:val="30"/>
        </w:rPr>
        <w:t>中使用的压力情景与用于计算整个投资组合的</w:t>
      </w:r>
      <w:r>
        <w:rPr>
          <w:position w:val="-14"/>
          <w:sz w:val="30"/>
          <w:szCs w:val="30"/>
        </w:rPr>
        <w:object w:dxaOrig="599" w:dyaOrig="379">
          <v:shape id="Object 22" o:spid="_x0000_i1046" type="#_x0000_t75" style="width:30.15pt;height:18.85pt;mso-wrap-style:square;mso-position-horizontal-relative:page;mso-position-vertical-relative:page" o:ole="">
            <v:imagedata r:id="rId28" o:title=""/>
          </v:shape>
          <o:OLEObject Type="Embed" ProgID="Equation.DSMT4" ShapeID="Object 22" DrawAspect="Content" ObjectID="_1738154984" r:id="rId46"/>
        </w:object>
      </w:r>
      <w:r>
        <w:rPr>
          <w:rFonts w:ascii="仿宋_GB2312" w:eastAsia="仿宋_GB2312" w:hint="eastAsia"/>
          <w:color w:val="000000"/>
          <w:sz w:val="30"/>
          <w:szCs w:val="30"/>
        </w:rPr>
        <w:t>的压力情景相同。</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w:t>
      </w:r>
      <w:r>
        <w:rPr>
          <w:position w:val="-10"/>
          <w:sz w:val="30"/>
          <w:szCs w:val="30"/>
        </w:rPr>
        <w:object w:dxaOrig="259" w:dyaOrig="279">
          <v:shape id="Object 23" o:spid="_x0000_i1047" type="#_x0000_t75" style="width:13.05pt;height:14.05pt;mso-wrap-style:square;mso-position-horizontal-relative:page;mso-position-vertical-relative:page" o:ole="">
            <v:imagedata r:id="rId47" o:title=""/>
          </v:shape>
          <o:OLEObject Type="Embed" ProgID="Equation.DSMT4" ShapeID="Object 23" DrawAspect="Content" ObjectID="_1738154985" r:id="rId48"/>
        </w:object>
      </w:r>
      <w:r>
        <w:rPr>
          <w:rFonts w:ascii="仿宋_GB2312" w:eastAsia="仿宋_GB2312" w:hint="eastAsia"/>
          <w:color w:val="000000"/>
          <w:sz w:val="30"/>
          <w:szCs w:val="30"/>
        </w:rPr>
        <w:t>为0.5。</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6．B为风险类别。</w:t>
      </w:r>
    </w:p>
    <w:p w:rsidR="000F35CE" w:rsidRDefault="00294C0B">
      <w:pPr>
        <w:pStyle w:val="20"/>
      </w:pPr>
      <w:r>
        <w:rPr>
          <w:rFonts w:hint="eastAsia"/>
        </w:rPr>
        <w:t>五、</w:t>
      </w:r>
      <w:bookmarkStart w:id="19" w:name="_Hlk48835910"/>
      <w:r>
        <w:rPr>
          <w:rFonts w:hint="eastAsia"/>
        </w:rPr>
        <w:t>不可建模风险因子的资本要求</w:t>
      </w:r>
      <w:bookmarkEnd w:id="19"/>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Ansi="Calibri" w:hint="eastAsia"/>
          <w:color w:val="000000"/>
          <w:sz w:val="30"/>
          <w:szCs w:val="30"/>
        </w:rPr>
        <w:t>（一）不可建模风险因子的资本要求由压力情景确定，压力情景应至少与用于可建模风险因子预期尾部损失的压力情景同样审慎（97．5%置信区间）。相同风险类别中的不可建模风险因子的压力情景应相同。商业银行应根据本附件第四部分（七）确定压力情景。</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w:t>
      </w:r>
      <w:r>
        <w:rPr>
          <w:rFonts w:ascii="仿宋_GB2312" w:eastAsia="仿宋_GB2312" w:hAnsi="Calibri" w:hint="eastAsia"/>
          <w:color w:val="000000"/>
          <w:sz w:val="30"/>
          <w:szCs w:val="30"/>
        </w:rPr>
        <w:t>不可建模</w:t>
      </w:r>
      <w:r>
        <w:rPr>
          <w:rFonts w:ascii="仿宋_GB2312" w:eastAsia="仿宋_GB2312" w:hint="eastAsia"/>
          <w:color w:val="000000"/>
          <w:sz w:val="30"/>
          <w:szCs w:val="30"/>
        </w:rPr>
        <w:t>风险因子的流动性期限是表</w:t>
      </w:r>
      <w:r>
        <w:rPr>
          <w:rFonts w:ascii="仿宋_GB2312" w:eastAsia="仿宋_GB2312"/>
          <w:color w:val="000000"/>
          <w:sz w:val="30"/>
          <w:szCs w:val="30"/>
        </w:rPr>
        <w:t>3</w:t>
      </w:r>
      <w:r>
        <w:rPr>
          <w:rFonts w:ascii="仿宋_GB2312" w:eastAsia="仿宋_GB2312" w:hint="eastAsia"/>
          <w:color w:val="000000"/>
          <w:sz w:val="30"/>
          <w:szCs w:val="30"/>
        </w:rPr>
        <w:t>对应的流动性期限和20天中的较大者。</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int="eastAsia"/>
          <w:color w:val="000000"/>
          <w:sz w:val="30"/>
          <w:szCs w:val="30"/>
        </w:rPr>
        <w:t>（三）若</w:t>
      </w:r>
      <w:r>
        <w:rPr>
          <w:rFonts w:ascii="仿宋_GB2312" w:eastAsia="仿宋_GB2312" w:hAnsi="Calibri" w:hint="eastAsia"/>
          <w:color w:val="000000"/>
          <w:sz w:val="30"/>
          <w:szCs w:val="30"/>
        </w:rPr>
        <w:t>银保监会不认可商业银行确定的压力情景，银行应使用最大可能损失作为压力情景。</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w:t>
      </w:r>
      <w:r>
        <w:rPr>
          <w:rFonts w:ascii="仿宋_GB2312" w:eastAsia="仿宋_GB2312" w:hAnsi="Calibri" w:hint="eastAsia"/>
          <w:color w:val="000000"/>
          <w:sz w:val="30"/>
          <w:szCs w:val="30"/>
        </w:rPr>
        <w:t>不可建模风险因子资本</w:t>
      </w:r>
      <w:r>
        <w:rPr>
          <w:rFonts w:ascii="仿宋_GB2312" w:eastAsia="仿宋_GB2312" w:hint="eastAsia"/>
          <w:color w:val="000000"/>
          <w:sz w:val="30"/>
          <w:szCs w:val="30"/>
        </w:rPr>
        <w:t xml:space="preserve">计算方法如下： </w:t>
      </w:r>
    </w:p>
    <w:p w:rsidR="000F35CE" w:rsidRDefault="00294C0B">
      <w:pPr>
        <w:ind w:firstLineChars="200" w:firstLine="420"/>
        <w:rPr>
          <w:rFonts w:ascii="仿宋_GB2312" w:eastAsia="仿宋_GB2312"/>
          <w:color w:val="000000"/>
          <w:sz w:val="30"/>
          <w:szCs w:val="30"/>
        </w:rPr>
      </w:pPr>
      <m:oMathPara>
        <m:oMath>
          <m:r>
            <w:rPr>
              <w:rFonts w:ascii="Cambria Math" w:hint="eastAsia"/>
            </w:rPr>
            <m:t>SES</m:t>
          </m:r>
          <m:r>
            <w:rPr>
              <w:rFonts w:ascii="Cambria Math"/>
            </w:rPr>
            <m:t>=</m:t>
          </m:r>
          <m:rad>
            <m:radPr>
              <m:degHide m:val="1"/>
              <m:ctrlPr>
                <w:rPr>
                  <w:rFonts w:ascii="Cambria Math" w:hAnsi="Cambria Math"/>
                  <w:i/>
                </w:rPr>
              </m:ctrlPr>
            </m:radPr>
            <m:deg/>
            <m:e>
              <m:nary>
                <m:naryPr>
                  <m:chr m:val="∑"/>
                  <m:ctrlPr>
                    <w:rPr>
                      <w:rFonts w:ascii="Cambria Math" w:hAnsi="Cambria Math"/>
                      <w:i/>
                    </w:rPr>
                  </m:ctrlPr>
                </m:naryPr>
                <m:sub>
                  <m:r>
                    <w:rPr>
                      <w:rFonts w:ascii="Cambria Math"/>
                    </w:rPr>
                    <m:t>i=1</m:t>
                  </m:r>
                </m:sub>
                <m:sup>
                  <m:r>
                    <w:rPr>
                      <w:rFonts w:ascii="Cambria Math"/>
                    </w:rPr>
                    <m:t>I</m:t>
                  </m:r>
                </m:sup>
                <m:e>
                  <m:r>
                    <w:rPr>
                      <w:rFonts w:ascii="Cambria Math"/>
                    </w:rPr>
                    <m:t>ISE</m:t>
                  </m:r>
                  <m:sSubSup>
                    <m:sSubSupPr>
                      <m:ctrlPr>
                        <w:rPr>
                          <w:rFonts w:ascii="Cambria Math" w:hAnsi="Cambria Math"/>
                          <w:i/>
                        </w:rPr>
                      </m:ctrlPr>
                    </m:sSubSupPr>
                    <m:e>
                      <m:r>
                        <w:rPr>
                          <w:rFonts w:ascii="Cambria Math"/>
                        </w:rPr>
                        <m:t>S</m:t>
                      </m:r>
                    </m:e>
                    <m:sub>
                      <m:r>
                        <w:rPr>
                          <w:rFonts w:ascii="Cambria Math"/>
                        </w:rPr>
                        <m:t>NM,i</m:t>
                      </m:r>
                    </m:sub>
                    <m:sup>
                      <m:r>
                        <w:rPr>
                          <w:rFonts w:ascii="Cambria Math"/>
                        </w:rPr>
                        <m:t>2</m:t>
                      </m:r>
                    </m:sup>
                  </m:sSubSup>
                </m:e>
              </m:nary>
            </m:e>
          </m:rad>
          <m:r>
            <w:rPr>
              <w:rFonts w:ascii="Cambria Math"/>
            </w:rPr>
            <m:t>+</m:t>
          </m:r>
          <m:rad>
            <m:radPr>
              <m:degHide m:val="1"/>
              <m:ctrlPr>
                <w:rPr>
                  <w:rFonts w:ascii="Cambria Math" w:hAnsi="Cambria Math"/>
                  <w:i/>
                </w:rPr>
              </m:ctrlPr>
            </m:radPr>
            <m:deg/>
            <m:e>
              <m:nary>
                <m:naryPr>
                  <m:chr m:val="∑"/>
                  <m:ctrlPr>
                    <w:rPr>
                      <w:rFonts w:ascii="Cambria Math" w:hAnsi="Cambria Math"/>
                      <w:i/>
                    </w:rPr>
                  </m:ctrlPr>
                </m:naryPr>
                <m:sub>
                  <m:r>
                    <w:rPr>
                      <w:rFonts w:ascii="Cambria Math"/>
                    </w:rPr>
                    <m:t>j=1</m:t>
                  </m:r>
                </m:sub>
                <m:sup>
                  <m:r>
                    <w:rPr>
                      <w:rFonts w:ascii="Cambria Math"/>
                    </w:rPr>
                    <m:t>J</m:t>
                  </m:r>
                </m:sup>
                <m:e>
                  <m:r>
                    <w:rPr>
                      <w:rFonts w:ascii="Cambria Math"/>
                    </w:rPr>
                    <m:t>ISE</m:t>
                  </m:r>
                  <m:sSubSup>
                    <m:sSubSupPr>
                      <m:ctrlPr>
                        <w:rPr>
                          <w:rFonts w:ascii="Cambria Math" w:hAnsi="Cambria Math"/>
                          <w:i/>
                        </w:rPr>
                      </m:ctrlPr>
                    </m:sSubSupPr>
                    <m:e>
                      <m:r>
                        <w:rPr>
                          <w:rFonts w:ascii="Cambria Math"/>
                        </w:rPr>
                        <m:t>S</m:t>
                      </m:r>
                    </m:e>
                    <m:sub>
                      <m:r>
                        <w:rPr>
                          <w:rFonts w:ascii="Cambria Math"/>
                        </w:rPr>
                        <m:t>NM,j</m:t>
                      </m:r>
                    </m:sub>
                    <m:sup>
                      <m:r>
                        <w:rPr>
                          <w:rFonts w:ascii="Cambria Math"/>
                        </w:rPr>
                        <m:t>2</m:t>
                      </m:r>
                    </m:sup>
                  </m:sSubSup>
                </m:e>
              </m:nary>
            </m:e>
          </m:rad>
          <m:r>
            <w:rPr>
              <w:rFonts w:ascii="Cambria Math"/>
            </w:rPr>
            <m:t>+</m:t>
          </m:r>
          <m:rad>
            <m:radPr>
              <m:degHide m:val="1"/>
              <m:ctrlPr>
                <w:rPr>
                  <w:rFonts w:ascii="Cambria Math" w:hAnsi="Cambria Math"/>
                  <w:i/>
                </w:rPr>
              </m:ctrlPr>
            </m:radPr>
            <m:deg/>
            <m:e>
              <m:r>
                <w:rPr>
                  <w:rFonts w:ascii="Cambria Math"/>
                </w:rPr>
                <m:t>(ρ</m:t>
              </m:r>
              <m:r>
                <w:rPr>
                  <w:rFonts w:ascii="Cambria Math"/>
                </w:rPr>
                <m:t>×</m:t>
              </m:r>
              <m:nary>
                <m:naryPr>
                  <m:chr m:val="∑"/>
                  <m:ctrlPr>
                    <w:rPr>
                      <w:rFonts w:ascii="Cambria Math" w:hAnsi="Cambria Math"/>
                      <w:i/>
                    </w:rPr>
                  </m:ctrlPr>
                </m:naryPr>
                <m:sub>
                  <m:r>
                    <w:rPr>
                      <w:rFonts w:ascii="Cambria Math"/>
                    </w:rPr>
                    <m:t>k=1</m:t>
                  </m:r>
                </m:sub>
                <m:sup>
                  <m:r>
                    <w:rPr>
                      <w:rFonts w:ascii="Cambria Math"/>
                    </w:rPr>
                    <m:t>K</m:t>
                  </m:r>
                </m:sup>
                <m:e>
                  <m:r>
                    <w:rPr>
                      <w:rFonts w:ascii="Cambria Math"/>
                    </w:rPr>
                    <m:t>SE</m:t>
                  </m:r>
                  <m:sSub>
                    <m:sSubPr>
                      <m:ctrlPr>
                        <w:rPr>
                          <w:rFonts w:ascii="Cambria Math" w:hAnsi="Cambria Math"/>
                          <w:i/>
                        </w:rPr>
                      </m:ctrlPr>
                    </m:sSubPr>
                    <m:e>
                      <m:r>
                        <w:rPr>
                          <w:rFonts w:ascii="Cambria Math"/>
                        </w:rPr>
                        <m:t>S</m:t>
                      </m:r>
                    </m:e>
                    <m:sub>
                      <m:r>
                        <w:rPr>
                          <w:rFonts w:ascii="Cambria Math"/>
                        </w:rPr>
                        <m:t>NM,k</m:t>
                      </m:r>
                    </m:sub>
                  </m:sSub>
                </m:e>
              </m:nary>
              <m:sSup>
                <m:sSupPr>
                  <m:ctrlPr>
                    <w:rPr>
                      <w:rFonts w:ascii="Cambria Math" w:hAnsi="Cambria Math"/>
                      <w:i/>
                    </w:rPr>
                  </m:ctrlPr>
                </m:sSupPr>
                <m:e>
                  <m:r>
                    <w:rPr>
                      <w:rFonts w:ascii="Cambria Math"/>
                    </w:rPr>
                    <m:t>)</m:t>
                  </m:r>
                </m:e>
                <m:sup>
                  <m:r>
                    <w:rPr>
                      <w:rFonts w:ascii="Cambria Math"/>
                    </w:rPr>
                    <m:t>2</m:t>
                  </m:r>
                </m:sup>
              </m:sSup>
              <m:r>
                <w:rPr>
                  <w:rFonts w:ascii="Cambria Math"/>
                </w:rPr>
                <m:t>+(1</m:t>
              </m:r>
              <m:r>
                <w:rPr>
                  <w:rFonts w:ascii="Cambria Math"/>
                </w:rPr>
                <m:t>-</m:t>
              </m:r>
              <m:sSup>
                <m:sSupPr>
                  <m:ctrlPr>
                    <w:rPr>
                      <w:rFonts w:ascii="Cambria Math" w:hAnsi="Cambria Math"/>
                      <w:i/>
                    </w:rPr>
                  </m:ctrlPr>
                </m:sSupPr>
                <m:e>
                  <m:r>
                    <w:rPr>
                      <w:rFonts w:ascii="Cambria Math"/>
                    </w:rPr>
                    <m:t>ρ</m:t>
                  </m:r>
                </m:e>
                <m:sup>
                  <m:r>
                    <w:rPr>
                      <w:rFonts w:ascii="Cambria Math"/>
                    </w:rPr>
                    <m:t>2</m:t>
                  </m:r>
                </m:sup>
              </m:sSup>
              <m:r>
                <w:rPr>
                  <w:rFonts w:ascii="Cambria Math"/>
                </w:rPr>
                <m:t>)</m:t>
              </m:r>
              <m:r>
                <w:rPr>
                  <w:rFonts w:ascii="Cambria Math"/>
                </w:rPr>
                <m:t>×</m:t>
              </m:r>
              <m:nary>
                <m:naryPr>
                  <m:chr m:val="∑"/>
                  <m:ctrlPr>
                    <w:rPr>
                      <w:rFonts w:ascii="Cambria Math" w:hAnsi="Cambria Math"/>
                      <w:i/>
                    </w:rPr>
                  </m:ctrlPr>
                </m:naryPr>
                <m:sub>
                  <m:r>
                    <w:rPr>
                      <w:rFonts w:ascii="Cambria Math"/>
                    </w:rPr>
                    <m:t>k=1</m:t>
                  </m:r>
                </m:sub>
                <m:sup>
                  <m:r>
                    <w:rPr>
                      <w:rFonts w:ascii="Cambria Math"/>
                    </w:rPr>
                    <m:t>K</m:t>
                  </m:r>
                </m:sup>
                <m:e>
                  <m:r>
                    <w:rPr>
                      <w:rFonts w:ascii="Cambria Math"/>
                    </w:rPr>
                    <m:t>SE</m:t>
                  </m:r>
                  <m:sSubSup>
                    <m:sSubSupPr>
                      <m:ctrlPr>
                        <w:rPr>
                          <w:rFonts w:ascii="Cambria Math" w:hAnsi="Cambria Math"/>
                          <w:i/>
                        </w:rPr>
                      </m:ctrlPr>
                    </m:sSubSupPr>
                    <m:e>
                      <m:r>
                        <w:rPr>
                          <w:rFonts w:ascii="Cambria Math"/>
                        </w:rPr>
                        <m:t>S</m:t>
                      </m:r>
                    </m:e>
                    <m:sub>
                      <m:r>
                        <w:rPr>
                          <w:rFonts w:ascii="Cambria Math"/>
                        </w:rPr>
                        <m:t>NM,k</m:t>
                      </m:r>
                    </m:sub>
                    <m:sup>
                      <m:r>
                        <w:rPr>
                          <w:rFonts w:ascii="Cambria Math"/>
                        </w:rPr>
                        <m:t>2</m:t>
                      </m:r>
                    </m:sup>
                  </m:sSubSup>
                </m:e>
              </m:nary>
            </m:e>
          </m:rad>
          <m:r>
            <m:rPr>
              <m:sty m:val="p"/>
            </m:rPr>
            <w:br/>
          </m:r>
        </m:oMath>
      </m:oMathPara>
      <w:r>
        <w:rPr>
          <w:rFonts w:ascii="仿宋_GB2312" w:eastAsia="仿宋_GB2312" w:hint="eastAsia"/>
          <w:color w:val="000000"/>
          <w:sz w:val="30"/>
          <w:szCs w:val="30"/>
        </w:rPr>
        <w:t>其中：</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int="eastAsia"/>
          <w:color w:val="000000"/>
          <w:sz w:val="30"/>
          <w:szCs w:val="30"/>
        </w:rPr>
        <w:t>1．</w:t>
      </w:r>
      <w:r>
        <w:rPr>
          <w:position w:val="-16"/>
          <w:sz w:val="30"/>
          <w:szCs w:val="30"/>
        </w:rPr>
        <w:object w:dxaOrig="1038" w:dyaOrig="419">
          <v:shape id="Object 25" o:spid="_x0000_i1048" type="#_x0000_t75" style="width:52.1pt;height:20.9pt;mso-wrap-style:square;mso-position-horizontal-relative:page;mso-position-vertical-relative:page" o:ole="">
            <v:imagedata r:id="rId49" o:title=""/>
          </v:shape>
          <o:OLEObject Type="Embed" ProgID="Equation.DSMT4" ShapeID="Object 25" DrawAspect="Content" ObjectID="_1738154986" r:id="rId50"/>
        </w:object>
      </w:r>
      <w:r>
        <w:rPr>
          <w:rFonts w:ascii="仿宋_GB2312" w:eastAsia="仿宋_GB2312" w:hAnsi="Calibri" w:hint="eastAsia"/>
          <w:color w:val="000000"/>
          <w:sz w:val="30"/>
          <w:szCs w:val="30"/>
        </w:rPr>
        <w:t>是已证明适用零相关性加总的不可建模特定信用利差风险因子集合I中风险因子</w:t>
      </w:r>
      <w:proofErr w:type="spellStart"/>
      <w:r>
        <w:rPr>
          <w:rFonts w:ascii="仿宋_GB2312" w:eastAsia="仿宋_GB2312" w:hAnsi="Calibri" w:hint="eastAsia"/>
          <w:color w:val="000000"/>
          <w:sz w:val="30"/>
          <w:szCs w:val="30"/>
        </w:rPr>
        <w:t>i</w:t>
      </w:r>
      <w:proofErr w:type="spellEnd"/>
      <w:r>
        <w:rPr>
          <w:rFonts w:ascii="仿宋_GB2312" w:eastAsia="仿宋_GB2312" w:hAnsi="Calibri" w:hint="eastAsia"/>
          <w:color w:val="000000"/>
          <w:sz w:val="30"/>
          <w:szCs w:val="30"/>
        </w:rPr>
        <w:t>的压力情景资本要求</w:t>
      </w:r>
      <w:r>
        <w:rPr>
          <w:rFonts w:ascii="仿宋_GB2312" w:eastAsia="仿宋_GB2312" w:hint="eastAsia"/>
          <w:color w:val="000000"/>
          <w:sz w:val="30"/>
          <w:szCs w:val="30"/>
        </w:rPr>
        <w:t>；</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int="eastAsia"/>
          <w:color w:val="000000"/>
          <w:sz w:val="30"/>
          <w:szCs w:val="30"/>
        </w:rPr>
        <w:t>2．</w:t>
      </w:r>
      <w:r>
        <w:rPr>
          <w:position w:val="-16"/>
          <w:sz w:val="30"/>
          <w:szCs w:val="30"/>
        </w:rPr>
        <w:object w:dxaOrig="1078" w:dyaOrig="419">
          <v:shape id="Object 26" o:spid="_x0000_i1049" type="#_x0000_t75" style="width:54.15pt;height:20.9pt;mso-wrap-style:square;mso-position-horizontal-relative:page;mso-position-vertical-relative:page" o:ole="">
            <v:imagedata r:id="rId51" o:title=""/>
          </v:shape>
          <o:OLEObject Type="Embed" ProgID="Equation.DSMT4" ShapeID="Object 26" DrawAspect="Content" ObjectID="_1738154987" r:id="rId52"/>
        </w:object>
      </w:r>
      <w:r>
        <w:rPr>
          <w:rFonts w:ascii="仿宋_GB2312" w:eastAsia="仿宋_GB2312" w:hAnsi="Calibri" w:hint="eastAsia"/>
          <w:color w:val="000000"/>
          <w:sz w:val="30"/>
          <w:szCs w:val="30"/>
        </w:rPr>
        <w:t>是已证明适用零相关性加总的不可建模特定股票风险因子集合J中风险因子j的压力情景资本要求</w:t>
      </w:r>
      <w:r>
        <w:rPr>
          <w:rFonts w:ascii="仿宋_GB2312" w:eastAsia="仿宋_GB2312" w:hint="eastAsia"/>
          <w:color w:val="000000"/>
          <w:sz w:val="30"/>
          <w:szCs w:val="30"/>
        </w:rPr>
        <w:t>；</w:t>
      </w:r>
    </w:p>
    <w:p w:rsidR="000F35CE" w:rsidRDefault="00294C0B">
      <w:pPr>
        <w:spacing w:line="480" w:lineRule="exact"/>
        <w:ind w:firstLineChars="200" w:firstLine="600"/>
        <w:rPr>
          <w:rFonts w:ascii="仿宋_GB2312" w:eastAsia="仿宋_GB2312" w:hAnsi="Calibri"/>
          <w:color w:val="000000"/>
          <w:sz w:val="30"/>
          <w:szCs w:val="30"/>
        </w:rPr>
      </w:pPr>
      <w:r>
        <w:rPr>
          <w:rFonts w:ascii="仿宋_GB2312" w:eastAsia="仿宋_GB2312" w:hint="eastAsia"/>
          <w:color w:val="000000"/>
          <w:sz w:val="30"/>
          <w:szCs w:val="30"/>
        </w:rPr>
        <w:t>3．</w:t>
      </w:r>
      <w:r>
        <w:rPr>
          <w:position w:val="-16"/>
          <w:sz w:val="30"/>
          <w:szCs w:val="30"/>
        </w:rPr>
        <w:object w:dxaOrig="979" w:dyaOrig="399">
          <v:shape id="Object 27" o:spid="_x0000_i1050" type="#_x0000_t75" style="width:49.05pt;height:19.9pt;mso-wrap-style:square;mso-position-horizontal-relative:page;mso-position-vertical-relative:page" o:ole="">
            <v:imagedata r:id="rId53" o:title=""/>
          </v:shape>
          <o:OLEObject Type="Embed" ProgID="Equation.DSMT4" ShapeID="Object 27" DrawAspect="Content" ObjectID="_1738154988" r:id="rId54"/>
        </w:object>
      </w:r>
      <w:r>
        <w:rPr>
          <w:rFonts w:ascii="仿宋_GB2312" w:eastAsia="仿宋_GB2312" w:hAnsi="Calibri" w:hint="eastAsia"/>
          <w:color w:val="000000"/>
          <w:sz w:val="30"/>
          <w:szCs w:val="30"/>
        </w:rPr>
        <w:t>是可建模交易台下其他不可建模风险因子集合K中的风险因子</w:t>
      </w:r>
      <w:r>
        <w:rPr>
          <w:rFonts w:ascii="仿宋_GB2312" w:eastAsia="仿宋_GB2312" w:hint="eastAsia"/>
          <w:color w:val="000000"/>
          <w:sz w:val="30"/>
          <w:szCs w:val="30"/>
        </w:rPr>
        <w:t>k</w:t>
      </w:r>
      <w:r>
        <w:rPr>
          <w:rFonts w:ascii="仿宋_GB2312" w:eastAsia="仿宋_GB2312" w:hAnsi="Calibri" w:hint="eastAsia"/>
          <w:color w:val="000000"/>
          <w:sz w:val="30"/>
          <w:szCs w:val="30"/>
        </w:rPr>
        <w:t>的压力情景资本要求；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w:t>
      </w:r>
      <w:r>
        <w:rPr>
          <w:position w:val="-10"/>
          <w:sz w:val="30"/>
          <w:szCs w:val="30"/>
        </w:rPr>
        <w:object w:dxaOrig="259" w:dyaOrig="279">
          <v:shape id="Object 28" o:spid="_x0000_i1051" type="#_x0000_t75" style="width:13.05pt;height:14.05pt;mso-wrap-style:square;mso-position-horizontal-relative:page;mso-position-vertical-relative:page" o:ole="">
            <v:imagedata r:id="rId47" o:title=""/>
          </v:shape>
          <o:OLEObject Type="Embed" ProgID="Equation.DSMT4" ShapeID="Object 28" DrawAspect="Content" ObjectID="_1738154989" r:id="rId55"/>
        </w:object>
      </w:r>
      <w:r>
        <w:rPr>
          <w:rFonts w:ascii="仿宋_GB2312" w:eastAsia="仿宋_GB2312" w:hint="eastAsia"/>
          <w:color w:val="000000"/>
          <w:sz w:val="30"/>
          <w:szCs w:val="30"/>
        </w:rPr>
        <w:t>为0.6。</w:t>
      </w:r>
    </w:p>
    <w:p w:rsidR="000F35CE" w:rsidRDefault="00294C0B">
      <w:pPr>
        <w:pStyle w:val="20"/>
      </w:pPr>
      <w:r>
        <w:rPr>
          <w:rFonts w:hint="eastAsia"/>
        </w:rPr>
        <w:t>六、</w:t>
      </w:r>
      <w:bookmarkStart w:id="20" w:name="_Hlk48835921"/>
      <w:r>
        <w:rPr>
          <w:rFonts w:hint="eastAsia"/>
        </w:rPr>
        <w:t>内部模型法交易台的资本要求</w:t>
      </w:r>
      <w:bookmarkStart w:id="21" w:name="_Hlk48835941"/>
      <w:bookmarkEnd w:id="20"/>
      <w:r>
        <w:rPr>
          <w:rFonts w:hint="eastAsia"/>
        </w:rPr>
        <w:t>（不含违约风险）</w:t>
      </w:r>
      <w:bookmarkEnd w:id="21"/>
    </w:p>
    <w:p w:rsidR="000F35CE" w:rsidRDefault="00294C0B">
      <w:pPr>
        <w:spacing w:line="480" w:lineRule="exact"/>
        <w:ind w:firstLineChars="200" w:firstLine="600"/>
        <w:jc w:val="left"/>
        <w:rPr>
          <w:rFonts w:ascii="仿宋_GB2312" w:eastAsia="仿宋_GB2312"/>
          <w:color w:val="000000"/>
          <w:sz w:val="30"/>
          <w:szCs w:val="30"/>
          <w:shd w:val="clear" w:color="auto" w:fill="FFFFFF"/>
          <w:lang w:bidi="ar"/>
        </w:rPr>
      </w:pPr>
      <w:r>
        <w:rPr>
          <w:rFonts w:ascii="仿宋_GB2312" w:eastAsia="仿宋_GB2312" w:hint="eastAsia"/>
          <w:color w:val="000000"/>
          <w:sz w:val="30"/>
          <w:szCs w:val="30"/>
          <w:shd w:val="clear" w:color="auto" w:fill="FFFFFF"/>
          <w:lang w:bidi="ar"/>
        </w:rPr>
        <w:t>（一）可使用内部模型法的交易台应满足以下两个条件：</w:t>
      </w:r>
    </w:p>
    <w:p w:rsidR="000F35CE" w:rsidRDefault="00294C0B">
      <w:pPr>
        <w:spacing w:line="480" w:lineRule="exact"/>
        <w:ind w:firstLineChars="200" w:firstLine="600"/>
        <w:jc w:val="left"/>
        <w:rPr>
          <w:rFonts w:ascii="仿宋_GB2312" w:eastAsia="仿宋_GB2312"/>
          <w:color w:val="000000"/>
          <w:sz w:val="30"/>
          <w:szCs w:val="30"/>
          <w:shd w:val="clear" w:color="auto" w:fill="FFFFFF"/>
          <w:lang w:bidi="ar"/>
        </w:rPr>
      </w:pPr>
      <w:r>
        <w:rPr>
          <w:rFonts w:ascii="仿宋_GB2312" w:eastAsia="仿宋_GB2312"/>
          <w:color w:val="000000"/>
          <w:sz w:val="30"/>
          <w:szCs w:val="30"/>
          <w:shd w:val="clear" w:color="auto" w:fill="FFFFFF"/>
          <w:lang w:bidi="ar"/>
        </w:rPr>
        <w:t>1．</w:t>
      </w:r>
      <w:r>
        <w:rPr>
          <w:rFonts w:ascii="仿宋_GB2312" w:eastAsia="仿宋_GB2312" w:hint="eastAsia"/>
          <w:color w:val="000000"/>
          <w:sz w:val="30"/>
          <w:szCs w:val="30"/>
          <w:shd w:val="clear" w:color="auto" w:fill="FFFFFF"/>
          <w:lang w:bidi="ar"/>
        </w:rPr>
        <w:t>经银保监会验收合格；</w:t>
      </w:r>
    </w:p>
    <w:p w:rsidR="000F35CE" w:rsidRDefault="00294C0B">
      <w:pPr>
        <w:spacing w:line="480" w:lineRule="exact"/>
        <w:ind w:firstLineChars="200" w:firstLine="600"/>
        <w:jc w:val="left"/>
        <w:rPr>
          <w:rFonts w:ascii="仿宋_GB2312" w:eastAsia="仿宋_GB2312"/>
          <w:color w:val="000000"/>
          <w:sz w:val="30"/>
          <w:szCs w:val="30"/>
          <w:lang w:bidi="ar"/>
        </w:rPr>
      </w:pPr>
      <w:r>
        <w:rPr>
          <w:rFonts w:ascii="仿宋_GB2312" w:eastAsia="仿宋_GB2312"/>
          <w:color w:val="000000"/>
          <w:sz w:val="30"/>
          <w:szCs w:val="30"/>
          <w:shd w:val="clear" w:color="auto" w:fill="FFFFFF"/>
          <w:lang w:bidi="ar"/>
        </w:rPr>
        <w:t>2．</w:t>
      </w:r>
      <w:r>
        <w:rPr>
          <w:rFonts w:ascii="仿宋_GB2312" w:eastAsia="仿宋_GB2312" w:hint="eastAsia"/>
          <w:color w:val="000000"/>
          <w:sz w:val="30"/>
          <w:szCs w:val="30"/>
          <w:lang w:bidi="ar"/>
        </w:rPr>
        <w:t>通过返回检验，且损益归因测试结果处于绿区或黄区。</w:t>
      </w:r>
    </w:p>
    <w:p w:rsidR="000F35CE" w:rsidRDefault="00294C0B">
      <w:pPr>
        <w:spacing w:line="480" w:lineRule="exact"/>
        <w:ind w:firstLineChars="200" w:firstLine="600"/>
        <w:jc w:val="left"/>
        <w:rPr>
          <w:rFonts w:ascii="仿宋_GB2312" w:eastAsia="仿宋_GB2312"/>
          <w:color w:val="000000"/>
          <w:sz w:val="30"/>
          <w:szCs w:val="30"/>
          <w:lang w:bidi="ar"/>
        </w:rPr>
      </w:pPr>
      <w:r>
        <w:rPr>
          <w:rFonts w:ascii="仿宋_GB2312" w:eastAsia="仿宋_GB2312" w:hint="eastAsia"/>
          <w:color w:val="000000"/>
          <w:sz w:val="30"/>
          <w:szCs w:val="30"/>
          <w:shd w:val="clear" w:color="auto" w:fill="FFFFFF"/>
          <w:lang w:bidi="ar"/>
        </w:rPr>
        <w:t>可使用内部模型法的交易台</w:t>
      </w:r>
      <w:r>
        <w:rPr>
          <w:rFonts w:ascii="仿宋_GB2312" w:eastAsia="仿宋_GB2312" w:hint="eastAsia"/>
          <w:color w:val="000000"/>
          <w:sz w:val="30"/>
          <w:szCs w:val="30"/>
          <w:lang w:bidi="ar"/>
        </w:rPr>
        <w:t>资本要求包括可建模风险因子的资本要求和不可建模风险因子的资本要求。</w:t>
      </w:r>
    </w:p>
    <w:p w:rsidR="000F35CE" w:rsidRDefault="00294C0B">
      <w:pPr>
        <w:widowControl/>
        <w:spacing w:line="480" w:lineRule="exact"/>
        <w:ind w:firstLineChars="200" w:firstLine="600"/>
        <w:jc w:val="left"/>
        <w:rPr>
          <w:rFonts w:ascii="仿宋_GB2312" w:eastAsia="仿宋_GB2312"/>
          <w:color w:val="000000"/>
          <w:sz w:val="30"/>
          <w:szCs w:val="30"/>
          <w:lang w:bidi="ar"/>
        </w:rPr>
      </w:pPr>
      <w:r>
        <w:rPr>
          <w:rFonts w:ascii="仿宋_GB2312" w:eastAsia="仿宋_GB2312" w:hint="eastAsia"/>
          <w:color w:val="000000"/>
          <w:sz w:val="30"/>
          <w:szCs w:val="30"/>
          <w:lang w:bidi="ar"/>
        </w:rPr>
        <w:t>（二）</w:t>
      </w:r>
      <w:r>
        <w:rPr>
          <w:rFonts w:ascii="仿宋_GB2312" w:eastAsia="仿宋_GB2312" w:hint="eastAsia"/>
          <w:color w:val="000000"/>
          <w:sz w:val="30"/>
          <w:szCs w:val="30"/>
          <w:shd w:val="clear" w:color="auto" w:fill="FFFFFF"/>
          <w:lang w:bidi="ar"/>
        </w:rPr>
        <w:t>可使用内部模型法的交易台</w:t>
      </w:r>
      <w:r>
        <w:rPr>
          <w:rFonts w:ascii="仿宋_GB2312" w:eastAsia="仿宋_GB2312" w:hint="eastAsia"/>
          <w:color w:val="000000"/>
          <w:sz w:val="30"/>
          <w:szCs w:val="30"/>
          <w:lang w:bidi="ar"/>
        </w:rPr>
        <w:t>的总资本要求(不含违约风险资本)计算公式如下：</w:t>
      </w:r>
    </w:p>
    <w:p w:rsidR="000F35CE" w:rsidRDefault="00294C0B" w:rsidP="0083785F">
      <w:pPr>
        <w:widowControl/>
        <w:jc w:val="center"/>
        <w:rPr>
          <w:rFonts w:ascii="仿宋_GB2312" w:eastAsia="仿宋_GB2312"/>
          <w:color w:val="000000"/>
          <w:sz w:val="30"/>
          <w:szCs w:val="30"/>
          <w:lang w:bidi="ar"/>
        </w:rPr>
      </w:pPr>
      <w:r>
        <w:rPr>
          <w:position w:val="-14"/>
          <w:sz w:val="30"/>
          <w:szCs w:val="30"/>
        </w:rPr>
        <w:object w:dxaOrig="4959" w:dyaOrig="379">
          <v:shape id="Object 29" o:spid="_x0000_i1052" type="#_x0000_t75" style="width:247.9pt;height:18.85pt;mso-wrap-style:square;mso-position-horizontal-relative:page;mso-position-vertical-relative:page" o:ole="">
            <v:imagedata r:id="rId56" o:title=""/>
          </v:shape>
          <o:OLEObject Type="Embed" ProgID="Equation.DSMT4" ShapeID="Object 29" DrawAspect="Content" ObjectID="_1738154990" r:id="rId57"/>
        </w:object>
      </w:r>
    </w:p>
    <w:p w:rsidR="000F35CE" w:rsidRDefault="00294C0B">
      <w:pPr>
        <w:widowControl/>
        <w:shd w:val="clear" w:color="auto" w:fill="FFFFFF"/>
        <w:spacing w:line="620" w:lineRule="atLeast"/>
        <w:ind w:firstLine="600"/>
        <w:jc w:val="left"/>
        <w:rPr>
          <w:color w:val="000000"/>
          <w:sz w:val="30"/>
          <w:szCs w:val="30"/>
        </w:rPr>
      </w:pPr>
      <w:r>
        <w:rPr>
          <w:rFonts w:ascii="仿宋_GB2312" w:eastAsia="仿宋_GB2312" w:hint="eastAsia"/>
          <w:color w:val="000000"/>
          <w:sz w:val="30"/>
          <w:szCs w:val="30"/>
          <w:shd w:val="clear" w:color="auto" w:fill="FFFFFF"/>
          <w:lang w:bidi="ar"/>
        </w:rPr>
        <w:t>内部模型法交易台的</w:t>
      </w:r>
      <w:r>
        <w:rPr>
          <w:rFonts w:ascii="仿宋_GB2312" w:eastAsia="仿宋_GB2312" w:cs="仿宋_GB2312" w:hint="eastAsia"/>
          <w:color w:val="000000"/>
          <w:kern w:val="0"/>
          <w:sz w:val="30"/>
          <w:szCs w:val="30"/>
          <w:shd w:val="clear" w:color="auto" w:fill="FFFFFF"/>
          <w:lang w:bidi="ar"/>
        </w:rPr>
        <w:t>总资本要求</w:t>
      </w:r>
      <w:r>
        <w:rPr>
          <w:rFonts w:ascii="仿宋_GB2312" w:eastAsia="仿宋_GB2312" w:hint="eastAsia"/>
          <w:color w:val="000000"/>
          <w:sz w:val="30"/>
          <w:szCs w:val="30"/>
          <w:lang w:bidi="ar"/>
        </w:rPr>
        <w:t>（不含违约风险资本）</w:t>
      </w:r>
      <w:r>
        <w:rPr>
          <w:rFonts w:ascii="仿宋_GB2312" w:eastAsia="仿宋_GB2312" w:cs="仿宋_GB2312" w:hint="eastAsia"/>
          <w:color w:val="000000"/>
          <w:kern w:val="0"/>
          <w:sz w:val="30"/>
          <w:szCs w:val="30"/>
          <w:shd w:val="clear" w:color="auto" w:fill="FFFFFF"/>
          <w:lang w:bidi="ar"/>
        </w:rPr>
        <w:t>为</w:t>
      </w:r>
      <w:r>
        <w:rPr>
          <w:rFonts w:ascii="仿宋_GB2312" w:eastAsia="仿宋_GB2312" w:cs="仿宋_GB2312"/>
          <w:color w:val="000000"/>
          <w:kern w:val="0"/>
          <w:sz w:val="30"/>
          <w:szCs w:val="30"/>
          <w:shd w:val="clear" w:color="auto" w:fill="FFFFFF"/>
          <w:lang w:bidi="ar"/>
        </w:rPr>
        <w:t>以下两项中的较大值：</w:t>
      </w:r>
    </w:p>
    <w:p w:rsidR="000F35CE" w:rsidRDefault="00294C0B">
      <w:pPr>
        <w:widowControl/>
        <w:spacing w:line="480" w:lineRule="exact"/>
        <w:ind w:firstLineChars="200" w:firstLine="600"/>
        <w:jc w:val="left"/>
        <w:rPr>
          <w:color w:val="000000"/>
          <w:sz w:val="30"/>
          <w:szCs w:val="30"/>
        </w:rPr>
      </w:pPr>
      <w:r>
        <w:rPr>
          <w:rFonts w:ascii="仿宋_GB2312" w:eastAsia="仿宋_GB2312" w:cs="仿宋_GB2312"/>
          <w:color w:val="000000"/>
          <w:kern w:val="0"/>
          <w:sz w:val="30"/>
          <w:szCs w:val="30"/>
          <w:shd w:val="clear" w:color="auto" w:fill="FFFFFF"/>
          <w:lang w:bidi="ar"/>
        </w:rPr>
        <w:t>1．根据内部模型计量的上一交易日的</w:t>
      </w:r>
      <w:r>
        <w:rPr>
          <w:rFonts w:ascii="仿宋_GB2312" w:eastAsia="仿宋_GB2312" w:cs="仿宋_GB2312" w:hint="eastAsia"/>
          <w:color w:val="000000"/>
          <w:kern w:val="0"/>
          <w:sz w:val="30"/>
          <w:szCs w:val="30"/>
          <w:shd w:val="clear" w:color="auto" w:fill="FFFFFF"/>
          <w:lang w:bidi="ar"/>
        </w:rPr>
        <w:t>可建模风险因子资本要求</w:t>
      </w:r>
      <w:r>
        <w:rPr>
          <w:position w:val="-12"/>
          <w:sz w:val="30"/>
          <w:szCs w:val="30"/>
        </w:rPr>
        <w:object w:dxaOrig="939" w:dyaOrig="359">
          <v:shape id="Object 30" o:spid="_x0000_i1053" type="#_x0000_t75" style="width:46.95pt;height:17.85pt;mso-wrap-style:square;mso-position-horizontal-relative:page;mso-position-vertical-relative:page" o:ole="">
            <v:imagedata r:id="rId58" o:title=""/>
          </v:shape>
          <o:OLEObject Type="Embed" ProgID="Equation.DSMT4" ShapeID="Object 30" DrawAspect="Content" ObjectID="_1738154991" r:id="rId59"/>
        </w:object>
      </w:r>
      <w:r>
        <w:rPr>
          <w:rFonts w:ascii="仿宋_GB2312" w:eastAsia="仿宋_GB2312" w:cs="仿宋_GB2312" w:hint="eastAsia"/>
          <w:color w:val="000000"/>
          <w:kern w:val="0"/>
          <w:sz w:val="30"/>
          <w:szCs w:val="30"/>
          <w:shd w:val="clear" w:color="auto" w:fill="FFFFFF"/>
          <w:lang w:bidi="ar"/>
        </w:rPr>
        <w:t>和不可建模风险因子资本要求</w:t>
      </w:r>
      <w:r>
        <w:rPr>
          <w:position w:val="-12"/>
          <w:sz w:val="30"/>
          <w:szCs w:val="30"/>
        </w:rPr>
        <w:object w:dxaOrig="739" w:dyaOrig="379">
          <v:shape id="Object 31" o:spid="_x0000_i1054" type="#_x0000_t75" style="width:37.05pt;height:18.85pt;mso-wrap-style:square;mso-position-horizontal-relative:page;mso-position-vertical-relative:page" o:ole="">
            <v:imagedata r:id="rId60" o:title=""/>
          </v:shape>
          <o:OLEObject Type="Embed" ProgID="Equation.DSMT4" ShapeID="Object 31" DrawAspect="Content" ObjectID="_1738154992" r:id="rId61"/>
        </w:object>
      </w:r>
      <w:r>
        <w:rPr>
          <w:rFonts w:ascii="仿宋_GB2312" w:eastAsia="仿宋_GB2312" w:cs="仿宋_GB2312" w:hint="eastAsia"/>
          <w:color w:val="000000"/>
          <w:kern w:val="0"/>
          <w:sz w:val="30"/>
          <w:szCs w:val="30"/>
          <w:shd w:val="clear" w:color="auto" w:fill="FFFFFF"/>
          <w:lang w:bidi="ar"/>
        </w:rPr>
        <w:t>之和</w:t>
      </w:r>
      <w:r>
        <w:rPr>
          <w:rFonts w:ascii="仿宋_GB2312" w:eastAsia="仿宋_GB2312" w:cs="仿宋_GB2312"/>
          <w:color w:val="000000"/>
          <w:kern w:val="0"/>
          <w:sz w:val="30"/>
          <w:szCs w:val="30"/>
          <w:shd w:val="clear" w:color="auto" w:fill="FFFFFF"/>
          <w:lang w:bidi="ar"/>
        </w:rPr>
        <w:t>。</w:t>
      </w:r>
    </w:p>
    <w:p w:rsidR="000F35CE" w:rsidRDefault="00294C0B">
      <w:pPr>
        <w:widowControl/>
        <w:spacing w:line="480" w:lineRule="exact"/>
        <w:ind w:firstLineChars="200" w:firstLine="600"/>
        <w:jc w:val="left"/>
        <w:rPr>
          <w:rFonts w:ascii="仿宋_GB2312" w:eastAsia="仿宋_GB2312" w:cs="仿宋_GB2312"/>
          <w:color w:val="000000"/>
          <w:kern w:val="0"/>
          <w:sz w:val="30"/>
          <w:szCs w:val="30"/>
          <w:shd w:val="clear" w:color="auto" w:fill="FFFFFF"/>
          <w:lang w:bidi="ar"/>
        </w:rPr>
      </w:pPr>
      <w:r>
        <w:rPr>
          <w:rFonts w:ascii="仿宋_GB2312" w:eastAsia="仿宋_GB2312" w:cs="仿宋_GB2312"/>
          <w:color w:val="000000"/>
          <w:kern w:val="0"/>
          <w:sz w:val="30"/>
          <w:szCs w:val="30"/>
          <w:shd w:val="clear" w:color="auto" w:fill="FFFFFF"/>
          <w:lang w:bidi="ar"/>
        </w:rPr>
        <w:t>2．最近60个交易日</w:t>
      </w:r>
      <w:r>
        <w:rPr>
          <w:rFonts w:ascii="仿宋_GB2312" w:eastAsia="仿宋_GB2312" w:cs="仿宋_GB2312" w:hint="eastAsia"/>
          <w:color w:val="000000"/>
          <w:kern w:val="0"/>
          <w:sz w:val="30"/>
          <w:szCs w:val="30"/>
          <w:shd w:val="clear" w:color="auto" w:fill="FFFFFF"/>
          <w:lang w:bidi="ar"/>
        </w:rPr>
        <w:t>可建模风险因子资本要求的</w:t>
      </w:r>
      <w:r>
        <w:rPr>
          <w:rFonts w:ascii="仿宋_GB2312" w:eastAsia="仿宋_GB2312" w:cs="仿宋_GB2312"/>
          <w:color w:val="000000"/>
          <w:kern w:val="0"/>
          <w:sz w:val="30"/>
          <w:szCs w:val="30"/>
          <w:shd w:val="clear" w:color="auto" w:fill="FFFFFF"/>
          <w:lang w:bidi="ar"/>
        </w:rPr>
        <w:t>均值</w:t>
      </w:r>
      <w:r>
        <w:rPr>
          <w:position w:val="-16"/>
          <w:sz w:val="30"/>
          <w:szCs w:val="30"/>
        </w:rPr>
        <w:object w:dxaOrig="1118" w:dyaOrig="419">
          <v:shape id="Object 32" o:spid="_x0000_i1055" type="#_x0000_t75" style="width:55.9pt;height:20.9pt;mso-wrap-style:square;mso-position-horizontal-relative:page;mso-position-vertical-relative:page" o:ole="">
            <v:imagedata r:id="rId62" o:title=""/>
          </v:shape>
          <o:OLEObject Type="Embed" ProgID="Equation.DSMT4" ShapeID="Object 32" DrawAspect="Content" ObjectID="_1738154993" r:id="rId63"/>
        </w:object>
      </w:r>
      <w:r>
        <w:rPr>
          <w:rFonts w:ascii="仿宋_GB2312" w:eastAsia="仿宋_GB2312" w:cs="仿宋_GB2312"/>
          <w:color w:val="000000"/>
          <w:kern w:val="0"/>
          <w:sz w:val="30"/>
          <w:szCs w:val="30"/>
          <w:shd w:val="clear" w:color="auto" w:fill="FFFFFF"/>
          <w:lang w:bidi="ar"/>
        </w:rPr>
        <w:t>乘以</w:t>
      </w:r>
      <w:r>
        <w:rPr>
          <w:position w:val="-12"/>
          <w:sz w:val="30"/>
          <w:szCs w:val="30"/>
        </w:rPr>
        <w:object w:dxaOrig="379" w:dyaOrig="359">
          <v:shape id="Object 33" o:spid="_x0000_i1056" type="#_x0000_t75" style="width:18.85pt;height:18.15pt;mso-wrap-style:square;mso-position-horizontal-relative:page;mso-position-vertical-relative:page" o:ole="">
            <v:imagedata r:id="rId64" o:title=""/>
          </v:shape>
          <o:OLEObject Type="Embed" ProgID="Equation.DSMT4" ShapeID="Object 33" DrawAspect="Content" ObjectID="_1738154994" r:id="rId65"/>
        </w:object>
      </w:r>
      <w:r>
        <w:rPr>
          <w:rFonts w:ascii="仿宋_GB2312" w:eastAsia="仿宋_GB2312" w:cs="仿宋_GB2312" w:hint="eastAsia"/>
          <w:color w:val="000000"/>
          <w:kern w:val="0"/>
          <w:sz w:val="30"/>
          <w:szCs w:val="30"/>
          <w:shd w:val="clear" w:color="auto" w:fill="FFFFFF"/>
          <w:lang w:bidi="ar"/>
        </w:rPr>
        <w:t>加上</w:t>
      </w:r>
      <w:r>
        <w:rPr>
          <w:rFonts w:ascii="仿宋_GB2312" w:eastAsia="仿宋_GB2312" w:cs="仿宋_GB2312"/>
          <w:color w:val="000000"/>
          <w:kern w:val="0"/>
          <w:sz w:val="30"/>
          <w:szCs w:val="30"/>
          <w:shd w:val="clear" w:color="auto" w:fill="FFFFFF"/>
          <w:lang w:bidi="ar"/>
        </w:rPr>
        <w:t>最近60个交易日</w:t>
      </w:r>
      <w:r>
        <w:rPr>
          <w:rFonts w:ascii="仿宋_GB2312" w:eastAsia="仿宋_GB2312" w:cs="仿宋_GB2312" w:hint="eastAsia"/>
          <w:color w:val="000000"/>
          <w:kern w:val="0"/>
          <w:sz w:val="30"/>
          <w:szCs w:val="30"/>
          <w:shd w:val="clear" w:color="auto" w:fill="FFFFFF"/>
          <w:lang w:bidi="ar"/>
        </w:rPr>
        <w:t>不可建模风险因子资本要求的</w:t>
      </w:r>
      <w:r>
        <w:rPr>
          <w:rFonts w:ascii="仿宋_GB2312" w:eastAsia="仿宋_GB2312" w:cs="仿宋_GB2312"/>
          <w:color w:val="000000"/>
          <w:kern w:val="0"/>
          <w:sz w:val="30"/>
          <w:szCs w:val="30"/>
          <w:shd w:val="clear" w:color="auto" w:fill="FFFFFF"/>
          <w:lang w:bidi="ar"/>
        </w:rPr>
        <w:t>均值</w:t>
      </w:r>
      <w:r>
        <w:rPr>
          <w:position w:val="-16"/>
          <w:sz w:val="30"/>
          <w:szCs w:val="30"/>
        </w:rPr>
        <w:object w:dxaOrig="858" w:dyaOrig="419">
          <v:shape id="Object 34" o:spid="_x0000_i1057" type="#_x0000_t75" style="width:42.85pt;height:20.9pt;mso-wrap-style:square;mso-position-horizontal-relative:page;mso-position-vertical-relative:page" o:ole="">
            <v:imagedata r:id="rId66" o:title=""/>
          </v:shape>
          <o:OLEObject Type="Embed" ProgID="Equation.DSMT4" ShapeID="Object 34" DrawAspect="Content" ObjectID="_1738154995" r:id="rId67"/>
        </w:object>
      </w:r>
      <w:r>
        <w:rPr>
          <w:rFonts w:ascii="仿宋_GB2312" w:eastAsia="仿宋_GB2312" w:cs="仿宋_GB2312"/>
          <w:color w:val="000000"/>
          <w:kern w:val="0"/>
          <w:sz w:val="30"/>
          <w:szCs w:val="30"/>
          <w:shd w:val="clear" w:color="auto" w:fill="FFFFFF"/>
          <w:lang w:bidi="ar"/>
        </w:rPr>
        <w:t>。</w:t>
      </w:r>
      <w:r>
        <w:rPr>
          <w:position w:val="-12"/>
          <w:sz w:val="30"/>
          <w:szCs w:val="30"/>
        </w:rPr>
        <w:object w:dxaOrig="379" w:dyaOrig="359">
          <v:shape id="Object 35" o:spid="_x0000_i1058" type="#_x0000_t75" style="width:18.85pt;height:18.15pt;mso-wrap-style:square;mso-position-horizontal-relative:page;mso-position-vertical-relative:page" o:ole="">
            <v:imagedata r:id="rId68" o:title=""/>
          </v:shape>
          <o:OLEObject Type="Embed" ProgID="Equation.DSMT4" ShapeID="Object 35" DrawAspect="Content" ObjectID="_1738154996" r:id="rId69"/>
        </w:object>
      </w:r>
      <w:r>
        <w:rPr>
          <w:rFonts w:ascii="仿宋_GB2312" w:eastAsia="仿宋_GB2312" w:cs="仿宋_GB2312" w:hint="eastAsia"/>
          <w:color w:val="000000"/>
          <w:kern w:val="0"/>
          <w:sz w:val="30"/>
          <w:szCs w:val="30"/>
          <w:shd w:val="clear" w:color="auto" w:fill="FFFFFF"/>
          <w:lang w:bidi="ar"/>
        </w:rPr>
        <w:t>为返回检验乘数因子，等于固定因子与附加因子之和，其中固定因子为1.5</w:t>
      </w:r>
      <w:r>
        <w:rPr>
          <w:rFonts w:ascii="仿宋_GB2312" w:eastAsia="仿宋_GB2312" w:cs="仿宋_GB2312"/>
          <w:color w:val="000000"/>
          <w:kern w:val="0"/>
          <w:sz w:val="30"/>
          <w:szCs w:val="30"/>
          <w:shd w:val="clear" w:color="auto" w:fill="FFFFFF"/>
          <w:lang w:bidi="ar"/>
        </w:rPr>
        <w:t>，</w:t>
      </w:r>
      <w:r>
        <w:rPr>
          <w:rFonts w:ascii="仿宋_GB2312" w:eastAsia="仿宋_GB2312" w:cs="仿宋_GB2312" w:hint="eastAsia"/>
          <w:color w:val="000000"/>
          <w:kern w:val="0"/>
          <w:sz w:val="30"/>
          <w:szCs w:val="30"/>
          <w:shd w:val="clear" w:color="auto" w:fill="FFFFFF"/>
          <w:lang w:bidi="ar"/>
        </w:rPr>
        <w:t>附加因子包括定性附加因子和返回检验附加因子。返回检验附加因子范围在0-0.5，</w:t>
      </w:r>
      <w:r>
        <w:rPr>
          <w:rFonts w:ascii="仿宋_GB2312" w:eastAsia="仿宋_GB2312" w:cs="仿宋_GB2312"/>
          <w:color w:val="000000"/>
          <w:kern w:val="0"/>
          <w:sz w:val="30"/>
          <w:szCs w:val="30"/>
          <w:shd w:val="clear" w:color="auto" w:fill="FFFFFF"/>
          <w:lang w:bidi="ar"/>
        </w:rPr>
        <w:t>根据</w:t>
      </w:r>
      <w:r>
        <w:rPr>
          <w:rFonts w:ascii="仿宋_GB2312" w:eastAsia="仿宋_GB2312" w:cs="仿宋_GB2312" w:hint="eastAsia"/>
          <w:color w:val="000000"/>
          <w:kern w:val="0"/>
          <w:sz w:val="30"/>
          <w:szCs w:val="30"/>
          <w:shd w:val="clear" w:color="auto" w:fill="FFFFFF"/>
          <w:lang w:bidi="ar"/>
        </w:rPr>
        <w:t>全行层面</w:t>
      </w:r>
      <w:r>
        <w:rPr>
          <w:rFonts w:ascii="仿宋_GB2312" w:eastAsia="仿宋_GB2312" w:cs="仿宋_GB2312"/>
          <w:color w:val="000000"/>
          <w:kern w:val="0"/>
          <w:sz w:val="30"/>
          <w:szCs w:val="30"/>
          <w:shd w:val="clear" w:color="auto" w:fill="FFFFFF"/>
          <w:lang w:bidi="ar"/>
        </w:rPr>
        <w:t>返回检验的突破次数</w:t>
      </w:r>
      <w:r>
        <w:rPr>
          <w:rFonts w:ascii="仿宋_GB2312" w:eastAsia="仿宋_GB2312" w:cs="仿宋_GB2312" w:hint="eastAsia"/>
          <w:color w:val="000000"/>
          <w:kern w:val="0"/>
          <w:sz w:val="30"/>
          <w:szCs w:val="30"/>
          <w:shd w:val="clear" w:color="auto" w:fill="FFFFFF"/>
          <w:lang w:bidi="ar"/>
        </w:rPr>
        <w:t>决定，详见表</w:t>
      </w:r>
      <w:r>
        <w:rPr>
          <w:rFonts w:ascii="仿宋_GB2312" w:eastAsia="仿宋_GB2312" w:cs="仿宋_GB2312"/>
          <w:color w:val="000000"/>
          <w:kern w:val="0"/>
          <w:sz w:val="30"/>
          <w:szCs w:val="30"/>
          <w:shd w:val="clear" w:color="auto" w:fill="FFFFFF"/>
          <w:lang w:bidi="ar"/>
        </w:rPr>
        <w:t>4。</w:t>
      </w:r>
      <w:r>
        <w:rPr>
          <w:rFonts w:ascii="仿宋_GB2312" w:eastAsia="仿宋_GB2312" w:cs="仿宋_GB2312" w:hint="eastAsia"/>
          <w:color w:val="000000"/>
          <w:kern w:val="0"/>
          <w:sz w:val="30"/>
          <w:szCs w:val="30"/>
          <w:shd w:val="clear" w:color="auto" w:fill="FFFFFF"/>
          <w:lang w:bidi="ar"/>
        </w:rPr>
        <w:t>银保监会可根据商业银行内部模型定性要求的执行情况设定定性附加因子，最小值即初始值为0。</w:t>
      </w:r>
    </w:p>
    <w:p w:rsidR="000F35CE" w:rsidRDefault="00294C0B">
      <w:pPr>
        <w:pStyle w:val="20"/>
      </w:pPr>
      <w:r>
        <w:rPr>
          <w:rFonts w:hint="eastAsia"/>
        </w:rPr>
        <w:t>七、</w:t>
      </w:r>
      <w:bookmarkStart w:id="22" w:name="_Hlk48836023"/>
      <w:r>
        <w:rPr>
          <w:rFonts w:hint="eastAsia"/>
        </w:rPr>
        <w:t>内部模型法交易台的违约风险资本要求</w:t>
      </w:r>
      <w:bookmarkEnd w:id="22"/>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sz w:val="30"/>
          <w:szCs w:val="30"/>
        </w:rPr>
        <w:t>（一）</w:t>
      </w:r>
      <w:r>
        <w:rPr>
          <w:rFonts w:ascii="仿宋_GB2312" w:eastAsia="仿宋_GB2312" w:hint="eastAsia"/>
          <w:color w:val="000000"/>
          <w:kern w:val="0"/>
          <w:sz w:val="30"/>
          <w:szCs w:val="30"/>
        </w:rPr>
        <w:t>违约风险是指由于债务人违约而导致直接损失的风险，以及违约事件可能导致的潜在非直接损失的风险。</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商业银行应使用单独的内部模型计量违约风险资本要求，内部模型未达到合格标准或未覆盖违约风险的，则应采用标准法计量违约市场风险资本要求。</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color w:val="000000"/>
          <w:kern w:val="0"/>
          <w:sz w:val="30"/>
          <w:szCs w:val="30"/>
        </w:rPr>
        <w:t>违约风险</w:t>
      </w:r>
      <w:r>
        <w:rPr>
          <w:rFonts w:ascii="仿宋_GB2312" w:eastAsia="仿宋_GB2312" w:hint="eastAsia"/>
          <w:color w:val="000000"/>
          <w:kern w:val="0"/>
          <w:sz w:val="30"/>
          <w:szCs w:val="30"/>
        </w:rPr>
        <w:t>应评估</w:t>
      </w:r>
      <w:r>
        <w:rPr>
          <w:rFonts w:ascii="仿宋_GB2312" w:eastAsia="仿宋_GB2312"/>
          <w:color w:val="000000"/>
          <w:kern w:val="0"/>
          <w:sz w:val="30"/>
          <w:szCs w:val="30"/>
        </w:rPr>
        <w:t>超过当前估值中已经考虑的盯市损失以外的</w:t>
      </w:r>
      <w:r>
        <w:rPr>
          <w:rFonts w:ascii="仿宋_GB2312" w:eastAsia="仿宋_GB2312" w:hint="eastAsia"/>
          <w:color w:val="000000"/>
          <w:kern w:val="0"/>
          <w:sz w:val="30"/>
          <w:szCs w:val="30"/>
        </w:rPr>
        <w:t>增量损失</w:t>
      </w:r>
      <w:r>
        <w:rPr>
          <w:rFonts w:ascii="仿宋_GB2312" w:eastAsia="仿宋_GB2312"/>
          <w:color w:val="000000"/>
          <w:kern w:val="0"/>
          <w:sz w:val="30"/>
          <w:szCs w:val="30"/>
        </w:rPr>
        <w:t>。</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（二）商业银行应使用在险值模型来衡量违约风险，在险值应基于1年持有期、单尾99.9%置信区间的假设。</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（三）违约风险的资本要求为以下两项中的较大值：</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1．过去十二周的违约风险价值均值。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kern w:val="0"/>
          <w:sz w:val="30"/>
          <w:szCs w:val="30"/>
        </w:rPr>
        <w:t>2．最近一次计算得到的违约风险价值。</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商业银行应至少每周计算一次违约风险的资本要求。商业银行计量违约风险的模型应假设在1年持有期内头寸不变，其中，对于特定股票子组合头寸可假设60天持有期内头寸不变，</w:t>
      </w:r>
      <w:bookmarkStart w:id="23" w:name="OLE_LINK5"/>
      <w:r>
        <w:rPr>
          <w:rFonts w:ascii="仿宋_GB2312" w:eastAsia="仿宋_GB2312" w:hint="eastAsia"/>
          <w:color w:val="000000"/>
          <w:kern w:val="0"/>
          <w:sz w:val="30"/>
          <w:szCs w:val="30"/>
        </w:rPr>
        <w:t>并根据集中度、风险对冲策略和期权特征加以调</w:t>
      </w:r>
      <w:bookmarkEnd w:id="23"/>
      <w:r>
        <w:rPr>
          <w:rFonts w:ascii="仿宋_GB2312" w:eastAsia="仿宋_GB2312" w:hint="eastAsia"/>
          <w:color w:val="000000"/>
          <w:kern w:val="0"/>
          <w:sz w:val="30"/>
          <w:szCs w:val="30"/>
        </w:rPr>
        <w:t>整；同时也应反映可能影响多个证券发行人的市场性事件。</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sz w:val="30"/>
          <w:szCs w:val="30"/>
        </w:rPr>
        <w:t>（四）</w:t>
      </w:r>
      <w:r>
        <w:rPr>
          <w:rFonts w:ascii="仿宋_GB2312" w:eastAsia="仿宋_GB2312" w:hint="eastAsia"/>
          <w:color w:val="000000"/>
          <w:kern w:val="0"/>
          <w:sz w:val="30"/>
          <w:szCs w:val="30"/>
        </w:rPr>
        <w:t>商业银行的违约风险资本模型应充分考虑产品或组合的流动性期限。</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1．流动性期限可以按照头寸或者组合为单位进行估计；如果以组合为单位估计流动性期限，应对组合的划分方法予以清晰定义，以合理反映不同组合的流动性期限差异。</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2．对非投资级产品、二级市场流动性不足的产品和从未大幅下跌过的产品的流动性期限应予以审慎估计。</w:t>
      </w:r>
    </w:p>
    <w:p w:rsidR="000F35CE" w:rsidRDefault="00294C0B">
      <w:pPr>
        <w:tabs>
          <w:tab w:val="left" w:pos="720"/>
          <w:tab w:val="left" w:pos="5130"/>
        </w:tabs>
        <w:spacing w:line="480" w:lineRule="exact"/>
        <w:ind w:firstLineChars="200" w:firstLine="600"/>
        <w:rPr>
          <w:rFonts w:ascii="仿宋_GB2312" w:eastAsia="仿宋_GB2312"/>
          <w:color w:val="000000"/>
          <w:kern w:val="0"/>
          <w:sz w:val="30"/>
          <w:szCs w:val="30"/>
        </w:rPr>
      </w:pPr>
      <w:bookmarkStart w:id="24" w:name="OLE_LINK3"/>
      <w:r>
        <w:rPr>
          <w:rFonts w:ascii="仿宋_GB2312" w:eastAsia="仿宋_GB2312" w:hint="eastAsia"/>
          <w:color w:val="000000"/>
          <w:kern w:val="0"/>
          <w:sz w:val="30"/>
          <w:szCs w:val="30"/>
        </w:rPr>
        <w:t>3．股票类头寸的流动性期限最低为60天。</w:t>
      </w:r>
    </w:p>
    <w:p w:rsidR="000F35CE" w:rsidRDefault="00294C0B">
      <w:pPr>
        <w:tabs>
          <w:tab w:val="left" w:pos="720"/>
          <w:tab w:val="left" w:pos="5130"/>
        </w:tabs>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五）商业银行应对每个债务人计量违约风险。如果商业银行信用风险内部评级法中的违约概率或违约损失率估值经银保监会验收合格，应使用内部评级结果，否则应基于历史数据，使用与内部评级法一致的方法来计算违约概率和违约损失率。商业银行可以使用与投资组合相关的外部数据。商业银行应建立违约概率和违约损失率数据来源优先级的排名表。</w:t>
      </w:r>
    </w:p>
    <w:p w:rsidR="000F35CE" w:rsidRDefault="00294C0B">
      <w:pPr>
        <w:tabs>
          <w:tab w:val="left" w:pos="720"/>
          <w:tab w:val="left" w:pos="5130"/>
        </w:tabs>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违约概率不能为市场价格中隐含的违约概率，最低为0.05%。</w:t>
      </w:r>
    </w:p>
    <w:p w:rsidR="000F35CE" w:rsidRDefault="00294C0B">
      <w:pPr>
        <w:tabs>
          <w:tab w:val="left" w:pos="720"/>
          <w:tab w:val="left" w:pos="5130"/>
        </w:tabs>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sz w:val="30"/>
          <w:szCs w:val="30"/>
        </w:rPr>
        <w:t>（六）</w:t>
      </w:r>
      <w:r>
        <w:rPr>
          <w:rFonts w:ascii="仿宋_GB2312" w:eastAsia="仿宋_GB2312" w:hint="eastAsia"/>
          <w:color w:val="000000"/>
          <w:kern w:val="0"/>
          <w:sz w:val="30"/>
          <w:szCs w:val="30"/>
        </w:rPr>
        <w:t>轧差计算仅适用于同一工具的多空头</w:t>
      </w:r>
      <w:bookmarkEnd w:id="24"/>
      <w:r>
        <w:rPr>
          <w:rFonts w:ascii="仿宋_GB2312" w:eastAsia="仿宋_GB2312" w:hint="eastAsia"/>
          <w:color w:val="000000"/>
          <w:kern w:val="0"/>
          <w:sz w:val="30"/>
          <w:szCs w:val="30"/>
        </w:rPr>
        <w:t>寸；产品的基差风险、优先级结构、评级、期限和轧差误差都应予以合理计量。</w:t>
      </w:r>
    </w:p>
    <w:p w:rsidR="000F35CE" w:rsidRDefault="00294C0B">
      <w:pPr>
        <w:tabs>
          <w:tab w:val="left" w:pos="720"/>
          <w:tab w:val="left" w:pos="5130"/>
        </w:tabs>
        <w:spacing w:line="480" w:lineRule="exact"/>
        <w:ind w:firstLineChars="200" w:firstLine="600"/>
        <w:jc w:val="left"/>
        <w:rPr>
          <w:rFonts w:ascii="仿宋_GB2312" w:eastAsia="仿宋_GB2312"/>
          <w:color w:val="000000"/>
          <w:kern w:val="0"/>
          <w:sz w:val="30"/>
          <w:szCs w:val="30"/>
        </w:rPr>
      </w:pPr>
      <w:r>
        <w:rPr>
          <w:rFonts w:ascii="仿宋_GB2312" w:eastAsia="仿宋_GB2312" w:hint="eastAsia"/>
          <w:color w:val="000000"/>
          <w:kern w:val="0"/>
          <w:sz w:val="30"/>
          <w:szCs w:val="30"/>
        </w:rPr>
        <w:t>（七）</w:t>
      </w:r>
      <w:r>
        <w:rPr>
          <w:rFonts w:ascii="仿宋_GB2312" w:eastAsia="仿宋_GB2312" w:hAnsi="Calibri" w:hint="eastAsia"/>
          <w:color w:val="000000"/>
          <w:kern w:val="0"/>
          <w:sz w:val="30"/>
          <w:szCs w:val="30"/>
        </w:rPr>
        <w:t>违约风险资本模型应识别债务人违约的相关性影响</w:t>
      </w:r>
      <w:r>
        <w:rPr>
          <w:rFonts w:ascii="仿宋_GB2312" w:eastAsia="仿宋_GB2312" w:hint="eastAsia"/>
          <w:color w:val="000000"/>
          <w:kern w:val="0"/>
          <w:sz w:val="30"/>
          <w:szCs w:val="30"/>
        </w:rPr>
        <w:t>，</w:t>
      </w:r>
      <w:r>
        <w:rPr>
          <w:rFonts w:ascii="仿宋_GB2312" w:eastAsia="仿宋_GB2312" w:hAnsi="Calibri" w:hint="eastAsia"/>
          <w:color w:val="000000"/>
          <w:kern w:val="0"/>
          <w:sz w:val="30"/>
          <w:szCs w:val="30"/>
        </w:rPr>
        <w:t>相关性应基于客观数据</w:t>
      </w:r>
      <w:r>
        <w:rPr>
          <w:rFonts w:ascii="仿宋_GB2312" w:eastAsia="仿宋_GB2312" w:hint="eastAsia"/>
          <w:color w:val="000000"/>
          <w:kern w:val="0"/>
          <w:sz w:val="30"/>
          <w:szCs w:val="30"/>
        </w:rPr>
        <w:t>。商业</w:t>
      </w:r>
      <w:r>
        <w:rPr>
          <w:rFonts w:ascii="仿宋_GB2312" w:eastAsia="仿宋_GB2312" w:hAnsi="Calibri" w:hint="eastAsia"/>
          <w:color w:val="000000"/>
          <w:kern w:val="0"/>
          <w:sz w:val="30"/>
          <w:szCs w:val="30"/>
        </w:rPr>
        <w:t>银行应验证相关性的建模方法符合其投资组合</w:t>
      </w:r>
      <w:r>
        <w:rPr>
          <w:rFonts w:ascii="仿宋_GB2312" w:eastAsia="仿宋_GB2312" w:hint="eastAsia"/>
          <w:color w:val="000000"/>
          <w:kern w:val="0"/>
          <w:sz w:val="30"/>
          <w:szCs w:val="30"/>
        </w:rPr>
        <w:t>，</w:t>
      </w:r>
      <w:r>
        <w:rPr>
          <w:rFonts w:ascii="仿宋_GB2312" w:eastAsia="仿宋_GB2312" w:hAnsi="Calibri" w:hint="eastAsia"/>
          <w:color w:val="000000"/>
          <w:kern w:val="0"/>
          <w:sz w:val="30"/>
          <w:szCs w:val="30"/>
        </w:rPr>
        <w:t>记录建模方法和用于校准模型的时间段。违约相关性应基于信用利差或上市股票价格，并</w:t>
      </w:r>
      <w:r>
        <w:rPr>
          <w:rFonts w:ascii="仿宋_GB2312" w:eastAsia="仿宋_GB2312" w:hint="eastAsia"/>
          <w:color w:val="000000"/>
          <w:kern w:val="0"/>
          <w:sz w:val="30"/>
          <w:szCs w:val="30"/>
        </w:rPr>
        <w:t>基于包含压力情景的</w:t>
      </w:r>
      <w:r>
        <w:rPr>
          <w:rFonts w:ascii="仿宋_GB2312" w:eastAsia="仿宋_GB2312" w:hAnsi="Calibri" w:hint="eastAsia"/>
          <w:color w:val="000000"/>
          <w:kern w:val="0"/>
          <w:sz w:val="30"/>
          <w:szCs w:val="30"/>
        </w:rPr>
        <w:t>10年数据和一年的流动性期限</w:t>
      </w:r>
      <w:r>
        <w:rPr>
          <w:rFonts w:ascii="仿宋_GB2312" w:eastAsia="仿宋_GB2312" w:hint="eastAsia"/>
          <w:color w:val="000000"/>
          <w:kern w:val="0"/>
          <w:sz w:val="30"/>
          <w:szCs w:val="30"/>
        </w:rPr>
        <w:t>。识别相关性时，</w:t>
      </w:r>
      <w:r>
        <w:rPr>
          <w:rFonts w:ascii="仿宋_GB2312" w:eastAsia="仿宋_GB2312" w:hAnsi="Calibri" w:hint="eastAsia"/>
          <w:color w:val="000000"/>
          <w:kern w:val="0"/>
          <w:sz w:val="30"/>
          <w:szCs w:val="30"/>
        </w:rPr>
        <w:t>应反映所有重大基差风险。</w:t>
      </w:r>
    </w:p>
    <w:p w:rsidR="000F35CE" w:rsidRDefault="00294C0B">
      <w:pPr>
        <w:tabs>
          <w:tab w:val="left" w:pos="720"/>
          <w:tab w:val="left" w:pos="5130"/>
        </w:tabs>
        <w:spacing w:line="480" w:lineRule="exact"/>
        <w:ind w:firstLineChars="200" w:firstLine="600"/>
        <w:jc w:val="left"/>
        <w:rPr>
          <w:rFonts w:ascii="仿宋_GB2312" w:eastAsia="仿宋_GB2312"/>
          <w:color w:val="000000"/>
          <w:kern w:val="0"/>
          <w:sz w:val="30"/>
          <w:szCs w:val="30"/>
        </w:rPr>
      </w:pPr>
      <w:r>
        <w:rPr>
          <w:rFonts w:ascii="仿宋_GB2312" w:eastAsia="仿宋_GB2312" w:hint="eastAsia"/>
          <w:color w:val="000000"/>
          <w:kern w:val="0"/>
          <w:sz w:val="30"/>
          <w:szCs w:val="30"/>
        </w:rPr>
        <w:t>（八）</w:t>
      </w:r>
      <w:r>
        <w:rPr>
          <w:rFonts w:ascii="仿宋_GB2312" w:eastAsia="仿宋_GB2312" w:hAnsi="Calibri" w:hint="eastAsia"/>
          <w:color w:val="000000"/>
          <w:kern w:val="0"/>
          <w:sz w:val="30"/>
          <w:szCs w:val="30"/>
        </w:rPr>
        <w:t>违约风险资本模型应反映错配风险、集中度风险、期权性风险和其他重大非线性头寸的违约风险，并考虑经济周期。</w:t>
      </w:r>
    </w:p>
    <w:p w:rsidR="000F35CE" w:rsidRDefault="00294C0B">
      <w:pPr>
        <w:tabs>
          <w:tab w:val="left" w:pos="720"/>
          <w:tab w:val="left" w:pos="5130"/>
        </w:tabs>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sz w:val="30"/>
          <w:szCs w:val="30"/>
        </w:rPr>
        <w:t>（九）</w:t>
      </w:r>
      <w:r>
        <w:rPr>
          <w:rFonts w:ascii="仿宋_GB2312" w:eastAsia="仿宋_GB2312" w:hint="eastAsia"/>
          <w:color w:val="000000"/>
          <w:kern w:val="0"/>
          <w:sz w:val="30"/>
          <w:szCs w:val="30"/>
        </w:rPr>
        <w:t xml:space="preserve">商业银行的违约风险模型在满足以下条件时可以考虑动态对冲策略的对冲效果，而不将其作为对冲误差处理： </w:t>
      </w:r>
    </w:p>
    <w:p w:rsidR="000F35CE" w:rsidRDefault="00294C0B">
      <w:pPr>
        <w:tabs>
          <w:tab w:val="left" w:pos="720"/>
          <w:tab w:val="left" w:pos="5130"/>
        </w:tabs>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1．动态对冲策略一致地应用于交易账户的所有相关头寸；</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2．证明采用动态对冲策略是一种较好的风险管理方法；</w:t>
      </w:r>
    </w:p>
    <w:p w:rsidR="000F35CE" w:rsidRDefault="00294C0B">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3．证明对冲工具有足够流动性以保证即便在压力市场条件下仍然能够采取动态对冲策略管理风险。</w:t>
      </w:r>
    </w:p>
    <w:p w:rsidR="000F35CE" w:rsidRDefault="00294C0B">
      <w:pPr>
        <w:spacing w:line="480" w:lineRule="exact"/>
        <w:ind w:firstLineChars="200" w:firstLine="600"/>
        <w:rPr>
          <w:rFonts w:ascii="仿宋_GB2312" w:eastAsia="仿宋_GB2312"/>
          <w:strike/>
          <w:color w:val="000000"/>
          <w:kern w:val="0"/>
          <w:sz w:val="30"/>
          <w:szCs w:val="30"/>
        </w:rPr>
      </w:pPr>
      <w:r>
        <w:rPr>
          <w:rFonts w:ascii="仿宋_GB2312" w:eastAsia="仿宋_GB2312" w:hint="eastAsia"/>
          <w:color w:val="000000"/>
          <w:kern w:val="0"/>
          <w:sz w:val="30"/>
          <w:szCs w:val="30"/>
        </w:rPr>
        <w:t>（十）违约风险资本模型的验证包括但不限于压力测试、敏感性分析和情景分析。</w:t>
      </w:r>
    </w:p>
    <w:p w:rsidR="000F35CE" w:rsidRDefault="00294C0B">
      <w:pPr>
        <w:pStyle w:val="20"/>
      </w:pPr>
      <w:r>
        <w:rPr>
          <w:rFonts w:hint="eastAsia"/>
        </w:rPr>
        <w:t>八、</w:t>
      </w:r>
      <w:bookmarkStart w:id="25" w:name="_Hlk48836030"/>
      <w:r>
        <w:rPr>
          <w:rFonts w:hint="eastAsia"/>
        </w:rPr>
        <w:t>市场风险总资本要求</w:t>
      </w:r>
    </w:p>
    <w:bookmarkEnd w:id="25"/>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市场风险的总资本要求（</w:t>
      </w:r>
      <w:r>
        <w:rPr>
          <w:position w:val="-12"/>
          <w:sz w:val="30"/>
          <w:szCs w:val="30"/>
        </w:rPr>
        <w:object w:dxaOrig="799" w:dyaOrig="359">
          <v:shape id="Object 36" o:spid="_x0000_i1059" type="#_x0000_t75" style="width:40.1pt;height:17.85pt;mso-wrap-style:square;mso-position-horizontal-relative:page;mso-position-vertical-relative:page" o:ole="">
            <v:imagedata r:id="rId70" o:title=""/>
          </v:shape>
          <o:OLEObject Type="Embed" ProgID="Equation.DSMT4" ShapeID="Object 36" DrawAspect="Content" ObjectID="_1738154997" r:id="rId71"/>
        </w:object>
      </w:r>
      <w:r>
        <w:rPr>
          <w:rFonts w:ascii="仿宋_GB2312" w:eastAsia="仿宋_GB2312" w:hint="eastAsia"/>
          <w:color w:val="000000"/>
          <w:sz w:val="30"/>
          <w:szCs w:val="30"/>
        </w:rPr>
        <w:t>）等于</w:t>
      </w:r>
      <w:r>
        <w:rPr>
          <w:rFonts w:ascii="仿宋_GB2312" w:eastAsia="仿宋_GB2312" w:hint="eastAsia"/>
          <w:color w:val="000000"/>
          <w:sz w:val="30"/>
          <w:szCs w:val="30"/>
          <w:shd w:val="clear" w:color="auto" w:fill="FFFFFF"/>
          <w:lang w:bidi="ar"/>
        </w:rPr>
        <w:t>可使用内部模型法</w:t>
      </w:r>
      <w:r>
        <w:rPr>
          <w:rFonts w:ascii="仿宋_GB2312" w:eastAsia="仿宋_GB2312" w:hint="eastAsia"/>
          <w:color w:val="000000"/>
          <w:sz w:val="30"/>
          <w:szCs w:val="30"/>
        </w:rPr>
        <w:t>的交易台的总资本要求（</w:t>
      </w:r>
      <w:r>
        <w:rPr>
          <w:position w:val="-14"/>
          <w:sz w:val="30"/>
          <w:szCs w:val="30"/>
        </w:rPr>
        <w:object w:dxaOrig="1980" w:dyaOrig="379">
          <v:shape id="Object 37" o:spid="_x0000_i1060" type="#_x0000_t75" style="width:99.1pt;height:18.85pt;mso-wrap-style:square;mso-position-horizontal-relative:page;mso-position-vertical-relative:page" o:ole="">
            <v:imagedata r:id="rId72" o:title=""/>
          </v:shape>
          <o:OLEObject Type="Embed" ProgID="Equation.DSMT4" ShapeID="Object 37" DrawAspect="Content" ObjectID="_1738154998" r:id="rId73"/>
        </w:object>
      </w:r>
      <w:r>
        <w:rPr>
          <w:rFonts w:ascii="仿宋_GB2312" w:eastAsia="仿宋_GB2312" w:hint="eastAsia"/>
          <w:color w:val="000000"/>
          <w:sz w:val="30"/>
          <w:szCs w:val="30"/>
        </w:rPr>
        <w:t>，含违约风险资本要求）加上未获批或已获批但不符合内部模型法使用条件的交易台按标准法计算的资本要求</w:t>
      </w:r>
      <w:r>
        <w:rPr>
          <w:position w:val="-12"/>
          <w:sz w:val="30"/>
          <w:szCs w:val="30"/>
        </w:rPr>
        <w:object w:dxaOrig="339" w:dyaOrig="379">
          <v:shape id="Object 38" o:spid="_x0000_i1061" type="#_x0000_t75" style="width:17.15pt;height:18.85pt;mso-wrap-style:square;mso-position-horizontal-relative:page;mso-position-vertical-relative:page" o:ole="">
            <v:imagedata r:id="rId74" o:title=""/>
          </v:shape>
          <o:OLEObject Type="Embed" ProgID="Equation.DSMT4" ShapeID="Object 38" DrawAspect="Content" ObjectID="_1738154999" r:id="rId75"/>
        </w:object>
      </w:r>
      <w:r>
        <w:rPr>
          <w:rFonts w:hint="eastAsia"/>
          <w:sz w:val="30"/>
          <w:szCs w:val="30"/>
        </w:rPr>
        <w:t>。</w:t>
      </w:r>
      <w:r>
        <w:rPr>
          <w:rFonts w:ascii="仿宋_GB2312" w:eastAsia="仿宋_GB2312" w:hint="eastAsia"/>
          <w:color w:val="000000"/>
          <w:sz w:val="30"/>
          <w:szCs w:val="30"/>
        </w:rPr>
        <w:t>如果至少有一个符合条件的交易台落入损益归因测试黄色区域，则会施加资本附加</w:t>
      </w:r>
      <w:r>
        <w:rPr>
          <w:rFonts w:ascii="仿宋_GB2312" w:eastAsia="仿宋_GB2312"/>
          <w:color w:val="000000"/>
          <w:sz w:val="30"/>
          <w:szCs w:val="30"/>
        </w:rPr>
        <w:t>(</w:t>
      </w:r>
      <w:r>
        <w:rPr>
          <w:rFonts w:ascii="仿宋_GB2312" w:eastAsia="仿宋_GB2312" w:hint="eastAsia"/>
          <w:color w:val="000000"/>
          <w:sz w:val="30"/>
          <w:szCs w:val="30"/>
        </w:rPr>
        <w:t>Capital</w:t>
      </w:r>
      <w:r>
        <w:rPr>
          <w:rFonts w:ascii="仿宋_GB2312" w:eastAsia="仿宋_GB2312"/>
          <w:color w:val="000000"/>
          <w:sz w:val="30"/>
          <w:szCs w:val="30"/>
        </w:rPr>
        <w:t xml:space="preserve"> </w:t>
      </w:r>
      <w:r>
        <w:rPr>
          <w:rFonts w:ascii="仿宋_GB2312" w:eastAsia="仿宋_GB2312" w:hint="eastAsia"/>
          <w:color w:val="000000"/>
          <w:sz w:val="30"/>
          <w:szCs w:val="30"/>
        </w:rPr>
        <w:t>surcharge</w:t>
      </w:r>
      <w:r>
        <w:rPr>
          <w:rFonts w:ascii="仿宋_GB2312" w:eastAsia="仿宋_GB2312"/>
          <w:color w:val="000000"/>
          <w:sz w:val="30"/>
          <w:szCs w:val="30"/>
        </w:rPr>
        <w:t>)</w:t>
      </w:r>
      <w:r>
        <w:rPr>
          <w:rFonts w:ascii="仿宋_GB2312" w:eastAsia="仿宋_GB2312" w:hint="eastAsia"/>
          <w:color w:val="000000"/>
          <w:sz w:val="30"/>
          <w:szCs w:val="30"/>
        </w:rPr>
        <w:t>。资本附加的计算详见本附件第十部分（五）。</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内部模型法总资本要求计算如下：</w:t>
      </w:r>
    </w:p>
    <w:p w:rsidR="000F35CE" w:rsidRDefault="00294C0B" w:rsidP="0083785F">
      <w:pPr>
        <w:jc w:val="center"/>
        <w:rPr>
          <w:color w:val="000000"/>
          <w:sz w:val="30"/>
          <w:szCs w:val="30"/>
        </w:rPr>
      </w:pPr>
      <w:r>
        <w:rPr>
          <w:position w:val="-16"/>
          <w:sz w:val="30"/>
          <w:szCs w:val="30"/>
        </w:rPr>
        <w:object w:dxaOrig="8220" w:dyaOrig="439">
          <v:shape id="Object 39" o:spid="_x0000_i1062" type="#_x0000_t75" style="width:411.1pt;height:21.95pt;mso-wrap-style:square;mso-position-horizontal-relative:page;mso-position-vertical-relative:page" o:ole="">
            <v:imagedata r:id="rId76" o:title=""/>
          </v:shape>
          <o:OLEObject Type="Embed" ProgID="Equation.DSMT4" ShapeID="Object 39" DrawAspect="Content" ObjectID="_1738155000" r:id="rId77"/>
        </w:objec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object w:dxaOrig="1019" w:dyaOrig="399">
          <v:shape id="Object 40" o:spid="_x0000_i1063" type="#_x0000_t75" style="width:51.1pt;height:19.9pt;mso-wrap-style:square;mso-position-horizontal-relative:page;mso-position-vertical-relative:page" o:ole="">
            <v:imagedata r:id="rId78" o:title=""/>
          </v:shape>
          <o:OLEObject Type="Embed" ProgID="Equation.DSMT4" ShapeID="Object 40" DrawAspect="Content" ObjectID="_1738155001" r:id="rId79"/>
        </w:object>
      </w:r>
      <w:r>
        <w:rPr>
          <w:rFonts w:ascii="仿宋_GB2312" w:eastAsia="仿宋_GB2312" w:hint="eastAsia"/>
          <w:color w:val="000000"/>
          <w:sz w:val="30"/>
          <w:szCs w:val="30"/>
        </w:rPr>
        <w:t>为所有交易台在标准法下的市场风险资本要求；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object w:dxaOrig="719" w:dyaOrig="439">
          <v:shape id="Object 41" o:spid="_x0000_i1064" type="#_x0000_t75" style="width:36pt;height:21.95pt;mso-wrap-style:square;mso-position-horizontal-relative:page;mso-position-vertical-relative:page" o:ole="">
            <v:imagedata r:id="rId80" o:title=""/>
          </v:shape>
          <o:OLEObject Type="Embed" ProgID="Equation.DSMT4" ShapeID="Object 41" DrawAspect="Content" ObjectID="_1738155002" r:id="rId81"/>
        </w:object>
      </w:r>
      <w:r>
        <w:rPr>
          <w:rFonts w:ascii="仿宋_GB2312" w:eastAsia="仿宋_GB2312" w:hint="eastAsia"/>
          <w:color w:val="000000"/>
          <w:sz w:val="30"/>
          <w:szCs w:val="30"/>
        </w:rPr>
        <w:t>为已获批使用内部模型法且符合内部模型法使用条件的交易台在标准法下的市场风险资本要求。</w:t>
      </w:r>
    </w:p>
    <w:p w:rsidR="000F35CE" w:rsidRDefault="00294C0B">
      <w:pPr>
        <w:pStyle w:val="20"/>
      </w:pPr>
      <w:r>
        <w:rPr>
          <w:rFonts w:hint="eastAsia"/>
        </w:rPr>
        <w:t>九、</w:t>
      </w:r>
      <w:bookmarkStart w:id="26" w:name="_Hlk48836039"/>
      <w:r>
        <w:rPr>
          <w:rFonts w:hint="eastAsia"/>
        </w:rPr>
        <w:t>返回检验要求</w:t>
      </w:r>
      <w:bookmarkEnd w:id="26"/>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商业银行应比较每日的实际损益数据及假设损益数据与内部模型产生的风险价值数据，进行全行层面和交易台层面的返回检验。商业银行依据最近12个月内突破次数确定市场风险资本计算的附加因子，并按季度将返回检验结果及附加因子调整情况报告银保监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银保监会对商业银行返回检验结果和附加因子调整情况进行监督，并评估银行是否可继续使用内部模型法计量资本。</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（二）符合以下情况的，商业银行可向银保监会申请特殊处理：</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hint="eastAsia"/>
          <w:color w:val="000000"/>
          <w:sz w:val="30"/>
          <w:szCs w:val="30"/>
        </w:rPr>
        <w:t>．当金融市场发生重大制度转变或重大金融市场压力事件时，市场数据的波动与相关系数的重大变化可能引发短时间内的大量突破事件。在此情况下，商业银行可申请暂不调高附加因子并继续使用内部模型法，同时应尽快将上述压力情景纳入模型。</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2</w:t>
      </w:r>
      <w:r>
        <w:rPr>
          <w:rFonts w:ascii="仿宋_GB2312" w:eastAsia="仿宋_GB2312" w:hint="eastAsia"/>
          <w:color w:val="000000"/>
          <w:sz w:val="30"/>
          <w:szCs w:val="30"/>
        </w:rPr>
        <w:t>．如果突破情况和不可建模风险因子相关，且该不可建模风险因子的资本要求超过了当日的实际损失或假设损失，商业银行可向银保监会申请不将该突破事件计入突破次数。商业银行应记录相关不可建模风险因子价值的历史变动情况，并提供充足证据证明是该不可建模风险因子导致的相关损失。</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（三）内部模型的返回检验应至少满足以下要求：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1．商业银行应每日计算基于T-1日头寸的风险价值与T日的损益数据并进行比较，如实际损失或假设损失超过风险价值，或者出现损益或风险价值无法获取的情况，则称为发生一次突破。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2．全行层面返回检验风险价值的持有期为1天，置信区间为99%，计算方法以及使用的历史数据期限等参数应与使用内部模型法计提市场风险资本要求时所用参数保持一致。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3．交易台层面返回检验风险价值的持有期为1天，置信区间为99%及97.5%，计算方法以及使用的历史数据期限等参数应与使用内部模型法计提市场风险资本要求时所用参数保持一致。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若在最近12个月内，交易台在99%的置信区间下不少于12个突破次数，或在97.5%的置信水平下不少于30个突破次数，应按标准法计量该交易台的资本要求。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4．突破的统计方法采用简单突破法，即每季度末统计过去250个交易日的返回检验结果中总计发生的突破次数。总体的突破数量是实际损失突破情况和假设损失突破情况中的较大值。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5．商业银行向银保监会申请实施内部模型法时，应建立返回检验流程，并积累至少12个月的返回检验结果数据。</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6．根据最新的交易台层面返回检验、风险因子合格性检验以及损益归因测试的结果，每季度更新全行层面返回检验的投资组合范围。</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（四）商业银行应建立返回检验的文档管理和报告制度。</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1．商业银行应对返回检验过程及结果建立完整的书面文档记录，以供内部管理、外部审计和银保监会查阅使用。</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2．返回检验突破事件发生后，应及时书面报告商业银行负责市场风险管理的高级管理层成员。</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3．商业银行正式实施市场风险内部模型法后，应每季度将过去250个交易日的返回检验结果报告提交银保监会。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（五）按照全行范围过去250个交易日的返回检验突破次数，其结果可分为绿区、黄区和红区三个区域。</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1．绿区，包括0至4次突破事件。绿区代表返回检验结果并未显示商业银行的内部模型存在问题。</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2．黄区，包括5至9次突破事件。黄区代表返回检验结果显示商业银行的内部模型可能存在问题，但有关结论尚不确定，通常情况下，随着出现突破事件次数由5次增加至9次，模型不准确的可能性会逐步增大。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3．红区，包括10次或以上突破事件。红区代表返回检验结果显示商业银行的内部模型存在问题的可能性极大。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（六）市场风险返回检验突破次数、分区及乘数因子的对应关系见表</w:t>
      </w:r>
      <w:r>
        <w:rPr>
          <w:rFonts w:ascii="仿宋_GB2312" w:eastAsia="仿宋_GB2312"/>
          <w:color w:val="000000"/>
          <w:sz w:val="30"/>
          <w:szCs w:val="30"/>
        </w:rPr>
        <w:t>4</w:t>
      </w:r>
      <w:r>
        <w:rPr>
          <w:rFonts w:ascii="仿宋_GB2312" w:eastAsia="仿宋_GB2312" w:hint="eastAsia"/>
          <w:color w:val="000000"/>
          <w:sz w:val="30"/>
          <w:szCs w:val="30"/>
        </w:rPr>
        <w:t>。银保监会可根据商业银行模型运行表现在返回检验乘数因子之上另行增设定性附加因子。</w:t>
      </w:r>
    </w:p>
    <w:p w:rsidR="000F35CE" w:rsidRDefault="00294C0B">
      <w:pPr>
        <w:spacing w:line="480" w:lineRule="exact"/>
        <w:jc w:val="center"/>
        <w:rPr>
          <w:rFonts w:ascii="楷体_GB2312" w:eastAsia="楷体_GB2312"/>
          <w:b/>
          <w:color w:val="000000"/>
          <w:sz w:val="28"/>
          <w:szCs w:val="28"/>
        </w:rPr>
      </w:pPr>
      <w:r>
        <w:rPr>
          <w:rFonts w:ascii="楷体_GB2312" w:eastAsia="楷体_GB2312" w:hint="eastAsia"/>
          <w:b/>
          <w:color w:val="000000"/>
          <w:sz w:val="28"/>
          <w:szCs w:val="28"/>
        </w:rPr>
        <w:t>表4 突破次数与乘数因子关系表</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4860"/>
        <w:gridCol w:w="2669"/>
      </w:tblGrid>
      <w:tr w:rsidR="000F35CE">
        <w:trPr>
          <w:trHeight w:val="494"/>
          <w:tblHeader/>
        </w:trPr>
        <w:tc>
          <w:tcPr>
            <w:tcW w:w="108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b/>
                <w:color w:val="000000"/>
                <w:sz w:val="22"/>
                <w:szCs w:val="22"/>
              </w:rPr>
            </w:pPr>
            <w:r>
              <w:rPr>
                <w:rFonts w:ascii="宋体" w:hAnsi="宋体" w:hint="eastAsia"/>
                <w:b/>
                <w:color w:val="000000"/>
                <w:sz w:val="22"/>
                <w:szCs w:val="22"/>
              </w:rPr>
              <w:t>分区</w:t>
            </w: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b/>
                <w:color w:val="000000"/>
                <w:sz w:val="22"/>
                <w:szCs w:val="22"/>
              </w:rPr>
            </w:pPr>
            <w:r>
              <w:rPr>
                <w:rFonts w:ascii="宋体" w:hAnsi="宋体" w:hint="eastAsia"/>
                <w:b/>
                <w:color w:val="000000"/>
                <w:sz w:val="22"/>
                <w:szCs w:val="22"/>
              </w:rPr>
              <w:t>过去250个交易日的返回检验突破次数</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b/>
                <w:color w:val="000000"/>
                <w:sz w:val="22"/>
                <w:szCs w:val="22"/>
              </w:rPr>
            </w:pPr>
            <w:bookmarkStart w:id="27" w:name="_Hlk49267385"/>
            <w:r>
              <w:rPr>
                <w:rFonts w:ascii="宋体" w:hAnsi="宋体" w:hint="eastAsia"/>
                <w:b/>
                <w:color w:val="000000"/>
                <w:sz w:val="22"/>
                <w:szCs w:val="22"/>
              </w:rPr>
              <w:t>返回检验乘数因子</w:t>
            </w:r>
          </w:p>
          <w:bookmarkEnd w:id="27"/>
          <w:p w:rsidR="000F35CE" w:rsidRDefault="00294C0B">
            <w:pPr>
              <w:spacing w:line="360" w:lineRule="exact"/>
              <w:jc w:val="left"/>
              <w:rPr>
                <w:rFonts w:ascii="宋体" w:hAnsi="宋体"/>
                <w:b/>
                <w:color w:val="000000"/>
                <w:sz w:val="22"/>
                <w:szCs w:val="22"/>
              </w:rPr>
            </w:pPr>
            <w:r>
              <w:rPr>
                <w:rFonts w:ascii="宋体" w:hAnsi="宋体" w:hint="eastAsia"/>
                <w:b/>
                <w:color w:val="000000"/>
                <w:sz w:val="22"/>
                <w:szCs w:val="22"/>
              </w:rPr>
              <w:t>（固定因子1.5+返回检验附加因子0-0.5）</w:t>
            </w:r>
          </w:p>
        </w:tc>
      </w:tr>
      <w:tr w:rsidR="000F35CE">
        <w:trPr>
          <w:trHeight w:val="428"/>
        </w:trPr>
        <w:tc>
          <w:tcPr>
            <w:tcW w:w="108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绿区</w:t>
            </w: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少于5次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1.50</w:t>
            </w:r>
          </w:p>
        </w:tc>
      </w:tr>
      <w:tr w:rsidR="000F35CE">
        <w:trPr>
          <w:trHeight w:val="443"/>
        </w:trPr>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黄区</w:t>
            </w: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5次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w:t>
            </w:r>
            <w:r>
              <w:rPr>
                <w:rFonts w:ascii="宋体" w:hAnsi="宋体"/>
                <w:color w:val="000000"/>
                <w:sz w:val="22"/>
                <w:szCs w:val="22"/>
              </w:rPr>
              <w:t>.</w:t>
            </w:r>
            <w:r>
              <w:rPr>
                <w:rFonts w:ascii="宋体" w:hAnsi="宋体" w:hint="eastAsia"/>
                <w:color w:val="000000"/>
                <w:sz w:val="22"/>
                <w:szCs w:val="22"/>
              </w:rPr>
              <w:t>70</w:t>
            </w:r>
          </w:p>
        </w:tc>
      </w:tr>
      <w:tr w:rsidR="000F35CE">
        <w:trPr>
          <w:trHeight w:val="438"/>
        </w:trPr>
        <w:tc>
          <w:tcPr>
            <w:tcW w:w="1080" w:type="dxa"/>
            <w:vMerge/>
            <w:tcBorders>
              <w:top w:val="single" w:sz="4" w:space="0" w:color="000000"/>
              <w:left w:val="single" w:sz="4" w:space="0" w:color="000000"/>
              <w:bottom w:val="single" w:sz="4" w:space="0" w:color="000000"/>
              <w:right w:val="single" w:sz="4" w:space="0" w:color="000000"/>
            </w:tcBorders>
            <w:vAlign w:val="center"/>
          </w:tcPr>
          <w:p w:rsidR="000F35CE" w:rsidRDefault="000F35CE">
            <w:pPr>
              <w:widowControl/>
              <w:spacing w:line="360" w:lineRule="exact"/>
              <w:jc w:val="left"/>
              <w:rPr>
                <w:rFonts w:ascii="宋体" w:hAnsi="宋体"/>
                <w:color w:val="000000"/>
                <w:sz w:val="22"/>
                <w:szCs w:val="22"/>
              </w:rPr>
            </w:pP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6次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1.76</w:t>
            </w:r>
          </w:p>
        </w:tc>
      </w:tr>
      <w:tr w:rsidR="000F35CE">
        <w:trPr>
          <w:trHeight w:val="438"/>
        </w:trPr>
        <w:tc>
          <w:tcPr>
            <w:tcW w:w="1080" w:type="dxa"/>
            <w:vMerge/>
            <w:tcBorders>
              <w:top w:val="single" w:sz="4" w:space="0" w:color="000000"/>
              <w:left w:val="single" w:sz="4" w:space="0" w:color="000000"/>
              <w:bottom w:val="single" w:sz="4" w:space="0" w:color="000000"/>
              <w:right w:val="single" w:sz="4" w:space="0" w:color="000000"/>
            </w:tcBorders>
            <w:vAlign w:val="center"/>
          </w:tcPr>
          <w:p w:rsidR="000F35CE" w:rsidRDefault="000F35CE">
            <w:pPr>
              <w:widowControl/>
              <w:spacing w:line="360" w:lineRule="exact"/>
              <w:jc w:val="left"/>
              <w:rPr>
                <w:rFonts w:ascii="宋体" w:hAnsi="宋体"/>
                <w:color w:val="000000"/>
                <w:sz w:val="22"/>
                <w:szCs w:val="22"/>
              </w:rPr>
            </w:pP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7次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1.83</w:t>
            </w:r>
          </w:p>
        </w:tc>
      </w:tr>
      <w:tr w:rsidR="000F35CE">
        <w:trPr>
          <w:trHeight w:val="438"/>
        </w:trPr>
        <w:tc>
          <w:tcPr>
            <w:tcW w:w="1080" w:type="dxa"/>
            <w:vMerge/>
            <w:tcBorders>
              <w:top w:val="single" w:sz="4" w:space="0" w:color="000000"/>
              <w:left w:val="single" w:sz="4" w:space="0" w:color="000000"/>
              <w:bottom w:val="single" w:sz="4" w:space="0" w:color="000000"/>
              <w:right w:val="single" w:sz="4" w:space="0" w:color="000000"/>
            </w:tcBorders>
            <w:vAlign w:val="center"/>
          </w:tcPr>
          <w:p w:rsidR="000F35CE" w:rsidRDefault="000F35CE">
            <w:pPr>
              <w:widowControl/>
              <w:spacing w:line="360" w:lineRule="exact"/>
              <w:jc w:val="left"/>
              <w:rPr>
                <w:rFonts w:ascii="宋体" w:hAnsi="宋体"/>
                <w:color w:val="000000"/>
                <w:sz w:val="22"/>
                <w:szCs w:val="22"/>
              </w:rPr>
            </w:pP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8次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1.88</w:t>
            </w:r>
          </w:p>
        </w:tc>
      </w:tr>
      <w:tr w:rsidR="000F35CE">
        <w:trPr>
          <w:trHeight w:val="425"/>
        </w:trPr>
        <w:tc>
          <w:tcPr>
            <w:tcW w:w="1080" w:type="dxa"/>
            <w:vMerge/>
            <w:tcBorders>
              <w:top w:val="single" w:sz="4" w:space="0" w:color="000000"/>
              <w:left w:val="single" w:sz="4" w:space="0" w:color="000000"/>
              <w:bottom w:val="single" w:sz="4" w:space="0" w:color="000000"/>
              <w:right w:val="single" w:sz="4" w:space="0" w:color="000000"/>
            </w:tcBorders>
            <w:vAlign w:val="center"/>
          </w:tcPr>
          <w:p w:rsidR="000F35CE" w:rsidRDefault="000F35CE">
            <w:pPr>
              <w:widowControl/>
              <w:spacing w:line="360" w:lineRule="exact"/>
              <w:jc w:val="left"/>
              <w:rPr>
                <w:rFonts w:ascii="宋体" w:hAnsi="宋体"/>
                <w:color w:val="000000"/>
                <w:sz w:val="22"/>
                <w:szCs w:val="22"/>
              </w:rPr>
            </w:pP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9次</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1.92</w:t>
            </w:r>
          </w:p>
        </w:tc>
      </w:tr>
      <w:tr w:rsidR="000F35CE">
        <w:trPr>
          <w:trHeight w:val="430"/>
        </w:trPr>
        <w:tc>
          <w:tcPr>
            <w:tcW w:w="108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红区</w:t>
            </w:r>
          </w:p>
        </w:tc>
        <w:tc>
          <w:tcPr>
            <w:tcW w:w="4860"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10次或以上</w:t>
            </w:r>
          </w:p>
        </w:tc>
        <w:tc>
          <w:tcPr>
            <w:tcW w:w="2669" w:type="dxa"/>
            <w:tcBorders>
              <w:top w:val="single" w:sz="4" w:space="0" w:color="000000"/>
              <w:left w:val="single" w:sz="4" w:space="0" w:color="000000"/>
              <w:bottom w:val="single" w:sz="4" w:space="0" w:color="000000"/>
              <w:right w:val="single" w:sz="4" w:space="0" w:color="000000"/>
            </w:tcBorders>
            <w:vAlign w:val="center"/>
          </w:tcPr>
          <w:p w:rsidR="000F35CE" w:rsidRDefault="00294C0B">
            <w:pPr>
              <w:spacing w:line="360" w:lineRule="exact"/>
              <w:jc w:val="center"/>
              <w:rPr>
                <w:rFonts w:ascii="宋体" w:hAnsi="宋体"/>
                <w:color w:val="000000"/>
                <w:sz w:val="22"/>
                <w:szCs w:val="22"/>
              </w:rPr>
            </w:pPr>
            <w:r>
              <w:rPr>
                <w:rFonts w:ascii="宋体" w:hAnsi="宋体" w:hint="eastAsia"/>
                <w:color w:val="000000"/>
                <w:sz w:val="22"/>
                <w:szCs w:val="22"/>
              </w:rPr>
              <w:t>2.00</w:t>
            </w:r>
          </w:p>
        </w:tc>
      </w:tr>
    </w:tbl>
    <w:p w:rsidR="000F35CE" w:rsidRDefault="00294C0B">
      <w:pPr>
        <w:pStyle w:val="20"/>
      </w:pPr>
      <w:bookmarkStart w:id="28" w:name="_Hlk48836047"/>
      <w:r>
        <w:rPr>
          <w:rFonts w:hint="eastAsia"/>
        </w:rPr>
        <w:t>十、损益归因测试要求</w:t>
      </w:r>
    </w:p>
    <w:bookmarkEnd w:id="28"/>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商业银行应比较交易台每日的假设损益数据与风险理论损益数据，进行损益归因测试，根据最近12个月内测试结果确定市场风险资本计算的资本附加，并按季度将损益归因测试结果及资本附加调整情况报告银保监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（二）内部模型的损益归因测试应至少满足以下要求：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kern w:val="0"/>
          <w:sz w:val="30"/>
          <w:szCs w:val="30"/>
        </w:rPr>
        <w:t>1．</w:t>
      </w:r>
      <w:r>
        <w:rPr>
          <w:rFonts w:ascii="仿宋_GB2312" w:eastAsia="仿宋_GB2312" w:hint="eastAsia"/>
          <w:color w:val="000000"/>
          <w:sz w:val="30"/>
          <w:szCs w:val="30"/>
        </w:rPr>
        <w:t>商业银行应基于最近250个交易日的每日风险理论损益与假设损益数据构成的时间序列，来计算交易台的相关性指标（Spearman）和KS检验指标。</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kern w:val="0"/>
          <w:sz w:val="30"/>
          <w:szCs w:val="30"/>
        </w:rPr>
        <w:t>2．</w:t>
      </w:r>
      <w:r>
        <w:rPr>
          <w:rFonts w:ascii="仿宋_GB2312" w:eastAsia="仿宋_GB2312" w:hint="eastAsia"/>
          <w:color w:val="000000"/>
          <w:sz w:val="30"/>
          <w:szCs w:val="30"/>
        </w:rPr>
        <w:t>相关性指标的计算公式为：</w:t>
      </w:r>
    </w:p>
    <w:p w:rsidR="000F35CE" w:rsidRDefault="00294C0B" w:rsidP="0083785F">
      <w:pPr>
        <w:jc w:val="center"/>
        <w:rPr>
          <w:rFonts w:ascii="仿宋_GB2312" w:eastAsia="仿宋_GB2312"/>
          <w:color w:val="000000"/>
          <w:sz w:val="30"/>
          <w:szCs w:val="30"/>
        </w:rPr>
      </w:pPr>
      <w:r>
        <w:rPr>
          <w:position w:val="-34"/>
          <w:sz w:val="30"/>
          <w:szCs w:val="30"/>
        </w:rPr>
        <w:object w:dxaOrig="2040" w:dyaOrig="719">
          <v:shape id="Object 42" o:spid="_x0000_i1065" type="#_x0000_t75" style="width:102.15pt;height:36pt;mso-wrap-style:square;mso-position-horizontal-relative:page;mso-position-vertical-relative:page" o:ole="">
            <v:imagedata r:id="rId82" o:title=""/>
          </v:shape>
          <o:OLEObject Type="Embed" ProgID="Equation.DSMT4" ShapeID="Object 42" DrawAspect="Content" ObjectID="_1738155003" r:id="rId83"/>
        </w:objec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其中：</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w:t>
      </w:r>
      <w:r>
        <w:rPr>
          <w:rFonts w:ascii="仿宋_GB2312" w:eastAsia="仿宋_GB2312"/>
          <w:color w:val="000000"/>
          <w:sz w:val="30"/>
          <w:szCs w:val="30"/>
        </w:rPr>
        <w:object w:dxaOrig="639" w:dyaOrig="399">
          <v:shape id="Object 43" o:spid="_x0000_i1066" type="#_x0000_t75" style="width:31.9pt;height:19.9pt;mso-wrap-style:square;mso-position-horizontal-relative:page;mso-position-vertical-relative:page" o:ole="">
            <v:imagedata r:id="rId84" o:title=""/>
          </v:shape>
          <o:OLEObject Type="Embed" ProgID="Equation.DSMT4" ShapeID="Object 43" DrawAspect="Content" ObjectID="_1738155004" r:id="rId85"/>
        </w:object>
      </w:r>
      <w:r>
        <w:rPr>
          <w:rFonts w:ascii="仿宋_GB2312" w:eastAsia="仿宋_GB2312" w:hint="eastAsia"/>
          <w:color w:val="000000"/>
          <w:sz w:val="30"/>
          <w:szCs w:val="30"/>
        </w:rPr>
        <w:t>为基于假设损益大小生成相应的时间序列；</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rFonts w:ascii="仿宋_GB2312" w:eastAsia="仿宋_GB2312"/>
          <w:color w:val="000000"/>
          <w:sz w:val="30"/>
          <w:szCs w:val="30"/>
        </w:rPr>
        <w:object w:dxaOrig="719" w:dyaOrig="399">
          <v:shape id="Object 44" o:spid="_x0000_i1067" type="#_x0000_t75" style="width:36pt;height:19.9pt;mso-wrap-style:square;mso-position-horizontal-relative:page;mso-position-vertical-relative:page" o:ole="">
            <v:imagedata r:id="rId86" o:title=""/>
          </v:shape>
          <o:OLEObject Type="Embed" ProgID="Equation.DSMT4" ShapeID="Object 44" DrawAspect="Content" ObjectID="_1738155005" r:id="rId87"/>
        </w:object>
      </w:r>
      <w:r>
        <w:rPr>
          <w:rFonts w:ascii="仿宋_GB2312" w:eastAsia="仿宋_GB2312" w:hint="eastAsia"/>
          <w:color w:val="000000"/>
          <w:sz w:val="30"/>
          <w:szCs w:val="30"/>
        </w:rPr>
        <w:t>为基于风险理论损益大小生成相应的时间序列；</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w:t>
      </w:r>
      <w:r>
        <w:rPr>
          <w:rFonts w:ascii="仿宋_GB2312" w:eastAsia="仿宋_GB2312"/>
          <w:color w:val="000000"/>
          <w:sz w:val="30"/>
          <w:szCs w:val="30"/>
        </w:rPr>
        <w:object w:dxaOrig="699" w:dyaOrig="439">
          <v:shape id="Object 45" o:spid="_x0000_i1068" type="#_x0000_t75" style="width:34.95pt;height:21.95pt;mso-wrap-style:square;mso-position-horizontal-relative:page;mso-position-vertical-relative:page" o:ole="">
            <v:imagedata r:id="rId88" o:title=""/>
          </v:shape>
          <o:OLEObject Type="Embed" ProgID="Equation.DSMT4" ShapeID="Object 45" DrawAspect="Content" ObjectID="_1738155006" r:id="rId89"/>
        </w:object>
      </w:r>
      <w:r>
        <w:rPr>
          <w:rFonts w:ascii="仿宋_GB2312" w:eastAsia="仿宋_GB2312" w:hint="eastAsia"/>
          <w:color w:val="000000"/>
          <w:sz w:val="30"/>
          <w:szCs w:val="30"/>
        </w:rPr>
        <w:t>和</w:t>
      </w:r>
      <w:r>
        <w:rPr>
          <w:rFonts w:ascii="仿宋_GB2312" w:eastAsia="仿宋_GB2312"/>
          <w:color w:val="000000"/>
          <w:sz w:val="30"/>
          <w:szCs w:val="30"/>
        </w:rPr>
        <w:object w:dxaOrig="779" w:dyaOrig="439">
          <v:shape id="Object 46" o:spid="_x0000_i1069" type="#_x0000_t75" style="width:39.1pt;height:21.95pt;mso-wrap-style:square;mso-position-horizontal-relative:page;mso-position-vertical-relative:page" o:ole="">
            <v:imagedata r:id="rId90" o:title=""/>
          </v:shape>
          <o:OLEObject Type="Embed" ProgID="Equation.DSMT4" ShapeID="Object 46" DrawAspect="Content" ObjectID="_1738155007" r:id="rId91"/>
        </w:object>
      </w:r>
      <w:r>
        <w:rPr>
          <w:rFonts w:ascii="仿宋_GB2312" w:eastAsia="仿宋_GB2312" w:hint="eastAsia"/>
          <w:color w:val="000000"/>
          <w:sz w:val="30"/>
          <w:szCs w:val="30"/>
        </w:rPr>
        <w:t>是</w:t>
      </w:r>
      <w:r>
        <w:rPr>
          <w:rFonts w:ascii="仿宋_GB2312" w:eastAsia="仿宋_GB2312"/>
          <w:color w:val="000000"/>
          <w:sz w:val="30"/>
          <w:szCs w:val="30"/>
        </w:rPr>
        <w:object w:dxaOrig="639" w:dyaOrig="399">
          <v:shape id="Object 47" o:spid="_x0000_i1070" type="#_x0000_t75" style="width:31.9pt;height:19.9pt;mso-wrap-style:square;mso-position-horizontal-relative:page;mso-position-vertical-relative:page" o:ole="">
            <v:imagedata r:id="rId92" o:title=""/>
          </v:shape>
          <o:OLEObject Type="Embed" ProgID="Equation.DSMT4" ShapeID="Object 47" DrawAspect="Content" ObjectID="_1738155008" r:id="rId93"/>
        </w:object>
      </w:r>
      <w:r>
        <w:rPr>
          <w:rFonts w:ascii="仿宋_GB2312" w:eastAsia="仿宋_GB2312" w:hint="eastAsia"/>
          <w:color w:val="000000"/>
          <w:sz w:val="30"/>
          <w:szCs w:val="30"/>
        </w:rPr>
        <w:t>和</w:t>
      </w:r>
      <w:r>
        <w:rPr>
          <w:rFonts w:ascii="仿宋_GB2312" w:eastAsia="仿宋_GB2312"/>
          <w:color w:val="000000"/>
          <w:sz w:val="30"/>
          <w:szCs w:val="30"/>
        </w:rPr>
        <w:object w:dxaOrig="719" w:dyaOrig="399">
          <v:shape id="Object 48" o:spid="_x0000_i1071" type="#_x0000_t75" style="width:36pt;height:19.9pt;mso-wrap-style:square;mso-position-horizontal-relative:page;mso-position-vertical-relative:page" o:ole="">
            <v:imagedata r:id="rId94" o:title=""/>
          </v:shape>
          <o:OLEObject Type="Embed" ProgID="Equation.DSMT4" ShapeID="Object 48" DrawAspect="Content" ObjectID="_1738155009" r:id="rId95"/>
        </w:object>
      </w:r>
      <w:r>
        <w:rPr>
          <w:rFonts w:ascii="仿宋_GB2312" w:eastAsia="仿宋_GB2312" w:hint="eastAsia"/>
          <w:color w:val="000000"/>
          <w:sz w:val="30"/>
          <w:szCs w:val="30"/>
        </w:rPr>
        <w:t>的标准差。</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3．KS指标的计算公式为风险理论损益的经验累积分布函数值和假设损益的经验累积分布函数值的两者之差绝对值中的最大值。</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损益的经验累积分布函数值为0.004和小于等于给定损益的观测值数量的乘积。</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4．商业银行向银保监会申请实施内部模型法时，应建立损益归因测试流程，并积累至少12个月的损益归因测试结果数据。</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（三）商业银行应建立损益归因测试的文档管理和报告制度。</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1．商业银行应对损益归因测试过程及结果建立完整的书面文档记录，以供内部管理、外部审计和银保监会查阅使用。</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2．商业银行正式实施市场风险内部模型法后，应每季度将过去250个交易日的损益归因测试结果报告提交银保监会。</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（四）按照交易台过去250个交易日相关性指标和KS检验指标的计量结果，其结果可分为绿区、黄区和红区三个区域。</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1．绿区，应同时满足相关性指标大于0.8和KS检验指标值小于0.09(p-value=0.264)两个条件。</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红区，应满足相关性指标小于0.7或满足KS检验指标值大于0.12(p-value=0.055)。若交易台损益归因测试结果为红区，则应使用标准法计量资本要求，直到交易台损益归因测试结果为绿区，且交易台在过去12个月内满足返回检验对于突破值的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黄区，若既没有归入绿色区域也没有落入红色区域，则归入黄区。若交易台损益归因测试结果为黄区，则应进行资本附加处理，直到交易台损益归因测试结果为绿区，且交易台在过去12个月内满足返回检验对于突破值的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 xml:space="preserve">（五）资本附加计算公式如下： </w:t>
      </w:r>
    </w:p>
    <w:p w:rsidR="00294C0B" w:rsidRPr="0083785F" w:rsidRDefault="00294C0B" w:rsidP="0083785F">
      <w:pPr>
        <w:spacing w:line="480" w:lineRule="exact"/>
        <w:ind w:firstLineChars="300" w:firstLine="900"/>
        <w:rPr>
          <w:rFonts w:ascii="仿宋_GB2312" w:eastAsia="仿宋_GB2312"/>
          <w:i/>
          <w:color w:val="000000"/>
          <w:sz w:val="30"/>
          <w:szCs w:val="30"/>
        </w:rPr>
      </w:pPr>
      <m:oMathPara>
        <m:oMathParaPr>
          <m:jc m:val="left"/>
        </m:oMathParaPr>
        <m:oMath>
          <m:r>
            <m:rPr>
              <m:sty m:val="p"/>
            </m:rPr>
            <w:rPr>
              <w:rFonts w:ascii="Cambria Math" w:eastAsia="仿宋_GB2312" w:hAnsi="Cambria Math"/>
              <w:color w:val="000000"/>
              <w:sz w:val="30"/>
              <w:szCs w:val="30"/>
            </w:rPr>
            <m:t xml:space="preserve">         </m:t>
          </m:r>
          <m:r>
            <m:rPr>
              <m:sty m:val="p"/>
            </m:rPr>
            <w:rPr>
              <w:rFonts w:ascii="Cambria Math" w:eastAsia="仿宋_GB2312" w:hAnsi="Cambria Math" w:hint="eastAsia"/>
              <w:color w:val="000000"/>
              <w:sz w:val="30"/>
              <w:szCs w:val="30"/>
            </w:rPr>
            <m:t>资本附加</m:t>
          </m:r>
          <m:r>
            <w:rPr>
              <w:rFonts w:ascii="Cambria Math" w:eastAsia="仿宋_GB2312" w:hAnsi="Cambria Math" w:hint="eastAsia"/>
              <w:color w:val="000000"/>
              <w:sz w:val="30"/>
              <w:szCs w:val="30"/>
            </w:rPr>
            <m:t>=k</m:t>
          </m:r>
          <m:r>
            <w:rPr>
              <w:rFonts w:ascii="Cambria Math" w:eastAsia="仿宋_GB2312" w:hAnsi="Cambria Math"/>
              <w:color w:val="000000"/>
              <w:sz w:val="30"/>
              <w:szCs w:val="30"/>
            </w:rPr>
            <m:t>×max⁡(0,</m:t>
          </m:r>
          <m:sSub>
            <m:sSubPr>
              <m:ctrlPr>
                <w:rPr>
                  <w:rFonts w:ascii="Cambria Math" w:eastAsia="仿宋_GB2312" w:hAnsi="Cambria Math"/>
                  <w:i/>
                  <w:color w:val="000000"/>
                  <w:sz w:val="30"/>
                  <w:szCs w:val="30"/>
                </w:rPr>
              </m:ctrlPr>
            </m:sSubPr>
            <m:e>
              <m:r>
                <w:rPr>
                  <w:rFonts w:ascii="Cambria Math" w:eastAsia="仿宋_GB2312" w:hAnsi="Cambria Math"/>
                  <w:color w:val="000000"/>
                  <w:sz w:val="30"/>
                  <w:szCs w:val="30"/>
                </w:rPr>
                <m:t>SA</m:t>
              </m:r>
            </m:e>
            <m:sub>
              <m:r>
                <w:rPr>
                  <w:rFonts w:ascii="Cambria Math" w:eastAsia="仿宋_GB2312" w:hAnsi="Cambria Math"/>
                  <w:color w:val="000000"/>
                  <w:sz w:val="30"/>
                  <w:szCs w:val="30"/>
                </w:rPr>
                <m:t>G,A</m:t>
              </m:r>
            </m:sub>
          </m:sSub>
          <m:r>
            <w:rPr>
              <w:rFonts w:ascii="Cambria Math" w:eastAsia="仿宋_GB2312" w:hAnsi="Cambria Math"/>
              <w:color w:val="000000"/>
              <w:sz w:val="30"/>
              <w:szCs w:val="30"/>
            </w:rPr>
            <m:t>-</m:t>
          </m:r>
          <m:sSub>
            <m:sSubPr>
              <m:ctrlPr>
                <w:rPr>
                  <w:rFonts w:ascii="Cambria Math" w:eastAsia="仿宋_GB2312" w:hAnsi="Cambria Math"/>
                  <w:i/>
                  <w:color w:val="000000"/>
                  <w:sz w:val="30"/>
                  <w:szCs w:val="30"/>
                </w:rPr>
              </m:ctrlPr>
            </m:sSubPr>
            <m:e>
              <m:r>
                <w:rPr>
                  <w:rFonts w:ascii="Cambria Math" w:eastAsia="仿宋_GB2312" w:hAnsi="Cambria Math"/>
                  <w:color w:val="000000"/>
                  <w:sz w:val="30"/>
                  <w:szCs w:val="30"/>
                </w:rPr>
                <m:t>IMA</m:t>
              </m:r>
            </m:e>
            <m:sub>
              <m:r>
                <w:rPr>
                  <w:rFonts w:ascii="Cambria Math" w:eastAsia="仿宋_GB2312" w:hAnsi="Cambria Math"/>
                  <w:color w:val="000000"/>
                  <w:sz w:val="30"/>
                  <w:szCs w:val="30"/>
                </w:rPr>
                <m:t>G,A</m:t>
              </m:r>
            </m:sub>
          </m:sSub>
          <m:r>
            <w:rPr>
              <w:rFonts w:ascii="Cambria Math" w:eastAsia="仿宋_GB2312" w:hAnsi="Cambria Math"/>
              <w:color w:val="000000"/>
              <w:sz w:val="30"/>
              <w:szCs w:val="30"/>
            </w:rPr>
            <m:t>)</m:t>
          </m:r>
        </m:oMath>
      </m:oMathPara>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其中：</w:t>
      </w:r>
    </w:p>
    <w:p w:rsidR="000F35CE" w:rsidRDefault="00294C0B">
      <w:pPr>
        <w:ind w:firstLineChars="200" w:firstLine="600"/>
        <w:rPr>
          <w:rFonts w:ascii="仿宋_GB2312" w:eastAsia="仿宋_GB2312"/>
          <w:color w:val="000000"/>
          <w:sz w:val="30"/>
          <w:szCs w:val="30"/>
        </w:rPr>
      </w:pPr>
      <w:r>
        <w:rPr>
          <w:rFonts w:ascii="仿宋_GB2312" w:eastAsia="仿宋_GB2312"/>
          <w:color w:val="000000"/>
          <w:sz w:val="30"/>
          <w:szCs w:val="30"/>
        </w:rPr>
        <w:t>1．</w:t>
      </w:r>
      <w:r>
        <w:rPr>
          <w:rFonts w:ascii="仿宋_GB2312" w:eastAsia="仿宋_GB2312"/>
          <w:color w:val="000000"/>
          <w:sz w:val="30"/>
          <w:szCs w:val="30"/>
        </w:rPr>
        <w:object w:dxaOrig="2100" w:dyaOrig="819">
          <v:shape id="Object 50" o:spid="_x0000_i1073" type="#_x0000_t75" style="width:104.9pt;height:41.15pt;mso-wrap-style:square;mso-position-horizontal-relative:page;mso-position-vertical-relative:page" o:ole="">
            <v:imagedata r:id="rId96" o:title=""/>
          </v:shape>
          <o:OLEObject Type="Embed" ProgID="Equation.DSMT4" ShapeID="Object 50" DrawAspect="Content" ObjectID="_1738155010" r:id="rId97"/>
        </w:object>
      </w:r>
      <w:r>
        <w:rPr>
          <w:rFonts w:ascii="仿宋_GB2312" w:eastAsia="仿宋_GB2312"/>
          <w:color w:val="000000"/>
          <w:sz w:val="30"/>
          <w:szCs w:val="30"/>
        </w:rPr>
        <w:t xml:space="preserve"> </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2．</w:t>
      </w:r>
      <m:oMath>
        <m:sSub>
          <m:sSubPr>
            <m:ctrlPr>
              <w:rPr>
                <w:rFonts w:ascii="Cambria Math" w:eastAsia="仿宋_GB2312" w:hAnsi="Cambria Math"/>
                <w:color w:val="000000"/>
                <w:sz w:val="30"/>
                <w:szCs w:val="30"/>
              </w:rPr>
            </m:ctrlPr>
          </m:sSubPr>
          <m:e>
            <m:r>
              <w:rPr>
                <w:rFonts w:ascii="Cambria Math" w:eastAsia="仿宋_GB2312" w:hAnsi="Cambria Math"/>
                <w:color w:val="000000"/>
                <w:sz w:val="30"/>
                <w:szCs w:val="30"/>
              </w:rPr>
              <m:t>SA</m:t>
            </m:r>
          </m:e>
          <m:sub>
            <m:r>
              <w:rPr>
                <w:rFonts w:ascii="Cambria Math" w:eastAsia="仿宋_GB2312" w:hAnsi="Cambria Math"/>
                <w:color w:val="000000"/>
                <w:sz w:val="30"/>
                <w:szCs w:val="30"/>
              </w:rPr>
              <m:t>i</m:t>
            </m:r>
          </m:sub>
        </m:sSub>
      </m:oMath>
      <w:r>
        <w:rPr>
          <w:rFonts w:ascii="仿宋_GB2312" w:eastAsia="仿宋_GB2312" w:hint="eastAsia"/>
          <w:color w:val="000000"/>
          <w:sz w:val="30"/>
          <w:szCs w:val="30"/>
        </w:rPr>
        <w:t>为交易台</w:t>
      </w:r>
      <w:proofErr w:type="spellStart"/>
      <w:r>
        <w:rPr>
          <w:rFonts w:ascii="仿宋_GB2312" w:eastAsia="仿宋_GB2312" w:hint="eastAsia"/>
          <w:color w:val="000000"/>
          <w:sz w:val="30"/>
          <w:szCs w:val="30"/>
        </w:rPr>
        <w:t>i</w:t>
      </w:r>
      <w:proofErr w:type="spellEnd"/>
      <w:r>
        <w:rPr>
          <w:rFonts w:ascii="仿宋_GB2312" w:eastAsia="仿宋_GB2312" w:hint="eastAsia"/>
          <w:color w:val="000000"/>
          <w:sz w:val="30"/>
          <w:szCs w:val="30"/>
        </w:rPr>
        <w:t>所有头寸按标准法计算的资本要求；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3．</w:t>
      </w:r>
      <m:oMath>
        <m:r>
          <w:rPr>
            <w:rFonts w:ascii="Cambria Math" w:eastAsia="仿宋_GB2312" w:hAnsi="Cambria Math"/>
            <w:color w:val="000000"/>
            <w:sz w:val="30"/>
            <w:szCs w:val="30"/>
          </w:rPr>
          <m:t>i</m:t>
        </m:r>
        <m:r>
          <w:rPr>
            <w:rFonts w:ascii="Cambria Math" w:eastAsia="仿宋_GB2312" w:hAnsi="Cambria Math" w:hint="eastAsia"/>
            <w:color w:val="000000"/>
            <w:sz w:val="30"/>
            <w:szCs w:val="30"/>
          </w:rPr>
          <m:t>∈</m:t>
        </m:r>
        <m:r>
          <w:rPr>
            <w:rFonts w:ascii="Cambria Math" w:eastAsia="仿宋_GB2312" w:hAnsi="Cambria Math"/>
            <w:color w:val="000000"/>
            <w:sz w:val="30"/>
            <w:szCs w:val="30"/>
          </w:rPr>
          <m:t>A</m:t>
        </m:r>
      </m:oMath>
      <w:r>
        <w:rPr>
          <w:rFonts w:ascii="仿宋_GB2312" w:eastAsia="仿宋_GB2312" w:hint="eastAsia"/>
          <w:color w:val="000000"/>
          <w:sz w:val="30"/>
          <w:szCs w:val="30"/>
        </w:rPr>
        <w:t>表示所有落入黄区的已验收合格的内部模型法交易台集合；</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color w:val="000000"/>
          <w:sz w:val="30"/>
          <w:szCs w:val="30"/>
        </w:rPr>
        <w:t>4．</w:t>
      </w:r>
      <m:oMath>
        <m:r>
          <w:rPr>
            <w:rFonts w:ascii="Cambria Math" w:eastAsia="仿宋_GB2312" w:hAnsi="Cambria Math"/>
            <w:color w:val="000000"/>
            <w:sz w:val="30"/>
            <w:szCs w:val="30"/>
          </w:rPr>
          <m:t>i∈G,A</m:t>
        </m:r>
      </m:oMath>
      <w:r w:rsidDel="00294C0B">
        <w:rPr>
          <w:rFonts w:ascii="仿宋_GB2312" w:eastAsia="仿宋_GB2312"/>
          <w:color w:val="000000"/>
          <w:sz w:val="30"/>
          <w:szCs w:val="30"/>
        </w:rPr>
        <w:t xml:space="preserve"> </w:t>
      </w:r>
      <w:r>
        <w:rPr>
          <w:rFonts w:ascii="仿宋_GB2312" w:eastAsia="仿宋_GB2312" w:hint="eastAsia"/>
          <w:color w:val="000000"/>
          <w:sz w:val="30"/>
          <w:szCs w:val="30"/>
        </w:rPr>
        <w:t>表示所有落入绿区和黄区的已验收合格的内部模型法交易台集合。</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 xml:space="preserve">（六）若商业银行符合下列要求并经银保监会验收合格，可将风险因子的风险理论损益输入数据与假设损益中使用的数据校准一致： </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1．商业</w:t>
      </w:r>
      <w:r>
        <w:rPr>
          <w:rFonts w:ascii="仿宋_GB2312" w:eastAsia="仿宋_GB2312"/>
          <w:color w:val="000000"/>
          <w:sz w:val="30"/>
          <w:szCs w:val="30"/>
        </w:rPr>
        <w:t>银行</w:t>
      </w:r>
      <w:r>
        <w:rPr>
          <w:rFonts w:ascii="仿宋_GB2312" w:eastAsia="仿宋_GB2312" w:hint="eastAsia"/>
          <w:color w:val="000000"/>
          <w:sz w:val="30"/>
          <w:szCs w:val="30"/>
        </w:rPr>
        <w:t>应</w:t>
      </w:r>
      <w:r>
        <w:rPr>
          <w:rFonts w:ascii="仿宋_GB2312" w:eastAsia="仿宋_GB2312"/>
          <w:color w:val="000000"/>
          <w:sz w:val="30"/>
          <w:szCs w:val="30"/>
        </w:rPr>
        <w:t>证明假设损益输入数据可以适用于风险理论损益</w:t>
      </w:r>
      <w:r>
        <w:rPr>
          <w:rFonts w:ascii="仿宋_GB2312" w:eastAsia="仿宋_GB2312" w:hint="eastAsia"/>
          <w:color w:val="000000"/>
          <w:sz w:val="30"/>
          <w:szCs w:val="30"/>
        </w:rPr>
        <w:t>，</w:t>
      </w:r>
      <w:r>
        <w:rPr>
          <w:rFonts w:ascii="仿宋_GB2312" w:eastAsia="仿宋_GB2312"/>
          <w:color w:val="000000"/>
          <w:sz w:val="30"/>
          <w:szCs w:val="30"/>
        </w:rPr>
        <w:t xml:space="preserve"> 并且在将假设损益输入数据转换为可应用于风险理论损益计算的</w:t>
      </w:r>
      <w:r>
        <w:rPr>
          <w:rFonts w:ascii="仿宋_GB2312" w:eastAsia="仿宋_GB2312" w:hint="eastAsia"/>
          <w:color w:val="000000"/>
          <w:sz w:val="30"/>
          <w:szCs w:val="30"/>
        </w:rPr>
        <w:t>风险因子</w:t>
      </w:r>
      <w:r>
        <w:rPr>
          <w:rFonts w:ascii="仿宋_GB2312" w:eastAsia="仿宋_GB2312"/>
          <w:color w:val="000000"/>
          <w:sz w:val="30"/>
          <w:szCs w:val="30"/>
        </w:rPr>
        <w:t>时</w:t>
      </w:r>
      <w:r>
        <w:rPr>
          <w:rFonts w:ascii="仿宋_GB2312" w:eastAsia="仿宋_GB2312" w:hint="eastAsia"/>
          <w:color w:val="000000"/>
          <w:sz w:val="30"/>
          <w:szCs w:val="30"/>
        </w:rPr>
        <w:t>，未</w:t>
      </w:r>
      <w:r>
        <w:rPr>
          <w:rFonts w:ascii="仿宋_GB2312" w:eastAsia="仿宋_GB2312"/>
          <w:color w:val="000000"/>
          <w:sz w:val="30"/>
          <w:szCs w:val="30"/>
        </w:rPr>
        <w:t>忽略任何</w:t>
      </w:r>
      <w:r>
        <w:rPr>
          <w:rFonts w:ascii="仿宋_GB2312" w:eastAsia="仿宋_GB2312" w:hint="eastAsia"/>
          <w:color w:val="000000"/>
          <w:sz w:val="30"/>
          <w:szCs w:val="30"/>
        </w:rPr>
        <w:t>风险因子</w:t>
      </w:r>
      <w:r>
        <w:rPr>
          <w:rFonts w:ascii="仿宋_GB2312" w:eastAsia="仿宋_GB2312"/>
          <w:color w:val="000000"/>
          <w:sz w:val="30"/>
          <w:szCs w:val="30"/>
        </w:rPr>
        <w:t>或估值模型的差异。</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Pr>
          <w:rFonts w:ascii="仿宋_GB2312" w:eastAsia="仿宋_GB2312"/>
          <w:color w:val="000000"/>
          <w:sz w:val="30"/>
          <w:szCs w:val="30"/>
        </w:rPr>
        <w:t>对风险理论损益输入数据的任何调整</w:t>
      </w:r>
      <w:r>
        <w:rPr>
          <w:rFonts w:ascii="仿宋_GB2312" w:eastAsia="仿宋_GB2312" w:hint="eastAsia"/>
          <w:color w:val="000000"/>
          <w:sz w:val="30"/>
          <w:szCs w:val="30"/>
        </w:rPr>
        <w:t>，商业银行应</w:t>
      </w:r>
      <w:r>
        <w:rPr>
          <w:rFonts w:ascii="仿宋_GB2312" w:eastAsia="仿宋_GB2312"/>
          <w:color w:val="000000"/>
          <w:sz w:val="30"/>
          <w:szCs w:val="30"/>
        </w:rPr>
        <w:t>记录存档</w:t>
      </w:r>
      <w:r>
        <w:rPr>
          <w:rFonts w:ascii="仿宋_GB2312" w:eastAsia="仿宋_GB2312" w:hint="eastAsia"/>
          <w:color w:val="000000"/>
          <w:sz w:val="30"/>
          <w:szCs w:val="30"/>
        </w:rPr>
        <w:t>并</w:t>
      </w:r>
      <w:r>
        <w:rPr>
          <w:rFonts w:ascii="仿宋_GB2312" w:eastAsia="仿宋_GB2312"/>
          <w:color w:val="000000"/>
          <w:sz w:val="30"/>
          <w:szCs w:val="30"/>
        </w:rPr>
        <w:t>验证</w:t>
      </w:r>
      <w:r>
        <w:rPr>
          <w:rFonts w:ascii="仿宋_GB2312" w:eastAsia="仿宋_GB2312" w:hint="eastAsia"/>
          <w:color w:val="000000"/>
          <w:sz w:val="30"/>
          <w:szCs w:val="30"/>
        </w:rPr>
        <w:t>，</w:t>
      </w:r>
      <w:r>
        <w:rPr>
          <w:rFonts w:ascii="仿宋_GB2312" w:eastAsia="仿宋_GB2312"/>
          <w:color w:val="000000"/>
          <w:sz w:val="30"/>
          <w:szCs w:val="30"/>
        </w:rPr>
        <w:t>并向</w:t>
      </w:r>
      <w:r>
        <w:rPr>
          <w:rFonts w:ascii="仿宋_GB2312" w:eastAsia="仿宋_GB2312" w:hint="eastAsia"/>
          <w:color w:val="000000"/>
          <w:sz w:val="30"/>
          <w:szCs w:val="30"/>
        </w:rPr>
        <w:t>银保监会</w:t>
      </w:r>
      <w:r>
        <w:rPr>
          <w:rFonts w:ascii="仿宋_GB2312" w:eastAsia="仿宋_GB2312"/>
          <w:color w:val="000000"/>
          <w:sz w:val="30"/>
          <w:szCs w:val="30"/>
        </w:rPr>
        <w:t>证明其合理性。</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3．商业</w:t>
      </w:r>
      <w:r>
        <w:rPr>
          <w:rFonts w:ascii="仿宋_GB2312" w:eastAsia="仿宋_GB2312"/>
          <w:color w:val="000000"/>
          <w:sz w:val="30"/>
          <w:szCs w:val="30"/>
        </w:rPr>
        <w:t>银行</w:t>
      </w:r>
      <w:r>
        <w:rPr>
          <w:rFonts w:ascii="仿宋_GB2312" w:eastAsia="仿宋_GB2312" w:hint="eastAsia"/>
          <w:color w:val="000000"/>
          <w:sz w:val="30"/>
          <w:szCs w:val="30"/>
        </w:rPr>
        <w:t>应</w:t>
      </w:r>
      <w:r>
        <w:rPr>
          <w:rFonts w:ascii="仿宋_GB2312" w:eastAsia="仿宋_GB2312"/>
          <w:color w:val="000000"/>
          <w:sz w:val="30"/>
          <w:szCs w:val="30"/>
        </w:rPr>
        <w:t>有</w:t>
      </w:r>
      <w:r>
        <w:rPr>
          <w:rFonts w:ascii="仿宋_GB2312" w:eastAsia="仿宋_GB2312" w:hint="eastAsia"/>
          <w:color w:val="000000"/>
          <w:sz w:val="30"/>
          <w:szCs w:val="30"/>
        </w:rPr>
        <w:t>制度流程</w:t>
      </w:r>
      <w:r>
        <w:rPr>
          <w:rFonts w:ascii="仿宋_GB2312" w:eastAsia="仿宋_GB2312"/>
          <w:color w:val="000000"/>
          <w:sz w:val="30"/>
          <w:szCs w:val="30"/>
        </w:rPr>
        <w:t>识别与风险理论损益输入数据调整相关变动</w:t>
      </w:r>
      <w:r>
        <w:rPr>
          <w:rFonts w:ascii="仿宋_GB2312" w:eastAsia="仿宋_GB2312" w:hint="eastAsia"/>
          <w:color w:val="000000"/>
          <w:sz w:val="30"/>
          <w:szCs w:val="30"/>
        </w:rPr>
        <w:t>，并将</w:t>
      </w:r>
      <w:r>
        <w:rPr>
          <w:rFonts w:ascii="仿宋_GB2312" w:eastAsia="仿宋_GB2312"/>
          <w:color w:val="000000"/>
          <w:sz w:val="30"/>
          <w:szCs w:val="30"/>
        </w:rPr>
        <w:t>此类</w:t>
      </w:r>
      <w:r>
        <w:rPr>
          <w:rFonts w:ascii="仿宋_GB2312" w:eastAsia="仿宋_GB2312" w:hint="eastAsia"/>
          <w:color w:val="000000"/>
          <w:sz w:val="30"/>
          <w:szCs w:val="30"/>
        </w:rPr>
        <w:t>变动报告银保监会</w:t>
      </w:r>
      <w:r>
        <w:rPr>
          <w:rFonts w:ascii="仿宋_GB2312" w:eastAsia="仿宋_GB2312"/>
          <w:color w:val="000000"/>
          <w:sz w:val="30"/>
          <w:szCs w:val="30"/>
        </w:rPr>
        <w:t>。</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4．商业</w:t>
      </w:r>
      <w:r>
        <w:rPr>
          <w:rFonts w:ascii="仿宋_GB2312" w:eastAsia="仿宋_GB2312"/>
          <w:color w:val="000000"/>
          <w:sz w:val="30"/>
          <w:szCs w:val="30"/>
        </w:rPr>
        <w:t>银行</w:t>
      </w:r>
      <w:r>
        <w:rPr>
          <w:rFonts w:ascii="仿宋_GB2312" w:eastAsia="仿宋_GB2312" w:hint="eastAsia"/>
          <w:color w:val="000000"/>
          <w:sz w:val="30"/>
          <w:szCs w:val="30"/>
        </w:rPr>
        <w:t>应</w:t>
      </w:r>
      <w:r>
        <w:rPr>
          <w:rFonts w:ascii="仿宋_GB2312" w:eastAsia="仿宋_GB2312"/>
          <w:color w:val="000000"/>
          <w:sz w:val="30"/>
          <w:szCs w:val="30"/>
        </w:rPr>
        <w:t>评估输入数据一致性校准对风险理论损益和损益归因测试产生的影响。该工作</w:t>
      </w:r>
      <w:r>
        <w:rPr>
          <w:rFonts w:ascii="仿宋_GB2312" w:eastAsia="仿宋_GB2312" w:hint="eastAsia"/>
          <w:color w:val="000000"/>
          <w:sz w:val="30"/>
          <w:szCs w:val="30"/>
        </w:rPr>
        <w:t>应</w:t>
      </w:r>
      <w:r>
        <w:rPr>
          <w:rFonts w:ascii="仿宋_GB2312" w:eastAsia="仿宋_GB2312"/>
          <w:color w:val="000000"/>
          <w:sz w:val="30"/>
          <w:szCs w:val="30"/>
        </w:rPr>
        <w:t>在设计或更改输入数据校准流程以及</w:t>
      </w:r>
      <w:r>
        <w:rPr>
          <w:rFonts w:ascii="仿宋_GB2312" w:eastAsia="仿宋_GB2312" w:hint="eastAsia"/>
          <w:color w:val="000000"/>
          <w:sz w:val="30"/>
          <w:szCs w:val="30"/>
        </w:rPr>
        <w:t>银保监会</w:t>
      </w:r>
      <w:r>
        <w:rPr>
          <w:rFonts w:ascii="仿宋_GB2312" w:eastAsia="仿宋_GB2312"/>
          <w:color w:val="000000"/>
          <w:sz w:val="30"/>
          <w:szCs w:val="30"/>
        </w:rPr>
        <w:t>提出要求时开展。</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七）当第三方供应商、取数时间，或数据转换方式不同造成风险理论损益和假设损益中共同风险因子的输入数据出现差异，商业银行可对风险理论损益输入数据进行调整。调整方式包括直接用假设损益输入数据替换风险理论损益输入数据，或者以假设损益输入数据为基础计算风险理论损益/预期尾部损失模型中所需的风险因子数据。</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商业银行不得将假设损益的风险因子输入数据调整至与风险理论损益一致。不允许通过调整风险理论损益或假设损益来处理剩余的运行噪声。</w:t>
      </w:r>
    </w:p>
    <w:p w:rsidR="000F35CE" w:rsidRDefault="00294C0B">
      <w:pPr>
        <w:pStyle w:val="20"/>
      </w:pPr>
      <w:bookmarkStart w:id="29" w:name="_Hlk48836054"/>
      <w:r>
        <w:rPr>
          <w:rFonts w:hint="eastAsia"/>
        </w:rPr>
        <w:t>十一、模型验证要求</w:t>
      </w:r>
    </w:p>
    <w:bookmarkEnd w:id="29"/>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采用内部模型法计算市场风险监管资本要求，应按本办法的规定对市场风险内部模型及支持体系进行验证，确保模型理论正确、假设合理、数据完整、模型运行情况良好、计算准确、使用分析恰当。市场风险内部模型验证的详细要求见本办法附件2</w:t>
      </w:r>
      <w:r>
        <w:rPr>
          <w:rFonts w:ascii="仿宋_GB2312" w:eastAsia="仿宋_GB2312"/>
          <w:color w:val="000000"/>
          <w:sz w:val="30"/>
          <w:szCs w:val="30"/>
        </w:rPr>
        <w:t>4</w:t>
      </w:r>
      <w:r>
        <w:rPr>
          <w:rFonts w:ascii="仿宋_GB2312" w:eastAsia="仿宋_GB2312" w:hint="eastAsia"/>
          <w:color w:val="000000"/>
          <w:sz w:val="30"/>
          <w:szCs w:val="30"/>
        </w:rPr>
        <w:t>。</w:t>
      </w:r>
    </w:p>
    <w:p w:rsidR="000F35CE" w:rsidRDefault="00294C0B">
      <w:pPr>
        <w:pStyle w:val="20"/>
      </w:pPr>
      <w:bookmarkStart w:id="30" w:name="_Hlk48836060"/>
      <w:r>
        <w:rPr>
          <w:rFonts w:hint="eastAsia"/>
        </w:rPr>
        <w:t>十二、压力测试要求</w:t>
      </w:r>
    </w:p>
    <w:bookmarkEnd w:id="30"/>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（一）商业银行使用内部模型法计量市场风险资本要求，应按本办法要求在交易台和银行层面进行相应的压力测试。</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压力测试所用的压力情景应涵盖可能使其交易组合产生重大损失、对其交易组合造成重大不利影响，或会引致风险事前或事后管理困难的各种潜在风险因子。这些风险因子应包括各种主要风险类别中的低概率事件，并反映事件对具有线性和非线性价格特征的头寸的影响。</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二）商业银行应具备按日进行压力测试的能力。同时，应定期评估压力情景下的风险状况，尤其应对压力测试所揭示的主要风险点和脆弱环节予以特别关注，若压力测试显示商业银行受某种特定情景的负面影响显著，应通过降低风险暴露或分配更多资本等方式进行管理。</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（三）商业银行应制定市场风险压力测试方案。</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压力测试方案应重点关注如下方面：集中度风险、压力市场条件下的市场流动性不足、单一走势市场、事件风险、非线性产品及内部模型可能无法适当反映的其他风险。</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压力测试方案应定期评估和修订。商业银行应至少每月向高管层汇报压力测试结果，至少每年向董事会汇报压力测试结果。压力测试结果应应用于商业银行的内部资本充足评估，并在管理层和董事会制定的政策和限额中予以体现。</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四）压力测试应同时具有定量和定性标准，同时考虑由市场波动引起的市场风险和流动性风险。定量标准应明确商业银行可能会面对的压力情况；定性标准应强调压力测试目标是评估商业银行资本吸纳潜在大额亏损的能力，及寻求可以采取的降低风险及节约资本的措施。</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（五）商业银行应选用最适合其业务规模及复杂程度的压力测试方法，包括敏感性测试和情景测试等。</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（六）商业银行可以根据其组合的持仓规模、结构特点和复杂程度，确定压力情景的具体内容，并涵盖不同的压力程度。压力情景依其性质可以分为：</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1．无需银行模拟的监管要求情景。商业银行应报告其每季度5个最大单日损失信息。损失信息应与其内部计量系统计算出的资本水平相对比。</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需银行模拟的历史情景。商业银行应分别测试其交易组合在两类历史情景下的表现：第一类是当市场价格发生剧烈波动或市场流动性急剧下降时的历史情景；第二类是当风险因子的相关性和波动率发生极端变化时的历史情景。</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3．商业银行自行设计的反映其交易组合特性的压力情景。商业银行应根据其自身资产组合特性，自行设计压力测试情景，识别最不利的市场情况。商业银行应向银保监会说明其识别和执行此类压力情景的方法，并说明此类情景引发的结果。</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七）商业银行应制订完备流程以确保进行全面的市场风险压力测试。相关流程应至少包括以下内容：分析交易组合特性及其业务所处的外部市场环境，以确定应在压力情况下进行测试的主要风险因子；设计适当的交易组合压力测试，包括可能的压力事件及情况的具体说明；以文件形式记录压力测试所用的假设及得出有关假设的方法；定期进行压力测试，分析压力测试结果以确定易受影响的环节及潜在风险；向商业银行高级管理层及有关管理人员报告压力测试结果；确定在压力情况下应采取的适当补救措施，以应对压力测试发现的潜在风险；向董事会报告有关压力测试结果及拟采取的补救措施。</w:t>
      </w:r>
    </w:p>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八）商业银行应根据交易组合特性及外部市场环境的变化，定期审核压力测试方案，评估压力测试所使用的基本假设是否仍然有效。审核应至少包括以下内容：压力测试方案涵盖的风险因子；压力测试是否融入日常风险管理；压力测试程序的核准过程，包括其后作出重大修改的授权；进行压力测试所用持仓数据的准确性及完整性；进行压力测试所用数据来源的一致性、及时性和可靠性；压力测试程序的文档记录的充分性。</w:t>
      </w:r>
    </w:p>
    <w:p w:rsidR="000F35CE" w:rsidRDefault="00294C0B">
      <w:pPr>
        <w:pStyle w:val="20"/>
      </w:pPr>
      <w:bookmarkStart w:id="31" w:name="_Hlk48836066"/>
      <w:r>
        <w:rPr>
          <w:rFonts w:hint="eastAsia"/>
        </w:rPr>
        <w:t>十三、报告要求</w:t>
      </w:r>
    </w:p>
    <w:bookmarkEnd w:id="31"/>
    <w:p w:rsidR="000F35CE" w:rsidRDefault="00294C0B">
      <w:pPr>
        <w:spacing w:line="48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商业银行经认可使用内部模型法计算市场风险资本要求后，应每季度向银保监会报告内部模型的运行情况。报告内容至少应包括：模型方法、内容及覆盖面的重大变化，本期返回检验和损益归因测试结果，信息系统及管理层的重大变化，与市场风险有关的新业务开展情况等。</w:t>
      </w:r>
    </w:p>
    <w:sectPr w:rsidR="000F35CE">
      <w:footerReference w:type="even" r:id="rId98"/>
      <w:footerReference w:type="default" r:id="rId99"/>
      <w:pgSz w:w="11906" w:h="16838"/>
      <w:pgMar w:top="2268" w:right="1701" w:bottom="1701" w:left="1701" w:header="851" w:footer="51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5CE" w:rsidRDefault="000F35CE">
      <w:pPr>
        <w:rPr>
          <w:sz w:val="18"/>
        </w:rPr>
      </w:pPr>
    </w:p>
  </w:endnote>
  <w:endnote w:type="continuationSeparator" w:id="0">
    <w:p w:rsidR="000F35CE" w:rsidRDefault="000F35CE">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5CE" w:rsidRDefault="000F35CE"/>
  <w:p w:rsidR="000F35CE" w:rsidRDefault="000F35CE"/>
  <w:p w:rsidR="000F35CE" w:rsidRDefault="00294C0B">
    <w:r>
      <w:fldChar w:fldCharType="begin"/>
    </w:r>
    <w:r>
      <w:fldChar w:fldCharType="end"/>
    </w:r>
    <w:r>
      <w:rPr>
        <w:rStyle w:val="af4"/>
      </w:rPr>
      <w:t xml:space="preserve">PAGE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503" w:rsidRPr="0083785F" w:rsidRDefault="008D5503">
    <w:pPr>
      <w:pStyle w:val="ac"/>
      <w:jc w:val="center"/>
      <w:rPr>
        <w:rFonts w:ascii="Calibri" w:hAnsi="Calibri"/>
      </w:rPr>
    </w:pPr>
    <w:r w:rsidRPr="0083785F">
      <w:rPr>
        <w:rFonts w:ascii="Calibri" w:hAnsi="Calibri"/>
      </w:rPr>
      <w:fldChar w:fldCharType="begin"/>
    </w:r>
    <w:r w:rsidRPr="0083785F">
      <w:rPr>
        <w:rFonts w:ascii="Calibri" w:hAnsi="Calibri"/>
      </w:rPr>
      <w:instrText>PAGE   \* MERGEFORMAT</w:instrText>
    </w:r>
    <w:r w:rsidRPr="0083785F">
      <w:rPr>
        <w:rFonts w:ascii="Calibri" w:hAnsi="Calibri"/>
      </w:rPr>
      <w:fldChar w:fldCharType="separate"/>
    </w:r>
    <w:r w:rsidR="0083785F" w:rsidRPr="0083785F">
      <w:rPr>
        <w:rFonts w:ascii="Calibri" w:hAnsi="Calibri"/>
        <w:noProof/>
        <w:lang w:val="zh-CN"/>
      </w:rPr>
      <w:t>1</w:t>
    </w:r>
    <w:r w:rsidRPr="0083785F">
      <w:rPr>
        <w:rFonts w:ascii="Calibri" w:hAnsi="Calibri"/>
      </w:rPr>
      <w:fldChar w:fldCharType="end"/>
    </w:r>
  </w:p>
  <w:p w:rsidR="000F35CE" w:rsidRDefault="000F35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5CE" w:rsidRDefault="000F35CE">
      <w:pPr>
        <w:rPr>
          <w:sz w:val="18"/>
        </w:rPr>
      </w:pPr>
    </w:p>
  </w:footnote>
  <w:footnote w:type="continuationSeparator" w:id="0">
    <w:p w:rsidR="000F35CE" w:rsidRDefault="000F35CE">
      <w:pPr>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num" w:pos="780"/>
        </w:tabs>
        <w:ind w:left="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172A27"/>
    <w:rsid w:val="C3FFB79D"/>
    <w:rsid w:val="FFD7B7C4"/>
    <w:rsid w:val="000007F4"/>
    <w:rsid w:val="0000188F"/>
    <w:rsid w:val="000040E4"/>
    <w:rsid w:val="000101C5"/>
    <w:rsid w:val="0001428B"/>
    <w:rsid w:val="000149D6"/>
    <w:rsid w:val="00014A8D"/>
    <w:rsid w:val="0001559B"/>
    <w:rsid w:val="00015C99"/>
    <w:rsid w:val="000163C2"/>
    <w:rsid w:val="00016755"/>
    <w:rsid w:val="00017520"/>
    <w:rsid w:val="000208AB"/>
    <w:rsid w:val="0002097E"/>
    <w:rsid w:val="00021035"/>
    <w:rsid w:val="0002411C"/>
    <w:rsid w:val="00026046"/>
    <w:rsid w:val="000265F9"/>
    <w:rsid w:val="0002671E"/>
    <w:rsid w:val="000343A4"/>
    <w:rsid w:val="000351DA"/>
    <w:rsid w:val="000368B5"/>
    <w:rsid w:val="00036AF1"/>
    <w:rsid w:val="00036D53"/>
    <w:rsid w:val="00036DEC"/>
    <w:rsid w:val="00037782"/>
    <w:rsid w:val="00045C4B"/>
    <w:rsid w:val="00047D0E"/>
    <w:rsid w:val="000543C4"/>
    <w:rsid w:val="00054C99"/>
    <w:rsid w:val="00060B35"/>
    <w:rsid w:val="00062226"/>
    <w:rsid w:val="00062B76"/>
    <w:rsid w:val="00062D67"/>
    <w:rsid w:val="000630B6"/>
    <w:rsid w:val="00064401"/>
    <w:rsid w:val="0006726F"/>
    <w:rsid w:val="00071E7C"/>
    <w:rsid w:val="0007353A"/>
    <w:rsid w:val="00073BF3"/>
    <w:rsid w:val="00073E9F"/>
    <w:rsid w:val="00074126"/>
    <w:rsid w:val="00076094"/>
    <w:rsid w:val="000767AC"/>
    <w:rsid w:val="0008189B"/>
    <w:rsid w:val="0008660E"/>
    <w:rsid w:val="00086927"/>
    <w:rsid w:val="0008715E"/>
    <w:rsid w:val="00090D70"/>
    <w:rsid w:val="00091C4C"/>
    <w:rsid w:val="0009265A"/>
    <w:rsid w:val="000927BE"/>
    <w:rsid w:val="000927D2"/>
    <w:rsid w:val="00094DF9"/>
    <w:rsid w:val="00095E37"/>
    <w:rsid w:val="000A280F"/>
    <w:rsid w:val="000A475B"/>
    <w:rsid w:val="000A5EFE"/>
    <w:rsid w:val="000A5F3C"/>
    <w:rsid w:val="000A7FC1"/>
    <w:rsid w:val="000B0563"/>
    <w:rsid w:val="000B09EC"/>
    <w:rsid w:val="000B0BAE"/>
    <w:rsid w:val="000B12B3"/>
    <w:rsid w:val="000B1FA8"/>
    <w:rsid w:val="000B24A8"/>
    <w:rsid w:val="000B336E"/>
    <w:rsid w:val="000B4C3C"/>
    <w:rsid w:val="000B4E61"/>
    <w:rsid w:val="000B4FE4"/>
    <w:rsid w:val="000B6E5B"/>
    <w:rsid w:val="000B72BD"/>
    <w:rsid w:val="000C17AA"/>
    <w:rsid w:val="000C22BF"/>
    <w:rsid w:val="000C2DB5"/>
    <w:rsid w:val="000C444A"/>
    <w:rsid w:val="000C44E5"/>
    <w:rsid w:val="000C6DDE"/>
    <w:rsid w:val="000D0106"/>
    <w:rsid w:val="000D692E"/>
    <w:rsid w:val="000D7240"/>
    <w:rsid w:val="000E29D7"/>
    <w:rsid w:val="000E2B3E"/>
    <w:rsid w:val="000E5582"/>
    <w:rsid w:val="000E6182"/>
    <w:rsid w:val="000E661E"/>
    <w:rsid w:val="000F2038"/>
    <w:rsid w:val="000F23E3"/>
    <w:rsid w:val="000F2DF9"/>
    <w:rsid w:val="000F3581"/>
    <w:rsid w:val="000F35CE"/>
    <w:rsid w:val="000F6993"/>
    <w:rsid w:val="000F75B3"/>
    <w:rsid w:val="000F796A"/>
    <w:rsid w:val="00102A2B"/>
    <w:rsid w:val="0010560C"/>
    <w:rsid w:val="00105B31"/>
    <w:rsid w:val="00110A14"/>
    <w:rsid w:val="00110FC5"/>
    <w:rsid w:val="001110EA"/>
    <w:rsid w:val="001136D4"/>
    <w:rsid w:val="00117910"/>
    <w:rsid w:val="00121233"/>
    <w:rsid w:val="0012156D"/>
    <w:rsid w:val="00125B89"/>
    <w:rsid w:val="001260C4"/>
    <w:rsid w:val="001302FA"/>
    <w:rsid w:val="00130E91"/>
    <w:rsid w:val="00131D4C"/>
    <w:rsid w:val="00133276"/>
    <w:rsid w:val="00134DBC"/>
    <w:rsid w:val="00135972"/>
    <w:rsid w:val="001375C7"/>
    <w:rsid w:val="001403E6"/>
    <w:rsid w:val="00142468"/>
    <w:rsid w:val="001437F3"/>
    <w:rsid w:val="00144BAC"/>
    <w:rsid w:val="001451EC"/>
    <w:rsid w:val="00146D18"/>
    <w:rsid w:val="0014733E"/>
    <w:rsid w:val="001475C8"/>
    <w:rsid w:val="00147956"/>
    <w:rsid w:val="00151765"/>
    <w:rsid w:val="00152CD8"/>
    <w:rsid w:val="00154C7A"/>
    <w:rsid w:val="00166822"/>
    <w:rsid w:val="00170235"/>
    <w:rsid w:val="001703C0"/>
    <w:rsid w:val="00170454"/>
    <w:rsid w:val="00172A27"/>
    <w:rsid w:val="00174941"/>
    <w:rsid w:val="00175EDB"/>
    <w:rsid w:val="001768F8"/>
    <w:rsid w:val="0017705B"/>
    <w:rsid w:val="00177569"/>
    <w:rsid w:val="00177B1A"/>
    <w:rsid w:val="001802DD"/>
    <w:rsid w:val="001808FC"/>
    <w:rsid w:val="0018147B"/>
    <w:rsid w:val="00182915"/>
    <w:rsid w:val="00183D49"/>
    <w:rsid w:val="00186A4C"/>
    <w:rsid w:val="00186BAA"/>
    <w:rsid w:val="001879B9"/>
    <w:rsid w:val="00190CF8"/>
    <w:rsid w:val="001912C6"/>
    <w:rsid w:val="00192A3C"/>
    <w:rsid w:val="0019359F"/>
    <w:rsid w:val="001949CB"/>
    <w:rsid w:val="001A0D57"/>
    <w:rsid w:val="001A148D"/>
    <w:rsid w:val="001A29BC"/>
    <w:rsid w:val="001A577F"/>
    <w:rsid w:val="001A5A8D"/>
    <w:rsid w:val="001A5DC4"/>
    <w:rsid w:val="001B0EF0"/>
    <w:rsid w:val="001B192D"/>
    <w:rsid w:val="001B1FC4"/>
    <w:rsid w:val="001B23D0"/>
    <w:rsid w:val="001B37BC"/>
    <w:rsid w:val="001B38AD"/>
    <w:rsid w:val="001B5DBF"/>
    <w:rsid w:val="001B6181"/>
    <w:rsid w:val="001B627A"/>
    <w:rsid w:val="001B655F"/>
    <w:rsid w:val="001C0A8A"/>
    <w:rsid w:val="001C1658"/>
    <w:rsid w:val="001C1CEE"/>
    <w:rsid w:val="001C25B7"/>
    <w:rsid w:val="001C337B"/>
    <w:rsid w:val="001C4162"/>
    <w:rsid w:val="001C4F59"/>
    <w:rsid w:val="001C61B4"/>
    <w:rsid w:val="001C72A4"/>
    <w:rsid w:val="001C736B"/>
    <w:rsid w:val="001D2A44"/>
    <w:rsid w:val="001D3AD8"/>
    <w:rsid w:val="001D5821"/>
    <w:rsid w:val="001E0104"/>
    <w:rsid w:val="001E07A6"/>
    <w:rsid w:val="001E1B7C"/>
    <w:rsid w:val="001E1BFF"/>
    <w:rsid w:val="001E2CD1"/>
    <w:rsid w:val="001E3735"/>
    <w:rsid w:val="001E67FF"/>
    <w:rsid w:val="001F0D9D"/>
    <w:rsid w:val="001F0E94"/>
    <w:rsid w:val="001F1094"/>
    <w:rsid w:val="001F3177"/>
    <w:rsid w:val="001F32EB"/>
    <w:rsid w:val="001F3C35"/>
    <w:rsid w:val="001F6FC6"/>
    <w:rsid w:val="001F7154"/>
    <w:rsid w:val="001F7A68"/>
    <w:rsid w:val="00200D94"/>
    <w:rsid w:val="00203BB5"/>
    <w:rsid w:val="0020483F"/>
    <w:rsid w:val="0020509A"/>
    <w:rsid w:val="00206A9D"/>
    <w:rsid w:val="00210AFE"/>
    <w:rsid w:val="00214028"/>
    <w:rsid w:val="0021408F"/>
    <w:rsid w:val="00214895"/>
    <w:rsid w:val="002200EA"/>
    <w:rsid w:val="002201CB"/>
    <w:rsid w:val="002206FC"/>
    <w:rsid w:val="00220DF6"/>
    <w:rsid w:val="00220F9F"/>
    <w:rsid w:val="00221E0D"/>
    <w:rsid w:val="00222211"/>
    <w:rsid w:val="0022711F"/>
    <w:rsid w:val="00233035"/>
    <w:rsid w:val="002369A8"/>
    <w:rsid w:val="002401D9"/>
    <w:rsid w:val="00242B03"/>
    <w:rsid w:val="002505F8"/>
    <w:rsid w:val="00251C5E"/>
    <w:rsid w:val="00257054"/>
    <w:rsid w:val="00265530"/>
    <w:rsid w:val="00265C1C"/>
    <w:rsid w:val="00266BF5"/>
    <w:rsid w:val="002728E6"/>
    <w:rsid w:val="00273F14"/>
    <w:rsid w:val="002766DA"/>
    <w:rsid w:val="00281601"/>
    <w:rsid w:val="00281799"/>
    <w:rsid w:val="0028220A"/>
    <w:rsid w:val="00282AC5"/>
    <w:rsid w:val="0028442F"/>
    <w:rsid w:val="00285D50"/>
    <w:rsid w:val="00285EA8"/>
    <w:rsid w:val="0029281E"/>
    <w:rsid w:val="00292984"/>
    <w:rsid w:val="00293442"/>
    <w:rsid w:val="0029432B"/>
    <w:rsid w:val="00294BAC"/>
    <w:rsid w:val="00294C0B"/>
    <w:rsid w:val="0029709E"/>
    <w:rsid w:val="002B1D21"/>
    <w:rsid w:val="002B1FB2"/>
    <w:rsid w:val="002B472A"/>
    <w:rsid w:val="002B4B30"/>
    <w:rsid w:val="002B4CF3"/>
    <w:rsid w:val="002B53F4"/>
    <w:rsid w:val="002B54D6"/>
    <w:rsid w:val="002B6B54"/>
    <w:rsid w:val="002C3A9D"/>
    <w:rsid w:val="002C6505"/>
    <w:rsid w:val="002D1260"/>
    <w:rsid w:val="002D4CCE"/>
    <w:rsid w:val="002D6D22"/>
    <w:rsid w:val="002D73BE"/>
    <w:rsid w:val="002D7E56"/>
    <w:rsid w:val="002E008C"/>
    <w:rsid w:val="002E093C"/>
    <w:rsid w:val="002E18B8"/>
    <w:rsid w:val="002E31B1"/>
    <w:rsid w:val="002E3CA8"/>
    <w:rsid w:val="002E3FE2"/>
    <w:rsid w:val="002E4BB8"/>
    <w:rsid w:val="002E7C8E"/>
    <w:rsid w:val="002F02E1"/>
    <w:rsid w:val="002F0363"/>
    <w:rsid w:val="002F0942"/>
    <w:rsid w:val="002F5D6F"/>
    <w:rsid w:val="002F5E98"/>
    <w:rsid w:val="00301971"/>
    <w:rsid w:val="00302F0A"/>
    <w:rsid w:val="0030699D"/>
    <w:rsid w:val="00310158"/>
    <w:rsid w:val="003127CF"/>
    <w:rsid w:val="0031340D"/>
    <w:rsid w:val="00315AB8"/>
    <w:rsid w:val="003175F0"/>
    <w:rsid w:val="00320A79"/>
    <w:rsid w:val="00323430"/>
    <w:rsid w:val="00326357"/>
    <w:rsid w:val="003270C0"/>
    <w:rsid w:val="00330499"/>
    <w:rsid w:val="0033460D"/>
    <w:rsid w:val="00335F29"/>
    <w:rsid w:val="0033635C"/>
    <w:rsid w:val="0034052E"/>
    <w:rsid w:val="00343CA0"/>
    <w:rsid w:val="00345742"/>
    <w:rsid w:val="003458FF"/>
    <w:rsid w:val="00345D37"/>
    <w:rsid w:val="00353503"/>
    <w:rsid w:val="00353567"/>
    <w:rsid w:val="00353655"/>
    <w:rsid w:val="003554BD"/>
    <w:rsid w:val="0036061C"/>
    <w:rsid w:val="003616AA"/>
    <w:rsid w:val="0036191F"/>
    <w:rsid w:val="0036312F"/>
    <w:rsid w:val="0036481D"/>
    <w:rsid w:val="003649A8"/>
    <w:rsid w:val="00366717"/>
    <w:rsid w:val="00370D93"/>
    <w:rsid w:val="0037302B"/>
    <w:rsid w:val="00373793"/>
    <w:rsid w:val="00373EF3"/>
    <w:rsid w:val="00376C02"/>
    <w:rsid w:val="00376D04"/>
    <w:rsid w:val="00382D4C"/>
    <w:rsid w:val="00390423"/>
    <w:rsid w:val="003937A1"/>
    <w:rsid w:val="00395FFC"/>
    <w:rsid w:val="0039645A"/>
    <w:rsid w:val="00396966"/>
    <w:rsid w:val="00396DCA"/>
    <w:rsid w:val="003A1A54"/>
    <w:rsid w:val="003A5EFF"/>
    <w:rsid w:val="003A6D49"/>
    <w:rsid w:val="003A7C40"/>
    <w:rsid w:val="003B19EC"/>
    <w:rsid w:val="003B361F"/>
    <w:rsid w:val="003B4336"/>
    <w:rsid w:val="003B486A"/>
    <w:rsid w:val="003C02C8"/>
    <w:rsid w:val="003C1209"/>
    <w:rsid w:val="003C311F"/>
    <w:rsid w:val="003C5CD4"/>
    <w:rsid w:val="003C740D"/>
    <w:rsid w:val="003D4DA0"/>
    <w:rsid w:val="003E1168"/>
    <w:rsid w:val="003E1F32"/>
    <w:rsid w:val="003E20D4"/>
    <w:rsid w:val="003E36D2"/>
    <w:rsid w:val="003E4828"/>
    <w:rsid w:val="003F0455"/>
    <w:rsid w:val="003F0A41"/>
    <w:rsid w:val="003F1056"/>
    <w:rsid w:val="003F17A4"/>
    <w:rsid w:val="003F1D73"/>
    <w:rsid w:val="003F335E"/>
    <w:rsid w:val="003F4903"/>
    <w:rsid w:val="003F69AC"/>
    <w:rsid w:val="003F7C7C"/>
    <w:rsid w:val="00400370"/>
    <w:rsid w:val="004015E6"/>
    <w:rsid w:val="00402BB7"/>
    <w:rsid w:val="004049FE"/>
    <w:rsid w:val="00405C97"/>
    <w:rsid w:val="004073C7"/>
    <w:rsid w:val="004101B0"/>
    <w:rsid w:val="00414A22"/>
    <w:rsid w:val="004209AE"/>
    <w:rsid w:val="00421F89"/>
    <w:rsid w:val="00424C6F"/>
    <w:rsid w:val="00425FEC"/>
    <w:rsid w:val="00426E6E"/>
    <w:rsid w:val="004310A6"/>
    <w:rsid w:val="00431752"/>
    <w:rsid w:val="00432049"/>
    <w:rsid w:val="0043212A"/>
    <w:rsid w:val="004327D9"/>
    <w:rsid w:val="00434682"/>
    <w:rsid w:val="0043552F"/>
    <w:rsid w:val="00435A8C"/>
    <w:rsid w:val="00436A13"/>
    <w:rsid w:val="004417AB"/>
    <w:rsid w:val="004429D1"/>
    <w:rsid w:val="00443DFB"/>
    <w:rsid w:val="00444518"/>
    <w:rsid w:val="00445742"/>
    <w:rsid w:val="0044741B"/>
    <w:rsid w:val="00447946"/>
    <w:rsid w:val="00450B68"/>
    <w:rsid w:val="00451163"/>
    <w:rsid w:val="00452578"/>
    <w:rsid w:val="00452D64"/>
    <w:rsid w:val="0045622E"/>
    <w:rsid w:val="004608E2"/>
    <w:rsid w:val="00460969"/>
    <w:rsid w:val="004609AC"/>
    <w:rsid w:val="004616BD"/>
    <w:rsid w:val="0046278A"/>
    <w:rsid w:val="00462F10"/>
    <w:rsid w:val="00470A67"/>
    <w:rsid w:val="00471C25"/>
    <w:rsid w:val="00471E0D"/>
    <w:rsid w:val="00472DDD"/>
    <w:rsid w:val="00473119"/>
    <w:rsid w:val="004744E7"/>
    <w:rsid w:val="00475967"/>
    <w:rsid w:val="00476F5C"/>
    <w:rsid w:val="00484BB4"/>
    <w:rsid w:val="00486475"/>
    <w:rsid w:val="004876F9"/>
    <w:rsid w:val="004908AF"/>
    <w:rsid w:val="00492C56"/>
    <w:rsid w:val="00494D3F"/>
    <w:rsid w:val="00497B27"/>
    <w:rsid w:val="00497BE0"/>
    <w:rsid w:val="004A0ABE"/>
    <w:rsid w:val="004A2F5C"/>
    <w:rsid w:val="004A442B"/>
    <w:rsid w:val="004A493B"/>
    <w:rsid w:val="004A4A7C"/>
    <w:rsid w:val="004B03AA"/>
    <w:rsid w:val="004B0AB6"/>
    <w:rsid w:val="004B1D3A"/>
    <w:rsid w:val="004B4508"/>
    <w:rsid w:val="004B4B33"/>
    <w:rsid w:val="004B56DD"/>
    <w:rsid w:val="004B5FDD"/>
    <w:rsid w:val="004B6F07"/>
    <w:rsid w:val="004B74A5"/>
    <w:rsid w:val="004B790B"/>
    <w:rsid w:val="004C03F9"/>
    <w:rsid w:val="004C0B57"/>
    <w:rsid w:val="004D0CF6"/>
    <w:rsid w:val="004D43CC"/>
    <w:rsid w:val="004D7E6B"/>
    <w:rsid w:val="004E1072"/>
    <w:rsid w:val="004E27BD"/>
    <w:rsid w:val="004E2ABC"/>
    <w:rsid w:val="004E6489"/>
    <w:rsid w:val="004E697D"/>
    <w:rsid w:val="004E78BA"/>
    <w:rsid w:val="004E7996"/>
    <w:rsid w:val="004F4AAF"/>
    <w:rsid w:val="004F5C5D"/>
    <w:rsid w:val="004F63D3"/>
    <w:rsid w:val="004F75CC"/>
    <w:rsid w:val="005005AA"/>
    <w:rsid w:val="00501F92"/>
    <w:rsid w:val="00506737"/>
    <w:rsid w:val="00510D0E"/>
    <w:rsid w:val="00512BB2"/>
    <w:rsid w:val="005132D9"/>
    <w:rsid w:val="0051441A"/>
    <w:rsid w:val="00517690"/>
    <w:rsid w:val="00521FDF"/>
    <w:rsid w:val="00524BC8"/>
    <w:rsid w:val="00525164"/>
    <w:rsid w:val="00525EFE"/>
    <w:rsid w:val="0053075A"/>
    <w:rsid w:val="005308EB"/>
    <w:rsid w:val="0053218D"/>
    <w:rsid w:val="005331DC"/>
    <w:rsid w:val="005356D9"/>
    <w:rsid w:val="005361AD"/>
    <w:rsid w:val="00541062"/>
    <w:rsid w:val="00543EDA"/>
    <w:rsid w:val="0054483B"/>
    <w:rsid w:val="005469CF"/>
    <w:rsid w:val="00553A2D"/>
    <w:rsid w:val="00554C0D"/>
    <w:rsid w:val="00554E25"/>
    <w:rsid w:val="00556FFE"/>
    <w:rsid w:val="00560876"/>
    <w:rsid w:val="00563056"/>
    <w:rsid w:val="00563088"/>
    <w:rsid w:val="00563225"/>
    <w:rsid w:val="00566022"/>
    <w:rsid w:val="00566EC8"/>
    <w:rsid w:val="00570496"/>
    <w:rsid w:val="0057075C"/>
    <w:rsid w:val="00571829"/>
    <w:rsid w:val="00573258"/>
    <w:rsid w:val="00574793"/>
    <w:rsid w:val="0058000A"/>
    <w:rsid w:val="00580507"/>
    <w:rsid w:val="00583C87"/>
    <w:rsid w:val="00583D9C"/>
    <w:rsid w:val="00585671"/>
    <w:rsid w:val="00585C92"/>
    <w:rsid w:val="00591902"/>
    <w:rsid w:val="005A08E4"/>
    <w:rsid w:val="005A0DC9"/>
    <w:rsid w:val="005A2953"/>
    <w:rsid w:val="005A2ACC"/>
    <w:rsid w:val="005A5F31"/>
    <w:rsid w:val="005A75EF"/>
    <w:rsid w:val="005B0633"/>
    <w:rsid w:val="005B267A"/>
    <w:rsid w:val="005B50EC"/>
    <w:rsid w:val="005C14E1"/>
    <w:rsid w:val="005C383E"/>
    <w:rsid w:val="005C5F1A"/>
    <w:rsid w:val="005C71B8"/>
    <w:rsid w:val="005D4348"/>
    <w:rsid w:val="005D509F"/>
    <w:rsid w:val="005D5625"/>
    <w:rsid w:val="005D784C"/>
    <w:rsid w:val="005E0609"/>
    <w:rsid w:val="005E17D2"/>
    <w:rsid w:val="005E1E6D"/>
    <w:rsid w:val="005E2760"/>
    <w:rsid w:val="005E4967"/>
    <w:rsid w:val="005E7B23"/>
    <w:rsid w:val="005F05E8"/>
    <w:rsid w:val="005F0DF8"/>
    <w:rsid w:val="005F1CC6"/>
    <w:rsid w:val="005F220B"/>
    <w:rsid w:val="005F39B1"/>
    <w:rsid w:val="005F3C18"/>
    <w:rsid w:val="005F420A"/>
    <w:rsid w:val="005F4C45"/>
    <w:rsid w:val="00600030"/>
    <w:rsid w:val="00600991"/>
    <w:rsid w:val="006044D2"/>
    <w:rsid w:val="00607C0C"/>
    <w:rsid w:val="00607FAD"/>
    <w:rsid w:val="00610105"/>
    <w:rsid w:val="00610B9B"/>
    <w:rsid w:val="00611704"/>
    <w:rsid w:val="00613482"/>
    <w:rsid w:val="00613F68"/>
    <w:rsid w:val="00614258"/>
    <w:rsid w:val="0061448F"/>
    <w:rsid w:val="00614830"/>
    <w:rsid w:val="00616748"/>
    <w:rsid w:val="0062242B"/>
    <w:rsid w:val="0062720E"/>
    <w:rsid w:val="00634131"/>
    <w:rsid w:val="00634F15"/>
    <w:rsid w:val="006369DD"/>
    <w:rsid w:val="006436ED"/>
    <w:rsid w:val="00646C6B"/>
    <w:rsid w:val="00646C8A"/>
    <w:rsid w:val="00650CEE"/>
    <w:rsid w:val="00650F9C"/>
    <w:rsid w:val="00651EDC"/>
    <w:rsid w:val="006521B2"/>
    <w:rsid w:val="00660BA4"/>
    <w:rsid w:val="006642EB"/>
    <w:rsid w:val="00664802"/>
    <w:rsid w:val="00665F3E"/>
    <w:rsid w:val="00666F10"/>
    <w:rsid w:val="00674657"/>
    <w:rsid w:val="00675FCE"/>
    <w:rsid w:val="00680E57"/>
    <w:rsid w:val="00682C98"/>
    <w:rsid w:val="0068322F"/>
    <w:rsid w:val="006871F1"/>
    <w:rsid w:val="0069247E"/>
    <w:rsid w:val="00692508"/>
    <w:rsid w:val="00697259"/>
    <w:rsid w:val="006A36DB"/>
    <w:rsid w:val="006A432B"/>
    <w:rsid w:val="006A4ED3"/>
    <w:rsid w:val="006A537B"/>
    <w:rsid w:val="006A6818"/>
    <w:rsid w:val="006B1DDC"/>
    <w:rsid w:val="006C1D5C"/>
    <w:rsid w:val="006C467B"/>
    <w:rsid w:val="006C4B58"/>
    <w:rsid w:val="006C6C0F"/>
    <w:rsid w:val="006C6CCF"/>
    <w:rsid w:val="006D0547"/>
    <w:rsid w:val="006D106C"/>
    <w:rsid w:val="006D4D9A"/>
    <w:rsid w:val="006D5AB9"/>
    <w:rsid w:val="006D5E04"/>
    <w:rsid w:val="006D7081"/>
    <w:rsid w:val="006E0038"/>
    <w:rsid w:val="006E110A"/>
    <w:rsid w:val="006E54A6"/>
    <w:rsid w:val="006E6E3C"/>
    <w:rsid w:val="006E713D"/>
    <w:rsid w:val="006F0ECA"/>
    <w:rsid w:val="006F26D9"/>
    <w:rsid w:val="006F4C25"/>
    <w:rsid w:val="006F656F"/>
    <w:rsid w:val="006F7431"/>
    <w:rsid w:val="007062F1"/>
    <w:rsid w:val="0070741C"/>
    <w:rsid w:val="00707E8D"/>
    <w:rsid w:val="00710EFC"/>
    <w:rsid w:val="00712946"/>
    <w:rsid w:val="00722214"/>
    <w:rsid w:val="0072260A"/>
    <w:rsid w:val="00723A74"/>
    <w:rsid w:val="00723E9B"/>
    <w:rsid w:val="007242E7"/>
    <w:rsid w:val="00725462"/>
    <w:rsid w:val="00727572"/>
    <w:rsid w:val="00731537"/>
    <w:rsid w:val="00732567"/>
    <w:rsid w:val="007325F8"/>
    <w:rsid w:val="00732775"/>
    <w:rsid w:val="007328E4"/>
    <w:rsid w:val="007330AF"/>
    <w:rsid w:val="00733464"/>
    <w:rsid w:val="00733F00"/>
    <w:rsid w:val="00735D95"/>
    <w:rsid w:val="007406FB"/>
    <w:rsid w:val="00740774"/>
    <w:rsid w:val="0074454B"/>
    <w:rsid w:val="00744D02"/>
    <w:rsid w:val="007451F5"/>
    <w:rsid w:val="007456C2"/>
    <w:rsid w:val="00747179"/>
    <w:rsid w:val="00750A7C"/>
    <w:rsid w:val="00750E5F"/>
    <w:rsid w:val="00750E70"/>
    <w:rsid w:val="00750F7D"/>
    <w:rsid w:val="00753CB5"/>
    <w:rsid w:val="00754132"/>
    <w:rsid w:val="007544AC"/>
    <w:rsid w:val="00756B1B"/>
    <w:rsid w:val="00761CA4"/>
    <w:rsid w:val="0076632C"/>
    <w:rsid w:val="00771029"/>
    <w:rsid w:val="0077204B"/>
    <w:rsid w:val="00772EBC"/>
    <w:rsid w:val="007740D6"/>
    <w:rsid w:val="00775A0D"/>
    <w:rsid w:val="00777C74"/>
    <w:rsid w:val="007806DB"/>
    <w:rsid w:val="00780D73"/>
    <w:rsid w:val="00781299"/>
    <w:rsid w:val="00782CC0"/>
    <w:rsid w:val="00786100"/>
    <w:rsid w:val="007875A4"/>
    <w:rsid w:val="00792D3E"/>
    <w:rsid w:val="00794464"/>
    <w:rsid w:val="0079522E"/>
    <w:rsid w:val="00795D1F"/>
    <w:rsid w:val="00797158"/>
    <w:rsid w:val="007A0E48"/>
    <w:rsid w:val="007A1C74"/>
    <w:rsid w:val="007A61E1"/>
    <w:rsid w:val="007A71FE"/>
    <w:rsid w:val="007A742A"/>
    <w:rsid w:val="007B0363"/>
    <w:rsid w:val="007B0E32"/>
    <w:rsid w:val="007B1108"/>
    <w:rsid w:val="007B24E1"/>
    <w:rsid w:val="007B3198"/>
    <w:rsid w:val="007B647F"/>
    <w:rsid w:val="007B6DA9"/>
    <w:rsid w:val="007C0C4C"/>
    <w:rsid w:val="007C434E"/>
    <w:rsid w:val="007C7262"/>
    <w:rsid w:val="007D024A"/>
    <w:rsid w:val="007D1E51"/>
    <w:rsid w:val="007D1EED"/>
    <w:rsid w:val="007D7119"/>
    <w:rsid w:val="007D7570"/>
    <w:rsid w:val="007E4870"/>
    <w:rsid w:val="007E50C4"/>
    <w:rsid w:val="007E51FF"/>
    <w:rsid w:val="007E5406"/>
    <w:rsid w:val="007E5AE3"/>
    <w:rsid w:val="007E5FB3"/>
    <w:rsid w:val="007F09B5"/>
    <w:rsid w:val="007F0A81"/>
    <w:rsid w:val="007F18BA"/>
    <w:rsid w:val="007F303E"/>
    <w:rsid w:val="007F3627"/>
    <w:rsid w:val="007F569E"/>
    <w:rsid w:val="008037C5"/>
    <w:rsid w:val="00804AFB"/>
    <w:rsid w:val="00810AE7"/>
    <w:rsid w:val="00811788"/>
    <w:rsid w:val="00812F77"/>
    <w:rsid w:val="00815385"/>
    <w:rsid w:val="008156AF"/>
    <w:rsid w:val="00816328"/>
    <w:rsid w:val="00820505"/>
    <w:rsid w:val="0082448E"/>
    <w:rsid w:val="00826F9F"/>
    <w:rsid w:val="008274C3"/>
    <w:rsid w:val="00834398"/>
    <w:rsid w:val="00835D33"/>
    <w:rsid w:val="00836DE2"/>
    <w:rsid w:val="0083735C"/>
    <w:rsid w:val="0083785F"/>
    <w:rsid w:val="00841FFE"/>
    <w:rsid w:val="00842D1C"/>
    <w:rsid w:val="00845C69"/>
    <w:rsid w:val="008466E9"/>
    <w:rsid w:val="00847178"/>
    <w:rsid w:val="00851B17"/>
    <w:rsid w:val="00851BDE"/>
    <w:rsid w:val="00851E2E"/>
    <w:rsid w:val="008520AE"/>
    <w:rsid w:val="00853D10"/>
    <w:rsid w:val="008548E0"/>
    <w:rsid w:val="00854D28"/>
    <w:rsid w:val="00855EE5"/>
    <w:rsid w:val="0086395A"/>
    <w:rsid w:val="00864BE1"/>
    <w:rsid w:val="00865474"/>
    <w:rsid w:val="00870F2B"/>
    <w:rsid w:val="008725C1"/>
    <w:rsid w:val="008726F5"/>
    <w:rsid w:val="00873380"/>
    <w:rsid w:val="00874906"/>
    <w:rsid w:val="00880C54"/>
    <w:rsid w:val="00881311"/>
    <w:rsid w:val="00883CE1"/>
    <w:rsid w:val="008874B2"/>
    <w:rsid w:val="00890B26"/>
    <w:rsid w:val="00890B48"/>
    <w:rsid w:val="00892D94"/>
    <w:rsid w:val="00895642"/>
    <w:rsid w:val="00895B80"/>
    <w:rsid w:val="00896C4A"/>
    <w:rsid w:val="00896E93"/>
    <w:rsid w:val="00896FA4"/>
    <w:rsid w:val="008A0BF6"/>
    <w:rsid w:val="008A1709"/>
    <w:rsid w:val="008A359C"/>
    <w:rsid w:val="008A546B"/>
    <w:rsid w:val="008B0057"/>
    <w:rsid w:val="008B19F8"/>
    <w:rsid w:val="008B7E2E"/>
    <w:rsid w:val="008C2DCA"/>
    <w:rsid w:val="008C7EB7"/>
    <w:rsid w:val="008D5503"/>
    <w:rsid w:val="008D5BC9"/>
    <w:rsid w:val="008E14FA"/>
    <w:rsid w:val="008E41BA"/>
    <w:rsid w:val="008E4C60"/>
    <w:rsid w:val="008F0E75"/>
    <w:rsid w:val="008F1FA0"/>
    <w:rsid w:val="008F3BC4"/>
    <w:rsid w:val="00901CCF"/>
    <w:rsid w:val="009032D2"/>
    <w:rsid w:val="0090730F"/>
    <w:rsid w:val="0090764B"/>
    <w:rsid w:val="00910EF3"/>
    <w:rsid w:val="00914981"/>
    <w:rsid w:val="009155C1"/>
    <w:rsid w:val="00917A63"/>
    <w:rsid w:val="0092109C"/>
    <w:rsid w:val="00922D14"/>
    <w:rsid w:val="00923B6A"/>
    <w:rsid w:val="00925A39"/>
    <w:rsid w:val="00926433"/>
    <w:rsid w:val="0092670C"/>
    <w:rsid w:val="00930C3C"/>
    <w:rsid w:val="00934372"/>
    <w:rsid w:val="00934E6D"/>
    <w:rsid w:val="009353C0"/>
    <w:rsid w:val="00935CBA"/>
    <w:rsid w:val="00936032"/>
    <w:rsid w:val="00940C1B"/>
    <w:rsid w:val="00941124"/>
    <w:rsid w:val="00941DB5"/>
    <w:rsid w:val="00942CCC"/>
    <w:rsid w:val="009468BE"/>
    <w:rsid w:val="009475A6"/>
    <w:rsid w:val="0095146A"/>
    <w:rsid w:val="00951DD6"/>
    <w:rsid w:val="00952AA3"/>
    <w:rsid w:val="00953D13"/>
    <w:rsid w:val="0095450D"/>
    <w:rsid w:val="009550A6"/>
    <w:rsid w:val="00955F75"/>
    <w:rsid w:val="00956272"/>
    <w:rsid w:val="00960667"/>
    <w:rsid w:val="00961425"/>
    <w:rsid w:val="00961B5B"/>
    <w:rsid w:val="0096595A"/>
    <w:rsid w:val="00967304"/>
    <w:rsid w:val="00970887"/>
    <w:rsid w:val="00971C63"/>
    <w:rsid w:val="0097312E"/>
    <w:rsid w:val="0097579D"/>
    <w:rsid w:val="00976CC2"/>
    <w:rsid w:val="009772AF"/>
    <w:rsid w:val="009774CA"/>
    <w:rsid w:val="0098085A"/>
    <w:rsid w:val="00982B09"/>
    <w:rsid w:val="00982E28"/>
    <w:rsid w:val="00990824"/>
    <w:rsid w:val="00991B57"/>
    <w:rsid w:val="009940CD"/>
    <w:rsid w:val="009A138F"/>
    <w:rsid w:val="009A13EB"/>
    <w:rsid w:val="009A23BA"/>
    <w:rsid w:val="009A25C0"/>
    <w:rsid w:val="009A368A"/>
    <w:rsid w:val="009A4E64"/>
    <w:rsid w:val="009B1BD1"/>
    <w:rsid w:val="009B1E6B"/>
    <w:rsid w:val="009B29B8"/>
    <w:rsid w:val="009B4777"/>
    <w:rsid w:val="009B568A"/>
    <w:rsid w:val="009B67D9"/>
    <w:rsid w:val="009C0D0E"/>
    <w:rsid w:val="009C43B5"/>
    <w:rsid w:val="009C4827"/>
    <w:rsid w:val="009C7269"/>
    <w:rsid w:val="009D058B"/>
    <w:rsid w:val="009D3451"/>
    <w:rsid w:val="009E01E1"/>
    <w:rsid w:val="009E49D8"/>
    <w:rsid w:val="009E58B9"/>
    <w:rsid w:val="009E71F9"/>
    <w:rsid w:val="009E7600"/>
    <w:rsid w:val="009F0E4D"/>
    <w:rsid w:val="009F1763"/>
    <w:rsid w:val="009F26FB"/>
    <w:rsid w:val="00A0295C"/>
    <w:rsid w:val="00A029E3"/>
    <w:rsid w:val="00A04ED9"/>
    <w:rsid w:val="00A05CA1"/>
    <w:rsid w:val="00A06FFE"/>
    <w:rsid w:val="00A10691"/>
    <w:rsid w:val="00A1146B"/>
    <w:rsid w:val="00A11F5F"/>
    <w:rsid w:val="00A12A1D"/>
    <w:rsid w:val="00A13F78"/>
    <w:rsid w:val="00A14EF2"/>
    <w:rsid w:val="00A15635"/>
    <w:rsid w:val="00A235B7"/>
    <w:rsid w:val="00A247B6"/>
    <w:rsid w:val="00A25256"/>
    <w:rsid w:val="00A25D9C"/>
    <w:rsid w:val="00A272AF"/>
    <w:rsid w:val="00A31138"/>
    <w:rsid w:val="00A351EF"/>
    <w:rsid w:val="00A36D8C"/>
    <w:rsid w:val="00A42112"/>
    <w:rsid w:val="00A43263"/>
    <w:rsid w:val="00A45435"/>
    <w:rsid w:val="00A46B8E"/>
    <w:rsid w:val="00A47AE1"/>
    <w:rsid w:val="00A47EF4"/>
    <w:rsid w:val="00A50038"/>
    <w:rsid w:val="00A53453"/>
    <w:rsid w:val="00A5414E"/>
    <w:rsid w:val="00A550FD"/>
    <w:rsid w:val="00A57D3A"/>
    <w:rsid w:val="00A60C74"/>
    <w:rsid w:val="00A61AE3"/>
    <w:rsid w:val="00A631DD"/>
    <w:rsid w:val="00A7047D"/>
    <w:rsid w:val="00A71292"/>
    <w:rsid w:val="00A723E2"/>
    <w:rsid w:val="00A75D85"/>
    <w:rsid w:val="00A773F5"/>
    <w:rsid w:val="00A77B57"/>
    <w:rsid w:val="00A807EF"/>
    <w:rsid w:val="00A80FBF"/>
    <w:rsid w:val="00A82ADA"/>
    <w:rsid w:val="00A83A0F"/>
    <w:rsid w:val="00A84BA3"/>
    <w:rsid w:val="00A85E27"/>
    <w:rsid w:val="00A8629A"/>
    <w:rsid w:val="00A947EC"/>
    <w:rsid w:val="00A96E22"/>
    <w:rsid w:val="00AA1C63"/>
    <w:rsid w:val="00AA29E0"/>
    <w:rsid w:val="00AA4A95"/>
    <w:rsid w:val="00AA5FA6"/>
    <w:rsid w:val="00AA6949"/>
    <w:rsid w:val="00AA761A"/>
    <w:rsid w:val="00AB1C5F"/>
    <w:rsid w:val="00AB2E25"/>
    <w:rsid w:val="00AB30D2"/>
    <w:rsid w:val="00AB540F"/>
    <w:rsid w:val="00AB5E6E"/>
    <w:rsid w:val="00AB68F8"/>
    <w:rsid w:val="00AB6F9E"/>
    <w:rsid w:val="00AC2D40"/>
    <w:rsid w:val="00AC7F35"/>
    <w:rsid w:val="00AD1E91"/>
    <w:rsid w:val="00AD2638"/>
    <w:rsid w:val="00AD30F3"/>
    <w:rsid w:val="00AD44C6"/>
    <w:rsid w:val="00AD5608"/>
    <w:rsid w:val="00AE0A42"/>
    <w:rsid w:val="00AE21CA"/>
    <w:rsid w:val="00AE2EBE"/>
    <w:rsid w:val="00AE344C"/>
    <w:rsid w:val="00AE7354"/>
    <w:rsid w:val="00AF0488"/>
    <w:rsid w:val="00AF20FF"/>
    <w:rsid w:val="00AF21D9"/>
    <w:rsid w:val="00AF47F2"/>
    <w:rsid w:val="00AF4D5A"/>
    <w:rsid w:val="00B00718"/>
    <w:rsid w:val="00B0074A"/>
    <w:rsid w:val="00B01079"/>
    <w:rsid w:val="00B01C2E"/>
    <w:rsid w:val="00B02745"/>
    <w:rsid w:val="00B028C8"/>
    <w:rsid w:val="00B035A7"/>
    <w:rsid w:val="00B05DFB"/>
    <w:rsid w:val="00B063B4"/>
    <w:rsid w:val="00B11948"/>
    <w:rsid w:val="00B13E71"/>
    <w:rsid w:val="00B32B3E"/>
    <w:rsid w:val="00B3481E"/>
    <w:rsid w:val="00B420D6"/>
    <w:rsid w:val="00B4245C"/>
    <w:rsid w:val="00B45A61"/>
    <w:rsid w:val="00B4636F"/>
    <w:rsid w:val="00B50B08"/>
    <w:rsid w:val="00B52CF7"/>
    <w:rsid w:val="00B53A9E"/>
    <w:rsid w:val="00B547D7"/>
    <w:rsid w:val="00B55A42"/>
    <w:rsid w:val="00B55B5E"/>
    <w:rsid w:val="00B55D99"/>
    <w:rsid w:val="00B628D0"/>
    <w:rsid w:val="00B63690"/>
    <w:rsid w:val="00B67AE2"/>
    <w:rsid w:val="00B70BB2"/>
    <w:rsid w:val="00B71893"/>
    <w:rsid w:val="00B72778"/>
    <w:rsid w:val="00B7344B"/>
    <w:rsid w:val="00B74429"/>
    <w:rsid w:val="00B76945"/>
    <w:rsid w:val="00B82EDA"/>
    <w:rsid w:val="00B83599"/>
    <w:rsid w:val="00B839FB"/>
    <w:rsid w:val="00B8451F"/>
    <w:rsid w:val="00B86850"/>
    <w:rsid w:val="00B87BF5"/>
    <w:rsid w:val="00B91901"/>
    <w:rsid w:val="00B93051"/>
    <w:rsid w:val="00B93E73"/>
    <w:rsid w:val="00B9773D"/>
    <w:rsid w:val="00BA1009"/>
    <w:rsid w:val="00BA4026"/>
    <w:rsid w:val="00BA41AA"/>
    <w:rsid w:val="00BA51EE"/>
    <w:rsid w:val="00BA6C8F"/>
    <w:rsid w:val="00BA70D4"/>
    <w:rsid w:val="00BB15BD"/>
    <w:rsid w:val="00BB1BFE"/>
    <w:rsid w:val="00BB1D6A"/>
    <w:rsid w:val="00BB3259"/>
    <w:rsid w:val="00BB3632"/>
    <w:rsid w:val="00BB474A"/>
    <w:rsid w:val="00BB614F"/>
    <w:rsid w:val="00BB6CC8"/>
    <w:rsid w:val="00BC2DF6"/>
    <w:rsid w:val="00BC2FA7"/>
    <w:rsid w:val="00BC3661"/>
    <w:rsid w:val="00BC6C20"/>
    <w:rsid w:val="00BD156F"/>
    <w:rsid w:val="00BD3725"/>
    <w:rsid w:val="00BE0E72"/>
    <w:rsid w:val="00BE1D3C"/>
    <w:rsid w:val="00BE2098"/>
    <w:rsid w:val="00BE21AD"/>
    <w:rsid w:val="00BE24CB"/>
    <w:rsid w:val="00BE4730"/>
    <w:rsid w:val="00BE4D84"/>
    <w:rsid w:val="00BE7443"/>
    <w:rsid w:val="00BF20D4"/>
    <w:rsid w:val="00BF4206"/>
    <w:rsid w:val="00BF58FC"/>
    <w:rsid w:val="00C01D73"/>
    <w:rsid w:val="00C0200B"/>
    <w:rsid w:val="00C03D82"/>
    <w:rsid w:val="00C05770"/>
    <w:rsid w:val="00C103CE"/>
    <w:rsid w:val="00C117CB"/>
    <w:rsid w:val="00C133A7"/>
    <w:rsid w:val="00C13D4E"/>
    <w:rsid w:val="00C1590D"/>
    <w:rsid w:val="00C171E5"/>
    <w:rsid w:val="00C2059B"/>
    <w:rsid w:val="00C2337D"/>
    <w:rsid w:val="00C25322"/>
    <w:rsid w:val="00C25D1B"/>
    <w:rsid w:val="00C27343"/>
    <w:rsid w:val="00C275A0"/>
    <w:rsid w:val="00C306A4"/>
    <w:rsid w:val="00C30998"/>
    <w:rsid w:val="00C30B7B"/>
    <w:rsid w:val="00C35933"/>
    <w:rsid w:val="00C35FF8"/>
    <w:rsid w:val="00C37561"/>
    <w:rsid w:val="00C37ADC"/>
    <w:rsid w:val="00C4024D"/>
    <w:rsid w:val="00C40A56"/>
    <w:rsid w:val="00C40F0A"/>
    <w:rsid w:val="00C43855"/>
    <w:rsid w:val="00C43F7D"/>
    <w:rsid w:val="00C464B3"/>
    <w:rsid w:val="00C47627"/>
    <w:rsid w:val="00C47DA2"/>
    <w:rsid w:val="00C50BF1"/>
    <w:rsid w:val="00C542EA"/>
    <w:rsid w:val="00C55411"/>
    <w:rsid w:val="00C56000"/>
    <w:rsid w:val="00C56C82"/>
    <w:rsid w:val="00C60369"/>
    <w:rsid w:val="00C632A0"/>
    <w:rsid w:val="00C635C2"/>
    <w:rsid w:val="00C64849"/>
    <w:rsid w:val="00C67E5C"/>
    <w:rsid w:val="00C7089C"/>
    <w:rsid w:val="00C80225"/>
    <w:rsid w:val="00C8027C"/>
    <w:rsid w:val="00C80903"/>
    <w:rsid w:val="00C81504"/>
    <w:rsid w:val="00C82220"/>
    <w:rsid w:val="00C83693"/>
    <w:rsid w:val="00C86034"/>
    <w:rsid w:val="00C8605D"/>
    <w:rsid w:val="00C869C3"/>
    <w:rsid w:val="00C87064"/>
    <w:rsid w:val="00C87BA0"/>
    <w:rsid w:val="00C901CF"/>
    <w:rsid w:val="00C92E59"/>
    <w:rsid w:val="00C93C20"/>
    <w:rsid w:val="00C94F96"/>
    <w:rsid w:val="00C96E5E"/>
    <w:rsid w:val="00CA0E0C"/>
    <w:rsid w:val="00CA3DA3"/>
    <w:rsid w:val="00CA4BF2"/>
    <w:rsid w:val="00CB0251"/>
    <w:rsid w:val="00CB0B1C"/>
    <w:rsid w:val="00CB259C"/>
    <w:rsid w:val="00CB4628"/>
    <w:rsid w:val="00CB6089"/>
    <w:rsid w:val="00CB7289"/>
    <w:rsid w:val="00CC2FE0"/>
    <w:rsid w:val="00CC66D1"/>
    <w:rsid w:val="00CD112A"/>
    <w:rsid w:val="00CD2F1F"/>
    <w:rsid w:val="00CD3006"/>
    <w:rsid w:val="00CD4C0F"/>
    <w:rsid w:val="00CD4C5E"/>
    <w:rsid w:val="00CE039B"/>
    <w:rsid w:val="00CE1933"/>
    <w:rsid w:val="00CE26A5"/>
    <w:rsid w:val="00CE276B"/>
    <w:rsid w:val="00CE6E77"/>
    <w:rsid w:val="00CE70F6"/>
    <w:rsid w:val="00CF0C22"/>
    <w:rsid w:val="00CF4A2E"/>
    <w:rsid w:val="00CF5E13"/>
    <w:rsid w:val="00CF655A"/>
    <w:rsid w:val="00CF66D8"/>
    <w:rsid w:val="00CF6E69"/>
    <w:rsid w:val="00D00DF2"/>
    <w:rsid w:val="00D04729"/>
    <w:rsid w:val="00D04CA0"/>
    <w:rsid w:val="00D07CFD"/>
    <w:rsid w:val="00D11C40"/>
    <w:rsid w:val="00D13929"/>
    <w:rsid w:val="00D17E46"/>
    <w:rsid w:val="00D218C5"/>
    <w:rsid w:val="00D219D1"/>
    <w:rsid w:val="00D23DBA"/>
    <w:rsid w:val="00D322F9"/>
    <w:rsid w:val="00D33D5A"/>
    <w:rsid w:val="00D34965"/>
    <w:rsid w:val="00D34A97"/>
    <w:rsid w:val="00D4081C"/>
    <w:rsid w:val="00D4656C"/>
    <w:rsid w:val="00D47F62"/>
    <w:rsid w:val="00D505CB"/>
    <w:rsid w:val="00D52850"/>
    <w:rsid w:val="00D55909"/>
    <w:rsid w:val="00D56A5E"/>
    <w:rsid w:val="00D5755A"/>
    <w:rsid w:val="00D612D1"/>
    <w:rsid w:val="00D624BE"/>
    <w:rsid w:val="00D639E1"/>
    <w:rsid w:val="00D651A8"/>
    <w:rsid w:val="00D6580C"/>
    <w:rsid w:val="00D67181"/>
    <w:rsid w:val="00D6724C"/>
    <w:rsid w:val="00D6783F"/>
    <w:rsid w:val="00D70C2D"/>
    <w:rsid w:val="00D70F35"/>
    <w:rsid w:val="00D72E18"/>
    <w:rsid w:val="00D734CB"/>
    <w:rsid w:val="00D74CAC"/>
    <w:rsid w:val="00D77AEB"/>
    <w:rsid w:val="00D80854"/>
    <w:rsid w:val="00D85A1E"/>
    <w:rsid w:val="00D87DAC"/>
    <w:rsid w:val="00D918D2"/>
    <w:rsid w:val="00D91A71"/>
    <w:rsid w:val="00D91E6C"/>
    <w:rsid w:val="00D93986"/>
    <w:rsid w:val="00D95336"/>
    <w:rsid w:val="00D95599"/>
    <w:rsid w:val="00D97FD9"/>
    <w:rsid w:val="00DA03B1"/>
    <w:rsid w:val="00DA4FF8"/>
    <w:rsid w:val="00DA57CB"/>
    <w:rsid w:val="00DA60FC"/>
    <w:rsid w:val="00DA7BAF"/>
    <w:rsid w:val="00DB26C1"/>
    <w:rsid w:val="00DB3C9F"/>
    <w:rsid w:val="00DB4C04"/>
    <w:rsid w:val="00DB6468"/>
    <w:rsid w:val="00DB7450"/>
    <w:rsid w:val="00DB75E4"/>
    <w:rsid w:val="00DC00D6"/>
    <w:rsid w:val="00DC24F9"/>
    <w:rsid w:val="00DC2E1B"/>
    <w:rsid w:val="00DC33A8"/>
    <w:rsid w:val="00DC502B"/>
    <w:rsid w:val="00DC5394"/>
    <w:rsid w:val="00DC77A5"/>
    <w:rsid w:val="00DD7A4D"/>
    <w:rsid w:val="00DE1E25"/>
    <w:rsid w:val="00DE310A"/>
    <w:rsid w:val="00DE33C6"/>
    <w:rsid w:val="00DE4312"/>
    <w:rsid w:val="00DE479C"/>
    <w:rsid w:val="00DE67FE"/>
    <w:rsid w:val="00DE74D8"/>
    <w:rsid w:val="00DF405E"/>
    <w:rsid w:val="00DF566B"/>
    <w:rsid w:val="00DF77C4"/>
    <w:rsid w:val="00E01942"/>
    <w:rsid w:val="00E053DF"/>
    <w:rsid w:val="00E07865"/>
    <w:rsid w:val="00E105A7"/>
    <w:rsid w:val="00E13446"/>
    <w:rsid w:val="00E141AB"/>
    <w:rsid w:val="00E160AE"/>
    <w:rsid w:val="00E20B8E"/>
    <w:rsid w:val="00E275F3"/>
    <w:rsid w:val="00E30D41"/>
    <w:rsid w:val="00E32BDE"/>
    <w:rsid w:val="00E34059"/>
    <w:rsid w:val="00E35903"/>
    <w:rsid w:val="00E35F3F"/>
    <w:rsid w:val="00E35FA2"/>
    <w:rsid w:val="00E36B11"/>
    <w:rsid w:val="00E37961"/>
    <w:rsid w:val="00E40B0D"/>
    <w:rsid w:val="00E42157"/>
    <w:rsid w:val="00E42C0D"/>
    <w:rsid w:val="00E42F81"/>
    <w:rsid w:val="00E43410"/>
    <w:rsid w:val="00E46018"/>
    <w:rsid w:val="00E50068"/>
    <w:rsid w:val="00E53AD2"/>
    <w:rsid w:val="00E54552"/>
    <w:rsid w:val="00E547F7"/>
    <w:rsid w:val="00E56F68"/>
    <w:rsid w:val="00E57499"/>
    <w:rsid w:val="00E57DEA"/>
    <w:rsid w:val="00E61231"/>
    <w:rsid w:val="00E62331"/>
    <w:rsid w:val="00E65BC1"/>
    <w:rsid w:val="00E673B4"/>
    <w:rsid w:val="00E71021"/>
    <w:rsid w:val="00E711D0"/>
    <w:rsid w:val="00E758C1"/>
    <w:rsid w:val="00E766A1"/>
    <w:rsid w:val="00E81B64"/>
    <w:rsid w:val="00E823FA"/>
    <w:rsid w:val="00E85646"/>
    <w:rsid w:val="00E86345"/>
    <w:rsid w:val="00E87CE5"/>
    <w:rsid w:val="00E90567"/>
    <w:rsid w:val="00E93AD9"/>
    <w:rsid w:val="00E94868"/>
    <w:rsid w:val="00E95B89"/>
    <w:rsid w:val="00E96EC4"/>
    <w:rsid w:val="00E97A21"/>
    <w:rsid w:val="00EA1238"/>
    <w:rsid w:val="00EA1A10"/>
    <w:rsid w:val="00EA50BF"/>
    <w:rsid w:val="00EA5320"/>
    <w:rsid w:val="00EA5330"/>
    <w:rsid w:val="00EA535C"/>
    <w:rsid w:val="00EA7597"/>
    <w:rsid w:val="00EB009F"/>
    <w:rsid w:val="00EB2456"/>
    <w:rsid w:val="00EB31F0"/>
    <w:rsid w:val="00EC1CCC"/>
    <w:rsid w:val="00EC1F26"/>
    <w:rsid w:val="00EC2A6D"/>
    <w:rsid w:val="00EC2C53"/>
    <w:rsid w:val="00EC4421"/>
    <w:rsid w:val="00EC45E8"/>
    <w:rsid w:val="00EC5595"/>
    <w:rsid w:val="00ED3040"/>
    <w:rsid w:val="00ED5FB6"/>
    <w:rsid w:val="00ED5FDE"/>
    <w:rsid w:val="00ED6C02"/>
    <w:rsid w:val="00EE1C5D"/>
    <w:rsid w:val="00EE4450"/>
    <w:rsid w:val="00EE65AA"/>
    <w:rsid w:val="00EE6697"/>
    <w:rsid w:val="00EE7E09"/>
    <w:rsid w:val="00EF0D47"/>
    <w:rsid w:val="00EF0F99"/>
    <w:rsid w:val="00EF1839"/>
    <w:rsid w:val="00EF23DA"/>
    <w:rsid w:val="00EF25C0"/>
    <w:rsid w:val="00EF2F90"/>
    <w:rsid w:val="00EF4ACF"/>
    <w:rsid w:val="00F03A2F"/>
    <w:rsid w:val="00F06E0F"/>
    <w:rsid w:val="00F0729F"/>
    <w:rsid w:val="00F1272D"/>
    <w:rsid w:val="00F14354"/>
    <w:rsid w:val="00F16DE3"/>
    <w:rsid w:val="00F20BD2"/>
    <w:rsid w:val="00F20C70"/>
    <w:rsid w:val="00F22CAE"/>
    <w:rsid w:val="00F23250"/>
    <w:rsid w:val="00F24710"/>
    <w:rsid w:val="00F27875"/>
    <w:rsid w:val="00F310F2"/>
    <w:rsid w:val="00F32009"/>
    <w:rsid w:val="00F3310B"/>
    <w:rsid w:val="00F3463A"/>
    <w:rsid w:val="00F34EA7"/>
    <w:rsid w:val="00F37C0A"/>
    <w:rsid w:val="00F40237"/>
    <w:rsid w:val="00F43D48"/>
    <w:rsid w:val="00F44FB4"/>
    <w:rsid w:val="00F4580A"/>
    <w:rsid w:val="00F56F3D"/>
    <w:rsid w:val="00F57D7A"/>
    <w:rsid w:val="00F57FE5"/>
    <w:rsid w:val="00F60A4D"/>
    <w:rsid w:val="00F60CF9"/>
    <w:rsid w:val="00F618E7"/>
    <w:rsid w:val="00F62C93"/>
    <w:rsid w:val="00F639CC"/>
    <w:rsid w:val="00F63B15"/>
    <w:rsid w:val="00F64389"/>
    <w:rsid w:val="00F6724D"/>
    <w:rsid w:val="00F67C0A"/>
    <w:rsid w:val="00F67C8E"/>
    <w:rsid w:val="00F72245"/>
    <w:rsid w:val="00F73FFE"/>
    <w:rsid w:val="00F748F1"/>
    <w:rsid w:val="00F757CE"/>
    <w:rsid w:val="00F76F77"/>
    <w:rsid w:val="00F83785"/>
    <w:rsid w:val="00F83FD9"/>
    <w:rsid w:val="00F84AC5"/>
    <w:rsid w:val="00F84DA2"/>
    <w:rsid w:val="00F8795D"/>
    <w:rsid w:val="00F90268"/>
    <w:rsid w:val="00F91038"/>
    <w:rsid w:val="00F9240C"/>
    <w:rsid w:val="00F93AAC"/>
    <w:rsid w:val="00F96CAA"/>
    <w:rsid w:val="00FB02B0"/>
    <w:rsid w:val="00FB2474"/>
    <w:rsid w:val="00FB375A"/>
    <w:rsid w:val="00FC0B1A"/>
    <w:rsid w:val="00FC469B"/>
    <w:rsid w:val="00FC5AA7"/>
    <w:rsid w:val="00FC5C52"/>
    <w:rsid w:val="00FC62FC"/>
    <w:rsid w:val="00FC6901"/>
    <w:rsid w:val="00FD23A0"/>
    <w:rsid w:val="00FD3016"/>
    <w:rsid w:val="00FD56C6"/>
    <w:rsid w:val="00FD6477"/>
    <w:rsid w:val="00FD7A0B"/>
    <w:rsid w:val="00FE0A87"/>
    <w:rsid w:val="00FE0AC9"/>
    <w:rsid w:val="00FE5FC7"/>
    <w:rsid w:val="00FE6844"/>
    <w:rsid w:val="00FF1EA0"/>
    <w:rsid w:val="00FF2C13"/>
    <w:rsid w:val="00FF4A90"/>
    <w:rsid w:val="00FF4C90"/>
    <w:rsid w:val="00FF5565"/>
    <w:rsid w:val="01DD24BF"/>
    <w:rsid w:val="04663AF7"/>
    <w:rsid w:val="0486321A"/>
    <w:rsid w:val="05683CA8"/>
    <w:rsid w:val="0B692E6E"/>
    <w:rsid w:val="0DB04085"/>
    <w:rsid w:val="0E681B05"/>
    <w:rsid w:val="0F6C0411"/>
    <w:rsid w:val="11224E29"/>
    <w:rsid w:val="181A2095"/>
    <w:rsid w:val="1C7C6F51"/>
    <w:rsid w:val="1CEB326A"/>
    <w:rsid w:val="1D9706B9"/>
    <w:rsid w:val="1EBF57EE"/>
    <w:rsid w:val="23491975"/>
    <w:rsid w:val="24B822C5"/>
    <w:rsid w:val="26B33CEE"/>
    <w:rsid w:val="2F305E65"/>
    <w:rsid w:val="383353EC"/>
    <w:rsid w:val="3BAD72DA"/>
    <w:rsid w:val="3D2C5728"/>
    <w:rsid w:val="41846054"/>
    <w:rsid w:val="43EF4B35"/>
    <w:rsid w:val="448F3D81"/>
    <w:rsid w:val="4AA520C4"/>
    <w:rsid w:val="4AB1763D"/>
    <w:rsid w:val="4C1F48A9"/>
    <w:rsid w:val="4C6F0C78"/>
    <w:rsid w:val="4D4F4288"/>
    <w:rsid w:val="51CB7784"/>
    <w:rsid w:val="525A13B6"/>
    <w:rsid w:val="54B459C3"/>
    <w:rsid w:val="5997458A"/>
    <w:rsid w:val="5AF739BD"/>
    <w:rsid w:val="5BD73E49"/>
    <w:rsid w:val="681E5F2E"/>
    <w:rsid w:val="68B06D17"/>
    <w:rsid w:val="69180B82"/>
    <w:rsid w:val="6A8F0A89"/>
    <w:rsid w:val="6AE829C7"/>
    <w:rsid w:val="6CED6303"/>
    <w:rsid w:val="6E1376EA"/>
    <w:rsid w:val="6EEE5939"/>
    <w:rsid w:val="70934269"/>
    <w:rsid w:val="72EE39DC"/>
    <w:rsid w:val="75886DF9"/>
    <w:rsid w:val="77201B6C"/>
    <w:rsid w:val="782C5FE4"/>
    <w:rsid w:val="7A07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lsdException w:name="index 2" w:semiHidden="1" w:uiPriority="0"/>
    <w:lsdException w:name="index 3" w:semiHidden="1" w:uiPriority="0"/>
    <w:lsdException w:name="index 4" w:semiHidden="1" w:uiPriority="0"/>
    <w:lsdException w:name="index 5" w:semiHidden="1" w:uiPriority="0"/>
    <w:lsdException w:name="index 6" w:semiHidden="1" w:uiPriority="0"/>
    <w:lsdException w:name="index 7" w:semiHidden="1" w:uiPriority="0"/>
    <w:lsdException w:name="index 8" w:semiHidden="1" w:uiPriority="0"/>
    <w:lsdException w:name="index 9" w:semiHidden="1" w:uiPriority="0"/>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lsdException w:name="header" w:uiPriority="0"/>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iPriority="0"/>
    <w:lsdException w:name="macro" w:semiHidden="1" w:unhideWhenUsed="1"/>
    <w:lsdException w:name="toa heading" w:semiHidden="1" w:uiPriority="0"/>
    <w:lsdException w:name="List" w:uiPriority="0"/>
    <w:lsdException w:name="List Bullet" w:semiHidden="1" w:unhideWhenUsed="1"/>
    <w:lsdException w:name="List Number" w:semiHidden="1" w:unhideWhenUsed="1"/>
    <w:lsdException w:name="List 2" w:uiPriority="0"/>
    <w:lsdException w:name="List 3" w:uiPriority="0"/>
    <w:lsdException w:name="List 4" w:uiPriority="0"/>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uiPriority="0"/>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b/>
      <w:bCs/>
      <w:kern w:val="2"/>
      <w:sz w:val="32"/>
      <w:szCs w:val="32"/>
    </w:rPr>
  </w:style>
  <w:style w:type="character" w:customStyle="1" w:styleId="2Char">
    <w:name w:val="标题 2 Char"/>
    <w:link w:val="20"/>
    <w:qFormat/>
    <w:rPr>
      <w:rFonts w:ascii="黑体" w:eastAsia="黑体" w:hAnsi="黑体"/>
      <w:smallCaps/>
      <w:kern w:val="2"/>
      <w:sz w:val="30"/>
      <w:szCs w:val="30"/>
    </w:rPr>
  </w:style>
  <w:style w:type="paragraph" w:styleId="30">
    <w:name w:val="List 3"/>
    <w:basedOn w:val="a"/>
    <w:pPr>
      <w:ind w:leftChars="400" w:left="100" w:hangingChars="200" w:hanging="200"/>
    </w:pPr>
  </w:style>
  <w:style w:type="paragraph" w:styleId="a3">
    <w:name w:val="table of authorities"/>
    <w:basedOn w:val="a"/>
    <w:next w:val="a"/>
    <w:semiHidden/>
    <w:pPr>
      <w:ind w:leftChars="200" w:left="420"/>
    </w:pPr>
  </w:style>
  <w:style w:type="paragraph" w:styleId="8">
    <w:name w:val="index 8"/>
    <w:basedOn w:val="a"/>
    <w:next w:val="a"/>
    <w:semiHidden/>
    <w:pPr>
      <w:ind w:leftChars="1400" w:left="1400"/>
    </w:pPr>
  </w:style>
  <w:style w:type="paragraph" w:styleId="5">
    <w:name w:val="index 5"/>
    <w:basedOn w:val="a"/>
    <w:next w:val="a"/>
    <w:semiHidden/>
    <w:pPr>
      <w:ind w:leftChars="800" w:left="800"/>
    </w:p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kern w:val="2"/>
      <w:sz w:val="18"/>
      <w:szCs w:val="18"/>
    </w:rPr>
  </w:style>
  <w:style w:type="paragraph" w:styleId="a5">
    <w:name w:val="toa heading"/>
    <w:basedOn w:val="a"/>
    <w:next w:val="a"/>
    <w:semiHidden/>
    <w:pPr>
      <w:spacing w:before="120"/>
    </w:pPr>
    <w:rPr>
      <w:rFonts w:ascii="Arial" w:hAnsi="Arial"/>
      <w:b/>
      <w:bCs/>
    </w:rPr>
  </w:style>
  <w:style w:type="paragraph" w:styleId="a6">
    <w:name w:val="annotation text"/>
    <w:basedOn w:val="a"/>
    <w:semiHidden/>
    <w:pPr>
      <w:jc w:val="left"/>
    </w:pPr>
  </w:style>
  <w:style w:type="paragraph" w:styleId="6">
    <w:name w:val="index 6"/>
    <w:basedOn w:val="a"/>
    <w:next w:val="a"/>
    <w:semiHidden/>
    <w:pPr>
      <w:ind w:leftChars="1000" w:left="1000"/>
    </w:pPr>
  </w:style>
  <w:style w:type="paragraph" w:styleId="a7">
    <w:name w:val="Body Text"/>
    <w:basedOn w:val="a"/>
    <w:pPr>
      <w:spacing w:after="120"/>
    </w:pPr>
  </w:style>
  <w:style w:type="paragraph" w:styleId="a8">
    <w:name w:val="Body Text Indent"/>
    <w:basedOn w:val="a"/>
    <w:pPr>
      <w:spacing w:after="120"/>
      <w:ind w:leftChars="200" w:left="420"/>
    </w:pPr>
  </w:style>
  <w:style w:type="paragraph" w:styleId="21">
    <w:name w:val="List 2"/>
    <w:basedOn w:val="a"/>
    <w:pPr>
      <w:ind w:leftChars="200" w:left="100" w:hangingChars="200" w:hanging="200"/>
    </w:pPr>
  </w:style>
  <w:style w:type="paragraph" w:styleId="a9">
    <w:name w:val="List Continue"/>
    <w:basedOn w:val="a"/>
    <w:pPr>
      <w:spacing w:after="120"/>
      <w:ind w:leftChars="200" w:left="420"/>
    </w:pPr>
  </w:style>
  <w:style w:type="paragraph" w:styleId="2">
    <w:name w:val="List Bullet 2"/>
    <w:basedOn w:val="a"/>
    <w:pPr>
      <w:numPr>
        <w:numId w:val="1"/>
      </w:numPr>
      <w:tabs>
        <w:tab w:val="left" w:pos="780"/>
      </w:tabs>
    </w:pPr>
  </w:style>
  <w:style w:type="paragraph" w:styleId="4">
    <w:name w:val="index 4"/>
    <w:basedOn w:val="a"/>
    <w:next w:val="a"/>
    <w:semiHidden/>
    <w:pPr>
      <w:ind w:leftChars="600" w:left="600"/>
    </w:pPr>
  </w:style>
  <w:style w:type="paragraph" w:styleId="aa">
    <w:name w:val="Plain Text"/>
    <w:basedOn w:val="a"/>
    <w:rPr>
      <w:rFonts w:ascii="宋体" w:hAnsi="Courier New" w:cs="仿宋_GB2312"/>
      <w:szCs w:val="21"/>
    </w:rPr>
  </w:style>
  <w:style w:type="paragraph" w:styleId="31">
    <w:name w:val="index 3"/>
    <w:basedOn w:val="a"/>
    <w:next w:val="a"/>
    <w:semiHidden/>
    <w:pPr>
      <w:ind w:leftChars="400" w:left="400"/>
    </w:pPr>
  </w:style>
  <w:style w:type="paragraph" w:styleId="22">
    <w:name w:val="Body Text Indent 2"/>
    <w:basedOn w:val="a"/>
    <w:pPr>
      <w:ind w:firstLineChars="239" w:firstLine="720"/>
    </w:pPr>
    <w:rPr>
      <w:b/>
      <w:bCs/>
      <w:sz w:val="30"/>
    </w:rPr>
  </w:style>
  <w:style w:type="paragraph" w:styleId="ab">
    <w:name w:val="Balloon Text"/>
    <w:basedOn w:val="a"/>
    <w:semiHidden/>
    <w:rPr>
      <w:sz w:val="18"/>
      <w:szCs w:val="18"/>
    </w:rPr>
  </w:style>
  <w:style w:type="paragraph" w:styleId="ac">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c"/>
    <w:uiPriority w:val="99"/>
    <w:rPr>
      <w:kern w:val="2"/>
      <w:sz w:val="18"/>
      <w:szCs w:val="18"/>
    </w:rPr>
  </w:style>
  <w:style w:type="paragraph" w:styleId="ad">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Pr>
      <w:kern w:val="2"/>
      <w:sz w:val="18"/>
      <w:szCs w:val="18"/>
    </w:rPr>
  </w:style>
  <w:style w:type="paragraph" w:styleId="ae">
    <w:name w:val="index heading"/>
    <w:basedOn w:val="a"/>
    <w:next w:val="10"/>
    <w:semiHidden/>
  </w:style>
  <w:style w:type="paragraph" w:styleId="10">
    <w:name w:val="index 1"/>
    <w:basedOn w:val="a"/>
    <w:next w:val="a"/>
    <w:semiHidden/>
  </w:style>
  <w:style w:type="paragraph" w:styleId="af">
    <w:name w:val="List"/>
    <w:basedOn w:val="a"/>
    <w:pPr>
      <w:ind w:left="200" w:hangingChars="200" w:hanging="200"/>
    </w:pPr>
  </w:style>
  <w:style w:type="paragraph" w:styleId="af0">
    <w:name w:val="footnote text"/>
    <w:basedOn w:val="a"/>
    <w:semiHidden/>
    <w:pPr>
      <w:snapToGrid w:val="0"/>
      <w:jc w:val="left"/>
    </w:pPr>
    <w:rPr>
      <w:sz w:val="18"/>
      <w:szCs w:val="18"/>
    </w:rPr>
  </w:style>
  <w:style w:type="paragraph" w:styleId="32">
    <w:name w:val="Body Text Indent 3"/>
    <w:basedOn w:val="a"/>
    <w:pPr>
      <w:ind w:firstLineChars="179" w:firstLine="537"/>
    </w:pPr>
    <w:rPr>
      <w:sz w:val="30"/>
    </w:rPr>
  </w:style>
  <w:style w:type="paragraph" w:styleId="7">
    <w:name w:val="index 7"/>
    <w:basedOn w:val="a"/>
    <w:next w:val="a"/>
    <w:semiHidden/>
    <w:pPr>
      <w:ind w:leftChars="1200" w:left="1200"/>
    </w:pPr>
  </w:style>
  <w:style w:type="paragraph" w:styleId="9">
    <w:name w:val="index 9"/>
    <w:basedOn w:val="a"/>
    <w:next w:val="a"/>
    <w:semiHidden/>
    <w:pPr>
      <w:ind w:leftChars="1600" w:left="1600"/>
    </w:pPr>
  </w:style>
  <w:style w:type="paragraph" w:styleId="23">
    <w:name w:val="Body Text 2"/>
    <w:basedOn w:val="a"/>
    <w:rPr>
      <w:b/>
      <w:bCs/>
      <w:sz w:val="30"/>
    </w:rPr>
  </w:style>
  <w:style w:type="paragraph" w:styleId="40">
    <w:name w:val="List 4"/>
    <w:basedOn w:val="a"/>
    <w:pPr>
      <w:ind w:leftChars="600" w:left="100" w:hangingChars="200" w:hanging="200"/>
    </w:pPr>
  </w:style>
  <w:style w:type="paragraph" w:styleId="24">
    <w:name w:val="List Continue 2"/>
    <w:basedOn w:val="a"/>
    <w:pPr>
      <w:spacing w:after="120"/>
      <w:ind w:leftChars="400" w:left="840"/>
    </w:pPr>
  </w:style>
  <w:style w:type="paragraph" w:styleId="25">
    <w:name w:val="index 2"/>
    <w:basedOn w:val="a"/>
    <w:next w:val="a"/>
    <w:semiHidden/>
    <w:pPr>
      <w:ind w:leftChars="200" w:left="200"/>
    </w:pPr>
  </w:style>
  <w:style w:type="paragraph" w:styleId="af1">
    <w:name w:val="Title"/>
    <w:basedOn w:val="a7"/>
    <w:next w:val="a"/>
    <w:link w:val="Char2"/>
    <w:qFormat/>
    <w:pPr>
      <w:jc w:val="center"/>
    </w:pPr>
    <w:rPr>
      <w:rFonts w:ascii="仿宋_GB2312" w:eastAsia="仿宋_GB2312" w:hAnsi="仿宋"/>
    </w:rPr>
  </w:style>
  <w:style w:type="character" w:customStyle="1" w:styleId="Char2">
    <w:name w:val="标题 Char"/>
    <w:link w:val="af1"/>
    <w:qFormat/>
    <w:rPr>
      <w:rFonts w:ascii="仿宋_GB2312" w:eastAsia="仿宋_GB2312" w:hAnsi="仿宋"/>
      <w:kern w:val="2"/>
      <w:sz w:val="21"/>
      <w:szCs w:val="24"/>
    </w:rPr>
  </w:style>
  <w:style w:type="paragraph" w:styleId="af2">
    <w:name w:val="annotation subject"/>
    <w:basedOn w:val="a6"/>
    <w:next w:val="a6"/>
    <w:semiHidden/>
    <w:rPr>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annotation reference"/>
    <w:semiHidden/>
    <w:rPr>
      <w:sz w:val="21"/>
      <w:szCs w:val="21"/>
    </w:rPr>
  </w:style>
  <w:style w:type="character" w:styleId="af6">
    <w:name w:val="footnote reference"/>
    <w:semiHidden/>
    <w:rPr>
      <w:rFonts w:cs="Times New Roman"/>
      <w:vertAlign w:val="superscript"/>
    </w:rPr>
  </w:style>
  <w:style w:type="character" w:customStyle="1" w:styleId="FootnoteTextChar">
    <w:name w:val="Footnote Text Char"/>
    <w:semiHidden/>
    <w:locked/>
    <w:rPr>
      <w:rFonts w:cs="Times New Roman"/>
      <w:kern w:val="2"/>
      <w:sz w:val="18"/>
      <w:szCs w:val="18"/>
    </w:rPr>
  </w:style>
  <w:style w:type="character" w:customStyle="1" w:styleId="FooterChar">
    <w:name w:val="Footer Char"/>
    <w:semiHidden/>
    <w:locked/>
    <w:rPr>
      <w:rFonts w:cs="Times New Roman"/>
      <w:kern w:val="2"/>
      <w:sz w:val="18"/>
      <w:szCs w:val="18"/>
    </w:rPr>
  </w:style>
  <w:style w:type="character" w:customStyle="1" w:styleId="Heading2Char">
    <w:name w:val="Heading 2 Char"/>
    <w:semiHidden/>
    <w:locked/>
    <w:rPr>
      <w:rFonts w:ascii="Cambria" w:eastAsia="宋体" w:hAnsi="Cambria" w:cs="Times New Roman"/>
      <w:b/>
      <w:bCs/>
      <w:kern w:val="2"/>
      <w:sz w:val="32"/>
      <w:szCs w:val="32"/>
    </w:rPr>
  </w:style>
  <w:style w:type="character" w:customStyle="1" w:styleId="BalloonTextChar">
    <w:name w:val="Balloon Text Char"/>
    <w:semiHidden/>
    <w:locked/>
    <w:rPr>
      <w:rFonts w:cs="Times New Roman"/>
      <w:kern w:val="2"/>
      <w:sz w:val="2"/>
    </w:rPr>
  </w:style>
  <w:style w:type="character" w:customStyle="1" w:styleId="CommentSubjectChar">
    <w:name w:val="Comment Subject Char"/>
    <w:semiHidden/>
    <w:locked/>
    <w:rPr>
      <w:rFonts w:cs="Times New Roman"/>
      <w:b/>
      <w:bCs/>
      <w:kern w:val="2"/>
      <w:sz w:val="24"/>
      <w:szCs w:val="24"/>
    </w:rPr>
  </w:style>
  <w:style w:type="character" w:customStyle="1" w:styleId="CommentTextChar">
    <w:name w:val="Comment Text Char"/>
    <w:semiHidden/>
    <w:locked/>
    <w:rPr>
      <w:rFonts w:cs="Times New Roman"/>
      <w:kern w:val="2"/>
      <w:sz w:val="24"/>
      <w:szCs w:val="24"/>
    </w:rPr>
  </w:style>
  <w:style w:type="character" w:styleId="af7">
    <w:name w:val="Placeholder Text"/>
    <w:uiPriority w:val="99"/>
    <w:unhideWhenUsed/>
    <w:rPr>
      <w:color w:val="808080"/>
    </w:rPr>
  </w:style>
  <w:style w:type="character" w:customStyle="1" w:styleId="PlainTextChar">
    <w:name w:val="Plain Text Char"/>
    <w:semiHidden/>
    <w:locked/>
    <w:rPr>
      <w:rFonts w:ascii="宋体" w:hAnsi="Courier New" w:cs="Courier New"/>
      <w:kern w:val="2"/>
      <w:sz w:val="21"/>
      <w:szCs w:val="21"/>
    </w:rPr>
  </w:style>
  <w:style w:type="character" w:customStyle="1" w:styleId="msoins0">
    <w:name w:val="msoins"/>
  </w:style>
  <w:style w:type="paragraph" w:customStyle="1" w:styleId="CM43">
    <w:name w:val="CM43"/>
    <w:basedOn w:val="Default"/>
    <w:next w:val="Default"/>
    <w:pPr>
      <w:spacing w:after="130"/>
    </w:pPr>
    <w:rPr>
      <w:rFonts w:cs="Times New Roman"/>
      <w:color w:val="auto"/>
    </w:rPr>
  </w:style>
  <w:style w:type="paragraph" w:customStyle="1" w:styleId="Default">
    <w:name w:val="Default"/>
    <w:pPr>
      <w:widowControl w:val="0"/>
      <w:autoSpaceDE w:val="0"/>
      <w:autoSpaceDN w:val="0"/>
      <w:adjustRightInd w:val="0"/>
    </w:pPr>
    <w:rPr>
      <w:rFonts w:ascii="Helvetica" w:hAnsi="Helvetica" w:cs="Helvetica"/>
      <w:color w:val="000000"/>
      <w:sz w:val="24"/>
      <w:szCs w:val="24"/>
    </w:rPr>
  </w:style>
  <w:style w:type="paragraph" w:customStyle="1" w:styleId="CM3">
    <w:name w:val="CM3"/>
    <w:basedOn w:val="Default"/>
    <w:next w:val="Default"/>
    <w:rPr>
      <w:rFonts w:cs="Times New Roman"/>
      <w:color w:val="auto"/>
    </w:rPr>
  </w:style>
  <w:style w:type="paragraph" w:customStyle="1" w:styleId="entext">
    <w:name w:val="entext"/>
    <w:basedOn w:val="a"/>
    <w:pPr>
      <w:widowControl/>
      <w:spacing w:before="100" w:beforeAutospacing="1" w:after="100" w:afterAutospacing="1"/>
      <w:jc w:val="left"/>
    </w:pPr>
    <w:rPr>
      <w:rFonts w:ascii="Arial Unicode MS" w:hAnsi="Arial Unicode MS"/>
      <w:kern w:val="0"/>
      <w:sz w:val="24"/>
    </w:rPr>
  </w:style>
  <w:style w:type="paragraph" w:customStyle="1" w:styleId="Question">
    <w:name w:val="Question"/>
    <w:basedOn w:val="a"/>
    <w:next w:val="a"/>
    <w:pPr>
      <w:autoSpaceDE w:val="0"/>
      <w:autoSpaceDN w:val="0"/>
      <w:adjustRightInd w:val="0"/>
      <w:jc w:val="left"/>
    </w:pPr>
    <w:rPr>
      <w:kern w:val="0"/>
      <w:sz w:val="24"/>
    </w:rPr>
  </w:style>
  <w:style w:type="paragraph" w:styleId="af8">
    <w:name w:val="List Paragraph"/>
    <w:basedOn w:val="a"/>
    <w:qFormat/>
    <w:pPr>
      <w:ind w:firstLineChars="200" w:firstLine="420"/>
    </w:pPr>
    <w:rPr>
      <w:rFonts w:ascii="Calibri" w:hAnsi="Calibri"/>
      <w:szCs w:val="22"/>
    </w:rPr>
  </w:style>
  <w:style w:type="paragraph" w:customStyle="1" w:styleId="Paragraph">
    <w:name w:val="Paragraph"/>
    <w:basedOn w:val="a"/>
    <w:next w:val="a"/>
    <w:pPr>
      <w:autoSpaceDE w:val="0"/>
      <w:autoSpaceDN w:val="0"/>
      <w:adjustRightInd w:val="0"/>
      <w:spacing w:before="100" w:after="100"/>
      <w:jc w:val="left"/>
    </w:pPr>
    <w:rPr>
      <w:kern w:val="0"/>
      <w:sz w:val="24"/>
    </w:rPr>
  </w:style>
  <w:style w:type="paragraph" w:styleId="af9">
    <w:name w:val="Revision"/>
    <w:uiPriority w:val="99"/>
    <w:semiHidden/>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lsdException w:name="index 2" w:semiHidden="1" w:uiPriority="0"/>
    <w:lsdException w:name="index 3" w:semiHidden="1" w:uiPriority="0"/>
    <w:lsdException w:name="index 4" w:semiHidden="1" w:uiPriority="0"/>
    <w:lsdException w:name="index 5" w:semiHidden="1" w:uiPriority="0"/>
    <w:lsdException w:name="index 6" w:semiHidden="1" w:uiPriority="0"/>
    <w:lsdException w:name="index 7" w:semiHidden="1" w:uiPriority="0"/>
    <w:lsdException w:name="index 8" w:semiHidden="1" w:uiPriority="0"/>
    <w:lsdException w:name="index 9" w:semiHidden="1" w:uiPriority="0"/>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lsdException w:name="header" w:uiPriority="0"/>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iPriority="0"/>
    <w:lsdException w:name="macro" w:semiHidden="1" w:unhideWhenUsed="1"/>
    <w:lsdException w:name="toa heading" w:semiHidden="1" w:uiPriority="0"/>
    <w:lsdException w:name="List" w:uiPriority="0"/>
    <w:lsdException w:name="List Bullet" w:semiHidden="1" w:unhideWhenUsed="1"/>
    <w:lsdException w:name="List Number" w:semiHidden="1" w:unhideWhenUsed="1"/>
    <w:lsdException w:name="List 2" w:uiPriority="0"/>
    <w:lsdException w:name="List 3" w:uiPriority="0"/>
    <w:lsdException w:name="List 4" w:uiPriority="0"/>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uiPriority="0"/>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b/>
      <w:bCs/>
      <w:kern w:val="2"/>
      <w:sz w:val="32"/>
      <w:szCs w:val="32"/>
    </w:rPr>
  </w:style>
  <w:style w:type="character" w:customStyle="1" w:styleId="2Char">
    <w:name w:val="标题 2 Char"/>
    <w:link w:val="20"/>
    <w:qFormat/>
    <w:rPr>
      <w:rFonts w:ascii="黑体" w:eastAsia="黑体" w:hAnsi="黑体"/>
      <w:smallCaps/>
      <w:kern w:val="2"/>
      <w:sz w:val="30"/>
      <w:szCs w:val="30"/>
    </w:rPr>
  </w:style>
  <w:style w:type="paragraph" w:styleId="30">
    <w:name w:val="List 3"/>
    <w:basedOn w:val="a"/>
    <w:pPr>
      <w:ind w:leftChars="400" w:left="100" w:hangingChars="200" w:hanging="200"/>
    </w:pPr>
  </w:style>
  <w:style w:type="paragraph" w:styleId="a3">
    <w:name w:val="table of authorities"/>
    <w:basedOn w:val="a"/>
    <w:next w:val="a"/>
    <w:semiHidden/>
    <w:pPr>
      <w:ind w:leftChars="200" w:left="420"/>
    </w:pPr>
  </w:style>
  <w:style w:type="paragraph" w:styleId="8">
    <w:name w:val="index 8"/>
    <w:basedOn w:val="a"/>
    <w:next w:val="a"/>
    <w:semiHidden/>
    <w:pPr>
      <w:ind w:leftChars="1400" w:left="1400"/>
    </w:pPr>
  </w:style>
  <w:style w:type="paragraph" w:styleId="5">
    <w:name w:val="index 5"/>
    <w:basedOn w:val="a"/>
    <w:next w:val="a"/>
    <w:semiHidden/>
    <w:pPr>
      <w:ind w:leftChars="800" w:left="800"/>
    </w:p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kern w:val="2"/>
      <w:sz w:val="18"/>
      <w:szCs w:val="18"/>
    </w:rPr>
  </w:style>
  <w:style w:type="paragraph" w:styleId="a5">
    <w:name w:val="toa heading"/>
    <w:basedOn w:val="a"/>
    <w:next w:val="a"/>
    <w:semiHidden/>
    <w:pPr>
      <w:spacing w:before="120"/>
    </w:pPr>
    <w:rPr>
      <w:rFonts w:ascii="Arial" w:hAnsi="Arial"/>
      <w:b/>
      <w:bCs/>
    </w:rPr>
  </w:style>
  <w:style w:type="paragraph" w:styleId="a6">
    <w:name w:val="annotation text"/>
    <w:basedOn w:val="a"/>
    <w:semiHidden/>
    <w:pPr>
      <w:jc w:val="left"/>
    </w:pPr>
  </w:style>
  <w:style w:type="paragraph" w:styleId="6">
    <w:name w:val="index 6"/>
    <w:basedOn w:val="a"/>
    <w:next w:val="a"/>
    <w:semiHidden/>
    <w:pPr>
      <w:ind w:leftChars="1000" w:left="1000"/>
    </w:pPr>
  </w:style>
  <w:style w:type="paragraph" w:styleId="a7">
    <w:name w:val="Body Text"/>
    <w:basedOn w:val="a"/>
    <w:pPr>
      <w:spacing w:after="120"/>
    </w:pPr>
  </w:style>
  <w:style w:type="paragraph" w:styleId="a8">
    <w:name w:val="Body Text Indent"/>
    <w:basedOn w:val="a"/>
    <w:pPr>
      <w:spacing w:after="120"/>
      <w:ind w:leftChars="200" w:left="420"/>
    </w:pPr>
  </w:style>
  <w:style w:type="paragraph" w:styleId="21">
    <w:name w:val="List 2"/>
    <w:basedOn w:val="a"/>
    <w:pPr>
      <w:ind w:leftChars="200" w:left="100" w:hangingChars="200" w:hanging="200"/>
    </w:pPr>
  </w:style>
  <w:style w:type="paragraph" w:styleId="a9">
    <w:name w:val="List Continue"/>
    <w:basedOn w:val="a"/>
    <w:pPr>
      <w:spacing w:after="120"/>
      <w:ind w:leftChars="200" w:left="420"/>
    </w:pPr>
  </w:style>
  <w:style w:type="paragraph" w:styleId="2">
    <w:name w:val="List Bullet 2"/>
    <w:basedOn w:val="a"/>
    <w:pPr>
      <w:numPr>
        <w:numId w:val="1"/>
      </w:numPr>
      <w:tabs>
        <w:tab w:val="left" w:pos="780"/>
      </w:tabs>
    </w:pPr>
  </w:style>
  <w:style w:type="paragraph" w:styleId="4">
    <w:name w:val="index 4"/>
    <w:basedOn w:val="a"/>
    <w:next w:val="a"/>
    <w:semiHidden/>
    <w:pPr>
      <w:ind w:leftChars="600" w:left="600"/>
    </w:pPr>
  </w:style>
  <w:style w:type="paragraph" w:styleId="aa">
    <w:name w:val="Plain Text"/>
    <w:basedOn w:val="a"/>
    <w:rPr>
      <w:rFonts w:ascii="宋体" w:hAnsi="Courier New" w:cs="仿宋_GB2312"/>
      <w:szCs w:val="21"/>
    </w:rPr>
  </w:style>
  <w:style w:type="paragraph" w:styleId="31">
    <w:name w:val="index 3"/>
    <w:basedOn w:val="a"/>
    <w:next w:val="a"/>
    <w:semiHidden/>
    <w:pPr>
      <w:ind w:leftChars="400" w:left="400"/>
    </w:pPr>
  </w:style>
  <w:style w:type="paragraph" w:styleId="22">
    <w:name w:val="Body Text Indent 2"/>
    <w:basedOn w:val="a"/>
    <w:pPr>
      <w:ind w:firstLineChars="239" w:firstLine="720"/>
    </w:pPr>
    <w:rPr>
      <w:b/>
      <w:bCs/>
      <w:sz w:val="30"/>
    </w:rPr>
  </w:style>
  <w:style w:type="paragraph" w:styleId="ab">
    <w:name w:val="Balloon Text"/>
    <w:basedOn w:val="a"/>
    <w:semiHidden/>
    <w:rPr>
      <w:sz w:val="18"/>
      <w:szCs w:val="18"/>
    </w:rPr>
  </w:style>
  <w:style w:type="paragraph" w:styleId="ac">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c"/>
    <w:uiPriority w:val="99"/>
    <w:rPr>
      <w:kern w:val="2"/>
      <w:sz w:val="18"/>
      <w:szCs w:val="18"/>
    </w:rPr>
  </w:style>
  <w:style w:type="paragraph" w:styleId="ad">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Pr>
      <w:kern w:val="2"/>
      <w:sz w:val="18"/>
      <w:szCs w:val="18"/>
    </w:rPr>
  </w:style>
  <w:style w:type="paragraph" w:styleId="ae">
    <w:name w:val="index heading"/>
    <w:basedOn w:val="a"/>
    <w:next w:val="10"/>
    <w:semiHidden/>
  </w:style>
  <w:style w:type="paragraph" w:styleId="10">
    <w:name w:val="index 1"/>
    <w:basedOn w:val="a"/>
    <w:next w:val="a"/>
    <w:semiHidden/>
  </w:style>
  <w:style w:type="paragraph" w:styleId="af">
    <w:name w:val="List"/>
    <w:basedOn w:val="a"/>
    <w:pPr>
      <w:ind w:left="200" w:hangingChars="200" w:hanging="200"/>
    </w:pPr>
  </w:style>
  <w:style w:type="paragraph" w:styleId="af0">
    <w:name w:val="footnote text"/>
    <w:basedOn w:val="a"/>
    <w:semiHidden/>
    <w:pPr>
      <w:snapToGrid w:val="0"/>
      <w:jc w:val="left"/>
    </w:pPr>
    <w:rPr>
      <w:sz w:val="18"/>
      <w:szCs w:val="18"/>
    </w:rPr>
  </w:style>
  <w:style w:type="paragraph" w:styleId="32">
    <w:name w:val="Body Text Indent 3"/>
    <w:basedOn w:val="a"/>
    <w:pPr>
      <w:ind w:firstLineChars="179" w:firstLine="537"/>
    </w:pPr>
    <w:rPr>
      <w:sz w:val="30"/>
    </w:rPr>
  </w:style>
  <w:style w:type="paragraph" w:styleId="7">
    <w:name w:val="index 7"/>
    <w:basedOn w:val="a"/>
    <w:next w:val="a"/>
    <w:semiHidden/>
    <w:pPr>
      <w:ind w:leftChars="1200" w:left="1200"/>
    </w:pPr>
  </w:style>
  <w:style w:type="paragraph" w:styleId="9">
    <w:name w:val="index 9"/>
    <w:basedOn w:val="a"/>
    <w:next w:val="a"/>
    <w:semiHidden/>
    <w:pPr>
      <w:ind w:leftChars="1600" w:left="1600"/>
    </w:pPr>
  </w:style>
  <w:style w:type="paragraph" w:styleId="23">
    <w:name w:val="Body Text 2"/>
    <w:basedOn w:val="a"/>
    <w:rPr>
      <w:b/>
      <w:bCs/>
      <w:sz w:val="30"/>
    </w:rPr>
  </w:style>
  <w:style w:type="paragraph" w:styleId="40">
    <w:name w:val="List 4"/>
    <w:basedOn w:val="a"/>
    <w:pPr>
      <w:ind w:leftChars="600" w:left="100" w:hangingChars="200" w:hanging="200"/>
    </w:pPr>
  </w:style>
  <w:style w:type="paragraph" w:styleId="24">
    <w:name w:val="List Continue 2"/>
    <w:basedOn w:val="a"/>
    <w:pPr>
      <w:spacing w:after="120"/>
      <w:ind w:leftChars="400" w:left="840"/>
    </w:pPr>
  </w:style>
  <w:style w:type="paragraph" w:styleId="25">
    <w:name w:val="index 2"/>
    <w:basedOn w:val="a"/>
    <w:next w:val="a"/>
    <w:semiHidden/>
    <w:pPr>
      <w:ind w:leftChars="200" w:left="200"/>
    </w:pPr>
  </w:style>
  <w:style w:type="paragraph" w:styleId="af1">
    <w:name w:val="Title"/>
    <w:basedOn w:val="a7"/>
    <w:next w:val="a"/>
    <w:link w:val="Char2"/>
    <w:qFormat/>
    <w:pPr>
      <w:jc w:val="center"/>
    </w:pPr>
    <w:rPr>
      <w:rFonts w:ascii="仿宋_GB2312" w:eastAsia="仿宋_GB2312" w:hAnsi="仿宋"/>
    </w:rPr>
  </w:style>
  <w:style w:type="character" w:customStyle="1" w:styleId="Char2">
    <w:name w:val="标题 Char"/>
    <w:link w:val="af1"/>
    <w:qFormat/>
    <w:rPr>
      <w:rFonts w:ascii="仿宋_GB2312" w:eastAsia="仿宋_GB2312" w:hAnsi="仿宋"/>
      <w:kern w:val="2"/>
      <w:sz w:val="21"/>
      <w:szCs w:val="24"/>
    </w:rPr>
  </w:style>
  <w:style w:type="paragraph" w:styleId="af2">
    <w:name w:val="annotation subject"/>
    <w:basedOn w:val="a6"/>
    <w:next w:val="a6"/>
    <w:semiHidden/>
    <w:rPr>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annotation reference"/>
    <w:semiHidden/>
    <w:rPr>
      <w:sz w:val="21"/>
      <w:szCs w:val="21"/>
    </w:rPr>
  </w:style>
  <w:style w:type="character" w:styleId="af6">
    <w:name w:val="footnote reference"/>
    <w:semiHidden/>
    <w:rPr>
      <w:rFonts w:cs="Times New Roman"/>
      <w:vertAlign w:val="superscript"/>
    </w:rPr>
  </w:style>
  <w:style w:type="character" w:customStyle="1" w:styleId="FootnoteTextChar">
    <w:name w:val="Footnote Text Char"/>
    <w:semiHidden/>
    <w:locked/>
    <w:rPr>
      <w:rFonts w:cs="Times New Roman"/>
      <w:kern w:val="2"/>
      <w:sz w:val="18"/>
      <w:szCs w:val="18"/>
    </w:rPr>
  </w:style>
  <w:style w:type="character" w:customStyle="1" w:styleId="FooterChar">
    <w:name w:val="Footer Char"/>
    <w:semiHidden/>
    <w:locked/>
    <w:rPr>
      <w:rFonts w:cs="Times New Roman"/>
      <w:kern w:val="2"/>
      <w:sz w:val="18"/>
      <w:szCs w:val="18"/>
    </w:rPr>
  </w:style>
  <w:style w:type="character" w:customStyle="1" w:styleId="Heading2Char">
    <w:name w:val="Heading 2 Char"/>
    <w:semiHidden/>
    <w:locked/>
    <w:rPr>
      <w:rFonts w:ascii="Cambria" w:eastAsia="宋体" w:hAnsi="Cambria" w:cs="Times New Roman"/>
      <w:b/>
      <w:bCs/>
      <w:kern w:val="2"/>
      <w:sz w:val="32"/>
      <w:szCs w:val="32"/>
    </w:rPr>
  </w:style>
  <w:style w:type="character" w:customStyle="1" w:styleId="BalloonTextChar">
    <w:name w:val="Balloon Text Char"/>
    <w:semiHidden/>
    <w:locked/>
    <w:rPr>
      <w:rFonts w:cs="Times New Roman"/>
      <w:kern w:val="2"/>
      <w:sz w:val="2"/>
    </w:rPr>
  </w:style>
  <w:style w:type="character" w:customStyle="1" w:styleId="CommentSubjectChar">
    <w:name w:val="Comment Subject Char"/>
    <w:semiHidden/>
    <w:locked/>
    <w:rPr>
      <w:rFonts w:cs="Times New Roman"/>
      <w:b/>
      <w:bCs/>
      <w:kern w:val="2"/>
      <w:sz w:val="24"/>
      <w:szCs w:val="24"/>
    </w:rPr>
  </w:style>
  <w:style w:type="character" w:customStyle="1" w:styleId="CommentTextChar">
    <w:name w:val="Comment Text Char"/>
    <w:semiHidden/>
    <w:locked/>
    <w:rPr>
      <w:rFonts w:cs="Times New Roman"/>
      <w:kern w:val="2"/>
      <w:sz w:val="24"/>
      <w:szCs w:val="24"/>
    </w:rPr>
  </w:style>
  <w:style w:type="character" w:styleId="af7">
    <w:name w:val="Placeholder Text"/>
    <w:uiPriority w:val="99"/>
    <w:unhideWhenUsed/>
    <w:rPr>
      <w:color w:val="808080"/>
    </w:rPr>
  </w:style>
  <w:style w:type="character" w:customStyle="1" w:styleId="PlainTextChar">
    <w:name w:val="Plain Text Char"/>
    <w:semiHidden/>
    <w:locked/>
    <w:rPr>
      <w:rFonts w:ascii="宋体" w:hAnsi="Courier New" w:cs="Courier New"/>
      <w:kern w:val="2"/>
      <w:sz w:val="21"/>
      <w:szCs w:val="21"/>
    </w:rPr>
  </w:style>
  <w:style w:type="character" w:customStyle="1" w:styleId="msoins0">
    <w:name w:val="msoins"/>
  </w:style>
  <w:style w:type="paragraph" w:customStyle="1" w:styleId="CM43">
    <w:name w:val="CM43"/>
    <w:basedOn w:val="Default"/>
    <w:next w:val="Default"/>
    <w:pPr>
      <w:spacing w:after="130"/>
    </w:pPr>
    <w:rPr>
      <w:rFonts w:cs="Times New Roman"/>
      <w:color w:val="auto"/>
    </w:rPr>
  </w:style>
  <w:style w:type="paragraph" w:customStyle="1" w:styleId="Default">
    <w:name w:val="Default"/>
    <w:pPr>
      <w:widowControl w:val="0"/>
      <w:autoSpaceDE w:val="0"/>
      <w:autoSpaceDN w:val="0"/>
      <w:adjustRightInd w:val="0"/>
    </w:pPr>
    <w:rPr>
      <w:rFonts w:ascii="Helvetica" w:hAnsi="Helvetica" w:cs="Helvetica"/>
      <w:color w:val="000000"/>
      <w:sz w:val="24"/>
      <w:szCs w:val="24"/>
    </w:rPr>
  </w:style>
  <w:style w:type="paragraph" w:customStyle="1" w:styleId="CM3">
    <w:name w:val="CM3"/>
    <w:basedOn w:val="Default"/>
    <w:next w:val="Default"/>
    <w:rPr>
      <w:rFonts w:cs="Times New Roman"/>
      <w:color w:val="auto"/>
    </w:rPr>
  </w:style>
  <w:style w:type="paragraph" w:customStyle="1" w:styleId="entext">
    <w:name w:val="entext"/>
    <w:basedOn w:val="a"/>
    <w:pPr>
      <w:widowControl/>
      <w:spacing w:before="100" w:beforeAutospacing="1" w:after="100" w:afterAutospacing="1"/>
      <w:jc w:val="left"/>
    </w:pPr>
    <w:rPr>
      <w:rFonts w:ascii="Arial Unicode MS" w:hAnsi="Arial Unicode MS"/>
      <w:kern w:val="0"/>
      <w:sz w:val="24"/>
    </w:rPr>
  </w:style>
  <w:style w:type="paragraph" w:customStyle="1" w:styleId="Question">
    <w:name w:val="Question"/>
    <w:basedOn w:val="a"/>
    <w:next w:val="a"/>
    <w:pPr>
      <w:autoSpaceDE w:val="0"/>
      <w:autoSpaceDN w:val="0"/>
      <w:adjustRightInd w:val="0"/>
      <w:jc w:val="left"/>
    </w:pPr>
    <w:rPr>
      <w:kern w:val="0"/>
      <w:sz w:val="24"/>
    </w:rPr>
  </w:style>
  <w:style w:type="paragraph" w:styleId="af8">
    <w:name w:val="List Paragraph"/>
    <w:basedOn w:val="a"/>
    <w:qFormat/>
    <w:pPr>
      <w:ind w:firstLineChars="200" w:firstLine="420"/>
    </w:pPr>
    <w:rPr>
      <w:rFonts w:ascii="Calibri" w:hAnsi="Calibri"/>
      <w:szCs w:val="22"/>
    </w:rPr>
  </w:style>
  <w:style w:type="paragraph" w:customStyle="1" w:styleId="Paragraph">
    <w:name w:val="Paragraph"/>
    <w:basedOn w:val="a"/>
    <w:next w:val="a"/>
    <w:pPr>
      <w:autoSpaceDE w:val="0"/>
      <w:autoSpaceDN w:val="0"/>
      <w:adjustRightInd w:val="0"/>
      <w:spacing w:before="100" w:after="100"/>
      <w:jc w:val="left"/>
    </w:pPr>
    <w:rPr>
      <w:kern w:val="0"/>
      <w:sz w:val="24"/>
    </w:rPr>
  </w:style>
  <w:style w:type="paragraph" w:styleId="af9">
    <w:name w:val="Revisio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image" Target="media/image36.wmf"/><Relationship Id="rId89" Type="http://schemas.openxmlformats.org/officeDocument/2006/relationships/oleObject" Target="embeddings/oleObject44.bin"/><Relationship Id="rId97"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5.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14455</Words>
  <Characters>2421</Characters>
  <Application>Microsoft Office Word</Application>
  <DocSecurity>0</DocSecurity>
  <Lines>20</Lines>
  <Paragraphs>33</Paragraphs>
  <ScaleCrop>false</ScaleCrop>
  <Company>boc</Company>
  <LinksUpToDate>false</LinksUpToDate>
  <CharactersWithSpaces>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附件11</dc:title>
  <dc:creator>admin</dc:creator>
  <cp:lastModifiedBy>梁爽</cp:lastModifiedBy>
  <cp:revision>3</cp:revision>
  <cp:lastPrinted>2011-03-18T16:03:00Z</cp:lastPrinted>
  <dcterms:created xsi:type="dcterms:W3CDTF">2023-02-17T06:48:00Z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2530A9893F084E8BADD72D36BBD1841D</vt:lpwstr>
  </property>
</Properties>
</file>