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611" w:rsidRPr="003F3E11" w:rsidRDefault="00A51611" w:rsidP="003F3E11">
      <w:pPr>
        <w:pStyle w:val="ad"/>
        <w:jc w:val="left"/>
        <w:rPr>
          <w:rFonts w:ascii="楷体_GB2312" w:eastAsia="楷体_GB2312"/>
          <w:sz w:val="32"/>
          <w:szCs w:val="30"/>
        </w:rPr>
      </w:pPr>
      <w:r w:rsidRPr="003F3E11">
        <w:rPr>
          <w:rFonts w:ascii="楷体_GB2312" w:eastAsia="楷体_GB2312" w:hint="eastAsia"/>
          <w:sz w:val="32"/>
          <w:szCs w:val="30"/>
        </w:rPr>
        <w:t>附件18：</w:t>
      </w:r>
    </w:p>
    <w:p w:rsidR="00A51611" w:rsidRPr="003F3E11" w:rsidRDefault="00A51611" w:rsidP="003F3E11">
      <w:pPr>
        <w:pStyle w:val="1"/>
        <w:ind w:firstLineChars="0" w:firstLine="0"/>
        <w:jc w:val="center"/>
      </w:pPr>
      <w:r w:rsidRPr="003F3E11">
        <w:rPr>
          <w:rFonts w:hint="eastAsia"/>
        </w:rPr>
        <w:t>操作风险资本计量监管要求</w:t>
      </w:r>
    </w:p>
    <w:p w:rsidR="00A51611" w:rsidRDefault="00A51611">
      <w:pPr>
        <w:spacing w:line="480" w:lineRule="exact"/>
        <w:jc w:val="center"/>
        <w:rPr>
          <w:rFonts w:ascii="黑体" w:eastAsia="黑体" w:hAnsi="黑体"/>
          <w:b/>
          <w:sz w:val="36"/>
          <w:szCs w:val="36"/>
        </w:rPr>
      </w:pPr>
    </w:p>
    <w:p w:rsidR="00A51611" w:rsidRPr="003F3E11" w:rsidRDefault="00A51611" w:rsidP="003F3E11">
      <w:pPr>
        <w:pStyle w:val="2"/>
      </w:pPr>
      <w:r w:rsidRPr="003F3E11">
        <w:rPr>
          <w:rFonts w:hint="eastAsia"/>
        </w:rPr>
        <w:t>一、标准法</w:t>
      </w:r>
    </w:p>
    <w:p w:rsidR="00A51611" w:rsidRPr="003F3E11" w:rsidRDefault="00A51611" w:rsidP="003F3E11">
      <w:pPr>
        <w:pStyle w:val="ab"/>
        <w:spacing w:line="480" w:lineRule="exact"/>
        <w:ind w:firstLine="600"/>
        <w:rPr>
          <w:rFonts w:ascii="楷体_GB2312" w:eastAsia="楷体_GB2312" w:hAnsi="黑体"/>
          <w:sz w:val="30"/>
          <w:szCs w:val="30"/>
        </w:rPr>
      </w:pPr>
      <w:r w:rsidRPr="003F3E11">
        <w:rPr>
          <w:rFonts w:ascii="楷体_GB2312" w:eastAsia="楷体_GB2312" w:hAnsi="黑体" w:hint="eastAsia"/>
          <w:sz w:val="30"/>
          <w:szCs w:val="30"/>
        </w:rPr>
        <w:t>（一）业务指标定义</w:t>
      </w:r>
    </w:p>
    <w:p w:rsidR="00A51611" w:rsidRDefault="00A51611">
      <w:pPr>
        <w:spacing w:line="480" w:lineRule="exact"/>
        <w:ind w:firstLineChars="200" w:firstLine="600"/>
        <w:rPr>
          <w:rFonts w:ascii="仿宋_GB2312" w:eastAsia="仿宋_GB2312" w:hAnsi="黑体"/>
          <w:sz w:val="30"/>
          <w:szCs w:val="30"/>
        </w:rPr>
      </w:pPr>
      <w:r>
        <w:rPr>
          <w:rFonts w:ascii="仿宋_GB2312" w:eastAsia="仿宋_GB2312" w:hAnsi="宋体" w:hint="eastAsia"/>
          <w:sz w:val="30"/>
          <w:szCs w:val="30"/>
        </w:rPr>
        <w:t>业务指标（BI）为利息、租赁和分红部分（ILDC）,服务部分（SC）,金融部分（FC）之</w:t>
      </w:r>
      <w:proofErr w:type="gramStart"/>
      <w:r>
        <w:rPr>
          <w:rFonts w:ascii="仿宋_GB2312" w:eastAsia="仿宋_GB2312" w:hAnsi="宋体" w:hint="eastAsia"/>
          <w:sz w:val="30"/>
          <w:szCs w:val="30"/>
        </w:rPr>
        <w:t>和</w:t>
      </w:r>
      <w:proofErr w:type="gramEnd"/>
      <w:r>
        <w:rPr>
          <w:rFonts w:ascii="仿宋_GB2312" w:eastAsia="仿宋_GB2312" w:hAnsi="宋体" w:hint="eastAsia"/>
          <w:sz w:val="30"/>
          <w:szCs w:val="30"/>
        </w:rPr>
        <w:t>。业务指标构成说明见表1。</w:t>
      </w:r>
    </w:p>
    <w:p w:rsidR="00A51611" w:rsidRDefault="00A51611">
      <w:pPr>
        <w:spacing w:line="480" w:lineRule="exact"/>
        <w:jc w:val="center"/>
        <w:rPr>
          <w:rFonts w:ascii="楷体_GB2312" w:eastAsia="楷体_GB2312" w:hAnsi="宋体"/>
          <w:b/>
          <w:sz w:val="28"/>
          <w:szCs w:val="28"/>
        </w:rPr>
      </w:pPr>
      <w:r>
        <w:rPr>
          <w:rFonts w:ascii="楷体_GB2312" w:eastAsia="楷体_GB2312" w:hAnsi="宋体" w:hint="eastAsia"/>
          <w:b/>
          <w:sz w:val="28"/>
          <w:szCs w:val="28"/>
        </w:rPr>
        <w:t>表1 业务指标构成说明</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1"/>
        <w:gridCol w:w="1326"/>
        <w:gridCol w:w="2550"/>
        <w:gridCol w:w="127"/>
        <w:gridCol w:w="4111"/>
      </w:tblGrid>
      <w:tr w:rsidR="00A51611">
        <w:trPr>
          <w:trHeight w:val="336"/>
        </w:trPr>
        <w:tc>
          <w:tcPr>
            <w:tcW w:w="1211" w:type="dxa"/>
            <w:vAlign w:val="center"/>
          </w:tcPr>
          <w:p w:rsidR="00A51611" w:rsidRDefault="00A51611" w:rsidP="003F3E11">
            <w:pPr>
              <w:widowControl/>
              <w:jc w:val="left"/>
              <w:rPr>
                <w:rFonts w:ascii="宋体" w:hAnsi="宋体" w:cs="宋体"/>
                <w:b/>
                <w:kern w:val="0"/>
                <w:sz w:val="24"/>
                <w:szCs w:val="24"/>
              </w:rPr>
            </w:pPr>
            <w:r>
              <w:rPr>
                <w:rFonts w:ascii="宋体" w:hAnsi="宋体" w:cs="宋体" w:hint="eastAsia"/>
                <w:b/>
                <w:kern w:val="0"/>
                <w:sz w:val="24"/>
                <w:szCs w:val="24"/>
              </w:rPr>
              <w:t>组成部分</w:t>
            </w:r>
          </w:p>
        </w:tc>
        <w:tc>
          <w:tcPr>
            <w:tcW w:w="1326" w:type="dxa"/>
            <w:vAlign w:val="center"/>
          </w:tcPr>
          <w:p w:rsidR="00A51611" w:rsidRDefault="00A51611" w:rsidP="003F3E11">
            <w:pPr>
              <w:widowControl/>
              <w:jc w:val="center"/>
              <w:rPr>
                <w:rFonts w:ascii="宋体" w:hAnsi="宋体" w:cs="宋体"/>
                <w:b/>
                <w:kern w:val="0"/>
                <w:sz w:val="24"/>
                <w:szCs w:val="24"/>
              </w:rPr>
            </w:pPr>
            <w:r>
              <w:rPr>
                <w:rFonts w:ascii="宋体" w:hAnsi="宋体" w:cs="宋体" w:hint="eastAsia"/>
                <w:b/>
                <w:kern w:val="0"/>
                <w:sz w:val="24"/>
                <w:szCs w:val="24"/>
              </w:rPr>
              <w:t>项目</w:t>
            </w:r>
          </w:p>
        </w:tc>
        <w:tc>
          <w:tcPr>
            <w:tcW w:w="2550" w:type="dxa"/>
            <w:vAlign w:val="center"/>
          </w:tcPr>
          <w:p w:rsidR="00A51611" w:rsidRDefault="00A51611" w:rsidP="003F3E11">
            <w:pPr>
              <w:widowControl/>
              <w:jc w:val="center"/>
              <w:rPr>
                <w:rFonts w:ascii="宋体" w:hAnsi="宋体" w:cs="宋体"/>
                <w:b/>
                <w:kern w:val="0"/>
                <w:sz w:val="24"/>
                <w:szCs w:val="24"/>
              </w:rPr>
            </w:pPr>
            <w:r>
              <w:rPr>
                <w:rFonts w:ascii="宋体" w:hAnsi="宋体" w:cs="宋体" w:hint="eastAsia"/>
                <w:b/>
                <w:kern w:val="0"/>
                <w:sz w:val="24"/>
                <w:szCs w:val="24"/>
              </w:rPr>
              <w:t>定义</w:t>
            </w:r>
          </w:p>
        </w:tc>
        <w:tc>
          <w:tcPr>
            <w:tcW w:w="4238" w:type="dxa"/>
            <w:gridSpan w:val="2"/>
            <w:vAlign w:val="center"/>
          </w:tcPr>
          <w:p w:rsidR="00A51611" w:rsidRDefault="00A51611" w:rsidP="003F3E11">
            <w:pPr>
              <w:widowControl/>
              <w:jc w:val="center"/>
              <w:rPr>
                <w:rFonts w:ascii="宋体" w:hAnsi="宋体" w:cs="宋体"/>
                <w:b/>
                <w:kern w:val="0"/>
                <w:sz w:val="24"/>
                <w:szCs w:val="24"/>
              </w:rPr>
            </w:pPr>
            <w:r>
              <w:rPr>
                <w:rFonts w:ascii="宋体" w:hAnsi="宋体" w:cs="宋体" w:hint="eastAsia"/>
                <w:b/>
                <w:kern w:val="0"/>
                <w:sz w:val="24"/>
                <w:szCs w:val="24"/>
              </w:rPr>
              <w:t>典型的子项目</w:t>
            </w:r>
          </w:p>
        </w:tc>
      </w:tr>
      <w:tr w:rsidR="00A51611">
        <w:trPr>
          <w:trHeight w:val="2356"/>
        </w:trPr>
        <w:tc>
          <w:tcPr>
            <w:tcW w:w="1211" w:type="dxa"/>
            <w:vMerge w:val="restart"/>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利息</w:t>
            </w:r>
            <w:r>
              <w:rPr>
                <w:rFonts w:ascii="宋体" w:hAnsi="宋体" w:cs="彩虹粗仿宋" w:hint="eastAsia"/>
                <w:kern w:val="0"/>
                <w:sz w:val="24"/>
                <w:szCs w:val="24"/>
              </w:rPr>
              <w:t>、</w:t>
            </w:r>
            <w:r>
              <w:rPr>
                <w:rFonts w:ascii="宋体" w:hAnsi="宋体" w:cs="宋体" w:hint="eastAsia"/>
                <w:kern w:val="0"/>
                <w:sz w:val="24"/>
                <w:szCs w:val="24"/>
              </w:rPr>
              <w:t>租赁和分红</w:t>
            </w: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利息收入</w:t>
            </w:r>
          </w:p>
        </w:tc>
        <w:tc>
          <w:tcPr>
            <w:tcW w:w="2550"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所有金融资产的利息收入和其他利息收入(包括融资租赁的利息收入和经营租赁的租金收入，租赁资产的收益）</w:t>
            </w:r>
          </w:p>
        </w:tc>
        <w:tc>
          <w:tcPr>
            <w:tcW w:w="4238" w:type="dxa"/>
            <w:gridSpan w:val="2"/>
            <w:vAlign w:val="center"/>
          </w:tcPr>
          <w:p w:rsidR="00A51611" w:rsidRDefault="00A51611" w:rsidP="003F3E11">
            <w:pPr>
              <w:widowControl/>
              <w:jc w:val="left"/>
              <w:rPr>
                <w:rFonts w:ascii="宋体" w:hAnsi="宋体" w:cs="彩虹粗仿宋"/>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以下项目获得的利息收入：贷款和垫款、金融投资-债权投资、金融投资-其他债权投资、交易性金融资产、融资租赁</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套期保值衍生品的利息收入</w:t>
            </w:r>
          </w:p>
          <w:p w:rsidR="00A51611" w:rsidRDefault="00A51611" w:rsidP="003F3E11">
            <w:pPr>
              <w:widowControl/>
              <w:jc w:val="left"/>
              <w:rPr>
                <w:rFonts w:ascii="宋体" w:hAnsi="宋体" w:cs="彩虹粗仿宋"/>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其他利息收入</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经营租赁的租金收入</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租赁资产的收益</w:t>
            </w:r>
          </w:p>
        </w:tc>
      </w:tr>
      <w:tr w:rsidR="00A51611">
        <w:trPr>
          <w:trHeight w:val="2356"/>
        </w:trPr>
        <w:tc>
          <w:tcPr>
            <w:tcW w:w="1211" w:type="dxa"/>
            <w:vMerge/>
            <w:vAlign w:val="center"/>
          </w:tcPr>
          <w:p w:rsidR="00A51611" w:rsidRDefault="00A51611" w:rsidP="003F3E11">
            <w:pPr>
              <w:widowControl/>
              <w:jc w:val="left"/>
              <w:rPr>
                <w:rFonts w:ascii="宋体" w:hAnsi="宋体" w:cs="宋体"/>
                <w:kern w:val="0"/>
                <w:sz w:val="24"/>
                <w:szCs w:val="24"/>
              </w:rPr>
            </w:pP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利息支出</w:t>
            </w:r>
          </w:p>
        </w:tc>
        <w:tc>
          <w:tcPr>
            <w:tcW w:w="2550"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所有金融负债的利息支出和其他利息支出(包括租赁业务的利息支出，租赁资产的损失、折旧和减值)</w:t>
            </w:r>
          </w:p>
        </w:tc>
        <w:tc>
          <w:tcPr>
            <w:tcW w:w="4238" w:type="dxa"/>
            <w:gridSpan w:val="2"/>
            <w:vAlign w:val="center"/>
          </w:tcPr>
          <w:p w:rsidR="00A51611" w:rsidRDefault="00A51611" w:rsidP="003F3E11">
            <w:pPr>
              <w:widowControl/>
              <w:jc w:val="left"/>
              <w:rPr>
                <w:rFonts w:ascii="宋体" w:hAnsi="宋体" w:cs="彩虹粗仿宋"/>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以下项目的利息支出：存款、已发行债券、租赁业务</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套期保值衍生品的利息支出</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其他利息支出</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租赁资产的损失</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租赁资产的折旧和减</w:t>
            </w:r>
            <w:r>
              <w:rPr>
                <w:rFonts w:ascii="宋体" w:hAnsi="宋体" w:cs="宋体" w:hint="eastAsia"/>
                <w:kern w:val="0"/>
                <w:sz w:val="24"/>
                <w:szCs w:val="24"/>
              </w:rPr>
              <w:t>值</w:t>
            </w:r>
          </w:p>
        </w:tc>
      </w:tr>
      <w:tr w:rsidR="00A51611">
        <w:trPr>
          <w:trHeight w:val="673"/>
        </w:trPr>
        <w:tc>
          <w:tcPr>
            <w:tcW w:w="1211" w:type="dxa"/>
            <w:vMerge/>
            <w:vAlign w:val="center"/>
          </w:tcPr>
          <w:p w:rsidR="00A51611" w:rsidRDefault="00A51611" w:rsidP="003F3E11">
            <w:pPr>
              <w:widowControl/>
              <w:jc w:val="left"/>
              <w:rPr>
                <w:rFonts w:ascii="宋体" w:hAnsi="宋体" w:cs="宋体"/>
                <w:kern w:val="0"/>
                <w:sz w:val="24"/>
                <w:szCs w:val="24"/>
              </w:rPr>
            </w:pP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生息资产</w:t>
            </w:r>
          </w:p>
        </w:tc>
        <w:tc>
          <w:tcPr>
            <w:tcW w:w="6788" w:type="dxa"/>
            <w:gridSpan w:val="3"/>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此为资产负债表项目；</w:t>
            </w:r>
            <w:proofErr w:type="gramStart"/>
            <w:r>
              <w:rPr>
                <w:rFonts w:ascii="宋体" w:hAnsi="宋体" w:cs="宋体" w:hint="eastAsia"/>
                <w:kern w:val="0"/>
                <w:sz w:val="24"/>
                <w:szCs w:val="24"/>
              </w:rPr>
              <w:t>未偿</w:t>
            </w:r>
            <w:proofErr w:type="gramEnd"/>
            <w:r>
              <w:rPr>
                <w:rFonts w:ascii="宋体" w:hAnsi="宋体" w:cs="宋体" w:hint="eastAsia"/>
                <w:kern w:val="0"/>
                <w:sz w:val="24"/>
                <w:szCs w:val="24"/>
              </w:rPr>
              <w:t>还贷款和垫款、生息债券(包括政府债券)以及租赁资产年末价值的总额</w:t>
            </w:r>
          </w:p>
        </w:tc>
      </w:tr>
      <w:tr w:rsidR="00A51611">
        <w:trPr>
          <w:trHeight w:val="336"/>
        </w:trPr>
        <w:tc>
          <w:tcPr>
            <w:tcW w:w="1211" w:type="dxa"/>
            <w:vMerge/>
            <w:vAlign w:val="center"/>
          </w:tcPr>
          <w:p w:rsidR="00A51611" w:rsidRDefault="00A51611" w:rsidP="003F3E11">
            <w:pPr>
              <w:widowControl/>
              <w:jc w:val="left"/>
              <w:rPr>
                <w:rFonts w:ascii="宋体" w:hAnsi="宋体" w:cs="宋体"/>
                <w:kern w:val="0"/>
                <w:sz w:val="24"/>
                <w:szCs w:val="24"/>
              </w:rPr>
            </w:pP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分红收入</w:t>
            </w:r>
          </w:p>
        </w:tc>
        <w:tc>
          <w:tcPr>
            <w:tcW w:w="6788" w:type="dxa"/>
            <w:gridSpan w:val="3"/>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未纳入商业银行合并财务报表的股权、基金等投资的分红收入，包括未并表子公司、联营公司和合营公司</w:t>
            </w:r>
          </w:p>
        </w:tc>
      </w:tr>
      <w:tr w:rsidR="00A51611">
        <w:trPr>
          <w:trHeight w:val="983"/>
        </w:trPr>
        <w:tc>
          <w:tcPr>
            <w:tcW w:w="1211" w:type="dxa"/>
            <w:vMerge w:val="restart"/>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服务</w:t>
            </w: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手续费和佣金收入</w:t>
            </w:r>
          </w:p>
        </w:tc>
        <w:tc>
          <w:tcPr>
            <w:tcW w:w="2677" w:type="dxa"/>
            <w:gridSpan w:val="2"/>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提供咨询和服务的收入，包括商业银行作为金融服务外包商的收入</w:t>
            </w:r>
          </w:p>
        </w:tc>
        <w:tc>
          <w:tcPr>
            <w:tcW w:w="4111"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费用及佣金收入：</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证券</w:t>
            </w:r>
            <w:r>
              <w:rPr>
                <w:rFonts w:ascii="宋体" w:hAnsi="宋体" w:cs="宋体" w:hint="eastAsia"/>
                <w:kern w:val="0"/>
                <w:sz w:val="24"/>
                <w:szCs w:val="24"/>
              </w:rPr>
              <w:t>(发行、创设、交易、执行客户指令等)</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宋体" w:hint="eastAsia"/>
                <w:kern w:val="0"/>
                <w:sz w:val="24"/>
                <w:szCs w:val="24"/>
              </w:rPr>
              <w:t>代销类（基金、保险、债券等）</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清算与结算</w:t>
            </w:r>
            <w:r>
              <w:rPr>
                <w:rFonts w:ascii="宋体" w:hAnsi="宋体" w:cs="宋体" w:hint="eastAsia"/>
                <w:kern w:val="0"/>
                <w:sz w:val="24"/>
                <w:szCs w:val="24"/>
              </w:rPr>
              <w:t>；资产管理；托管；信托交易；支付服务；结构性融资；资产证券化服务；贷款承诺和担保；外汇交易</w:t>
            </w:r>
          </w:p>
        </w:tc>
      </w:tr>
      <w:tr w:rsidR="00A51611">
        <w:trPr>
          <w:trHeight w:val="1682"/>
        </w:trPr>
        <w:tc>
          <w:tcPr>
            <w:tcW w:w="1211" w:type="dxa"/>
            <w:vMerge/>
            <w:vAlign w:val="center"/>
          </w:tcPr>
          <w:p w:rsidR="00A51611" w:rsidRDefault="00A51611" w:rsidP="003F3E11">
            <w:pPr>
              <w:widowControl/>
              <w:jc w:val="left"/>
              <w:rPr>
                <w:rFonts w:ascii="宋体" w:hAnsi="宋体" w:cs="宋体"/>
                <w:kern w:val="0"/>
                <w:sz w:val="24"/>
                <w:szCs w:val="24"/>
              </w:rPr>
            </w:pP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手续费和佣金支出</w:t>
            </w:r>
          </w:p>
        </w:tc>
        <w:tc>
          <w:tcPr>
            <w:tcW w:w="2677" w:type="dxa"/>
            <w:gridSpan w:val="2"/>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获得咨询和服务的支出，包括商业银行为寻求金融服务外包所支出的费用，但不包括非金融服务项目（如物流、IT、人力资源)</w:t>
            </w:r>
          </w:p>
        </w:tc>
        <w:tc>
          <w:tcPr>
            <w:tcW w:w="4111"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费用及佣金支出：</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清算与结算</w:t>
            </w:r>
            <w:r>
              <w:rPr>
                <w:rFonts w:ascii="宋体" w:hAnsi="宋体" w:cs="宋体" w:hint="eastAsia"/>
                <w:kern w:val="0"/>
                <w:sz w:val="24"/>
                <w:szCs w:val="24"/>
              </w:rPr>
              <w:t>；托管；资产证券化服务；贷款承诺和担保；外汇交易</w:t>
            </w:r>
          </w:p>
        </w:tc>
      </w:tr>
      <w:tr w:rsidR="00A51611">
        <w:trPr>
          <w:trHeight w:val="1682"/>
        </w:trPr>
        <w:tc>
          <w:tcPr>
            <w:tcW w:w="1211" w:type="dxa"/>
            <w:vMerge/>
            <w:vAlign w:val="center"/>
          </w:tcPr>
          <w:p w:rsidR="00A51611" w:rsidRDefault="00A51611" w:rsidP="003F3E11">
            <w:pPr>
              <w:widowControl/>
              <w:jc w:val="left"/>
              <w:rPr>
                <w:rFonts w:ascii="宋体" w:hAnsi="宋体" w:cs="宋体"/>
                <w:kern w:val="0"/>
                <w:sz w:val="24"/>
                <w:szCs w:val="24"/>
              </w:rPr>
            </w:pP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其他经营性收入</w:t>
            </w:r>
          </w:p>
        </w:tc>
        <w:tc>
          <w:tcPr>
            <w:tcW w:w="2677" w:type="dxa"/>
            <w:gridSpan w:val="2"/>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未被前</w:t>
            </w:r>
            <w:proofErr w:type="gramStart"/>
            <w:r>
              <w:rPr>
                <w:rFonts w:ascii="宋体" w:hAnsi="宋体" w:cs="宋体" w:hint="eastAsia"/>
                <w:kern w:val="0"/>
                <w:sz w:val="24"/>
                <w:szCs w:val="24"/>
              </w:rPr>
              <w:t>序项目</w:t>
            </w:r>
            <w:proofErr w:type="gramEnd"/>
            <w:r>
              <w:rPr>
                <w:rFonts w:ascii="宋体" w:hAnsi="宋体" w:cs="宋体" w:hint="eastAsia"/>
                <w:kern w:val="0"/>
                <w:sz w:val="24"/>
                <w:szCs w:val="24"/>
              </w:rPr>
              <w:t>所包含的一般银行类服务收入（不包括经营租赁收入）</w:t>
            </w:r>
          </w:p>
        </w:tc>
        <w:tc>
          <w:tcPr>
            <w:tcW w:w="4111" w:type="dxa"/>
            <w:vAlign w:val="center"/>
          </w:tcPr>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投资性房地产的租金收入</w:t>
            </w:r>
          </w:p>
          <w:p w:rsidR="00A51611" w:rsidRDefault="00A51611" w:rsidP="003F3E11">
            <w:pPr>
              <w:widowControl/>
              <w:jc w:val="left"/>
              <w:rPr>
                <w:rFonts w:ascii="宋体" w:hAnsi="宋体" w:cs="彩虹粗仿宋"/>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分类为持有待售且不符合终止经营条件的非流动资产及</w:t>
            </w:r>
            <w:proofErr w:type="gramStart"/>
            <w:r>
              <w:rPr>
                <w:rFonts w:ascii="宋体" w:hAnsi="宋体" w:cs="彩虹粗仿宋" w:hint="eastAsia"/>
                <w:kern w:val="0"/>
                <w:sz w:val="24"/>
                <w:szCs w:val="24"/>
              </w:rPr>
              <w:t>处置组</w:t>
            </w:r>
            <w:proofErr w:type="gramEnd"/>
            <w:r>
              <w:rPr>
                <w:rFonts w:ascii="宋体" w:hAnsi="宋体" w:cs="彩虹粗仿宋" w:hint="eastAsia"/>
                <w:kern w:val="0"/>
                <w:sz w:val="24"/>
                <w:szCs w:val="24"/>
              </w:rPr>
              <w:t>的收益</w:t>
            </w:r>
          </w:p>
          <w:p w:rsidR="00A51611" w:rsidRDefault="00A51611" w:rsidP="003F3E11">
            <w:pPr>
              <w:widowControl/>
              <w:jc w:val="left"/>
              <w:rPr>
                <w:rFonts w:ascii="宋体" w:hAnsi="宋体" w:cs="宋体"/>
                <w:kern w:val="0"/>
                <w:sz w:val="24"/>
                <w:szCs w:val="24"/>
                <w:u w:val="single"/>
              </w:rPr>
            </w:pPr>
            <w:r>
              <w:rPr>
                <w:rFonts w:ascii="宋体" w:hAnsi="宋体" w:cs="微软雅黑" w:hint="eastAsia"/>
                <w:kern w:val="0"/>
                <w:sz w:val="24"/>
                <w:szCs w:val="24"/>
              </w:rPr>
              <w:t>•</w:t>
            </w:r>
            <w:r>
              <w:rPr>
                <w:rFonts w:ascii="宋体" w:hAnsi="宋体" w:cs="彩虹粗仿宋" w:hint="eastAsia"/>
                <w:kern w:val="0"/>
                <w:sz w:val="24"/>
                <w:szCs w:val="24"/>
              </w:rPr>
              <w:t>其他一般银行类服务收入</w:t>
            </w:r>
          </w:p>
        </w:tc>
      </w:tr>
      <w:tr w:rsidR="00A51611">
        <w:trPr>
          <w:trHeight w:val="3029"/>
        </w:trPr>
        <w:tc>
          <w:tcPr>
            <w:tcW w:w="1211" w:type="dxa"/>
            <w:vMerge/>
            <w:vAlign w:val="center"/>
          </w:tcPr>
          <w:p w:rsidR="00A51611" w:rsidRDefault="00A51611" w:rsidP="003F3E11">
            <w:pPr>
              <w:widowControl/>
              <w:jc w:val="left"/>
              <w:rPr>
                <w:rFonts w:ascii="宋体" w:hAnsi="宋体" w:cs="宋体"/>
                <w:kern w:val="0"/>
                <w:sz w:val="24"/>
                <w:szCs w:val="24"/>
              </w:rPr>
            </w:pP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其他经营性支出</w:t>
            </w:r>
          </w:p>
        </w:tc>
        <w:tc>
          <w:tcPr>
            <w:tcW w:w="2677" w:type="dxa"/>
            <w:gridSpan w:val="2"/>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未被前</w:t>
            </w:r>
            <w:proofErr w:type="gramStart"/>
            <w:r>
              <w:rPr>
                <w:rFonts w:ascii="宋体" w:hAnsi="宋体" w:cs="宋体" w:hint="eastAsia"/>
                <w:kern w:val="0"/>
                <w:sz w:val="24"/>
                <w:szCs w:val="24"/>
              </w:rPr>
              <w:t>序项目</w:t>
            </w:r>
            <w:proofErr w:type="gramEnd"/>
            <w:r>
              <w:rPr>
                <w:rFonts w:ascii="宋体" w:hAnsi="宋体" w:cs="宋体" w:hint="eastAsia"/>
                <w:kern w:val="0"/>
                <w:sz w:val="24"/>
                <w:szCs w:val="24"/>
              </w:rPr>
              <w:t>所包含的一般银行类服务支出，以及由操作风险损失事件造成的费用和损失（不包括经营租赁支出）</w:t>
            </w:r>
          </w:p>
        </w:tc>
        <w:tc>
          <w:tcPr>
            <w:tcW w:w="4111" w:type="dxa"/>
            <w:vAlign w:val="center"/>
          </w:tcPr>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分类为持有待售且不符合终止经营条件的非流动资产及</w:t>
            </w:r>
            <w:proofErr w:type="gramStart"/>
            <w:r>
              <w:rPr>
                <w:rFonts w:ascii="宋体" w:hAnsi="宋体" w:cs="彩虹粗仿宋" w:hint="eastAsia"/>
                <w:kern w:val="0"/>
                <w:sz w:val="24"/>
                <w:szCs w:val="24"/>
              </w:rPr>
              <w:t>处置组</w:t>
            </w:r>
            <w:proofErr w:type="gramEnd"/>
            <w:r>
              <w:rPr>
                <w:rFonts w:ascii="宋体" w:hAnsi="宋体" w:cs="彩虹粗仿宋" w:hint="eastAsia"/>
                <w:kern w:val="0"/>
                <w:sz w:val="24"/>
                <w:szCs w:val="24"/>
              </w:rPr>
              <w:t>的损失</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bookmarkStart w:id="0" w:name="_Hlk66453084"/>
            <w:r>
              <w:rPr>
                <w:rFonts w:ascii="宋体" w:hAnsi="宋体" w:cs="彩虹粗仿宋" w:hint="eastAsia"/>
                <w:kern w:val="0"/>
                <w:sz w:val="24"/>
                <w:szCs w:val="24"/>
              </w:rPr>
              <w:t>由操作风险损失事件造成的损失</w:t>
            </w:r>
            <w:r>
              <w:rPr>
                <w:rFonts w:ascii="宋体" w:hAnsi="宋体" w:cs="宋体" w:hint="eastAsia"/>
                <w:kern w:val="0"/>
                <w:sz w:val="24"/>
                <w:szCs w:val="24"/>
              </w:rPr>
              <w:t>(如罚款、处罚、结算、损坏资产的重置成本)，且未在以前年度计提准备金</w:t>
            </w:r>
            <w:bookmarkEnd w:id="0"/>
          </w:p>
          <w:p w:rsidR="00A51611" w:rsidRDefault="00A51611" w:rsidP="003F3E11">
            <w:pPr>
              <w:widowControl/>
              <w:jc w:val="left"/>
              <w:rPr>
                <w:rFonts w:ascii="宋体" w:hAnsi="宋体" w:cs="彩虹粗仿宋"/>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为操作风险损失事件计提的准备金</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其他一般银行类服务支出</w:t>
            </w:r>
          </w:p>
        </w:tc>
      </w:tr>
      <w:tr w:rsidR="00A51611">
        <w:trPr>
          <w:trHeight w:val="336"/>
        </w:trPr>
        <w:tc>
          <w:tcPr>
            <w:tcW w:w="1211" w:type="dxa"/>
            <w:vMerge w:val="restart"/>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金融</w:t>
            </w: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交易账簿净损益</w:t>
            </w:r>
          </w:p>
        </w:tc>
        <w:tc>
          <w:tcPr>
            <w:tcW w:w="6788" w:type="dxa"/>
            <w:gridSpan w:val="3"/>
            <w:vAlign w:val="center"/>
          </w:tcPr>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以交易性目的持有的金融资产和承担的金融负债</w:t>
            </w:r>
            <w:r>
              <w:rPr>
                <w:rFonts w:ascii="宋体" w:hAnsi="宋体" w:cs="宋体" w:hint="eastAsia"/>
                <w:kern w:val="0"/>
                <w:sz w:val="24"/>
                <w:szCs w:val="24"/>
              </w:rPr>
              <w:t>(衍生品、债券、权益证券、贷款和垫款、卖空头寸、其他资产和负债)的净损益</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套期保值会计的净损益</w:t>
            </w:r>
          </w:p>
          <w:p w:rsidR="00A51611" w:rsidRDefault="00A51611" w:rsidP="003F3E11">
            <w:pPr>
              <w:widowControl/>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汇兑差额的净损益</w:t>
            </w:r>
          </w:p>
        </w:tc>
      </w:tr>
      <w:tr w:rsidR="00A51611">
        <w:trPr>
          <w:trHeight w:val="336"/>
        </w:trPr>
        <w:tc>
          <w:tcPr>
            <w:tcW w:w="1211" w:type="dxa"/>
            <w:vMerge/>
            <w:vAlign w:val="center"/>
          </w:tcPr>
          <w:p w:rsidR="00A51611" w:rsidRDefault="00A51611" w:rsidP="003F3E11">
            <w:pPr>
              <w:widowControl/>
              <w:jc w:val="left"/>
              <w:rPr>
                <w:rFonts w:ascii="宋体" w:hAnsi="宋体" w:cs="宋体"/>
                <w:kern w:val="0"/>
                <w:sz w:val="24"/>
                <w:szCs w:val="24"/>
              </w:rPr>
            </w:pPr>
          </w:p>
        </w:tc>
        <w:tc>
          <w:tcPr>
            <w:tcW w:w="1326" w:type="dxa"/>
            <w:vAlign w:val="center"/>
          </w:tcPr>
          <w:p w:rsidR="00A51611" w:rsidRDefault="00A51611" w:rsidP="003F3E11">
            <w:pPr>
              <w:widowControl/>
              <w:jc w:val="left"/>
              <w:rPr>
                <w:rFonts w:ascii="宋体" w:hAnsi="宋体" w:cs="宋体"/>
                <w:kern w:val="0"/>
                <w:sz w:val="24"/>
                <w:szCs w:val="24"/>
              </w:rPr>
            </w:pPr>
            <w:r>
              <w:rPr>
                <w:rFonts w:ascii="宋体" w:hAnsi="宋体" w:cs="宋体" w:hint="eastAsia"/>
                <w:kern w:val="0"/>
                <w:sz w:val="24"/>
                <w:szCs w:val="24"/>
              </w:rPr>
              <w:t>银行账簿净损益</w:t>
            </w:r>
          </w:p>
        </w:tc>
        <w:tc>
          <w:tcPr>
            <w:tcW w:w="6788" w:type="dxa"/>
            <w:gridSpan w:val="3"/>
            <w:vAlign w:val="center"/>
          </w:tcPr>
          <w:p w:rsidR="00A51611" w:rsidRDefault="00A51611" w:rsidP="003F3E11">
            <w:pPr>
              <w:widowControl/>
              <w:ind w:rightChars="12" w:right="25"/>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以公允价值计量且其变动计入当期损益金融资产和负债的净损益</w:t>
            </w:r>
          </w:p>
          <w:p w:rsidR="00A51611" w:rsidRDefault="00A51611" w:rsidP="003F3E11">
            <w:pPr>
              <w:widowControl/>
              <w:ind w:rightChars="12" w:right="25"/>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不属于以公允价值计量且其变动计入当期损益金融资产和负债的已实现收益或损失</w:t>
            </w:r>
            <w:r>
              <w:rPr>
                <w:rFonts w:ascii="宋体" w:hAnsi="宋体" w:cs="宋体" w:hint="eastAsia"/>
                <w:kern w:val="0"/>
                <w:sz w:val="24"/>
                <w:szCs w:val="24"/>
              </w:rPr>
              <w:t>(贷款和垫款、</w:t>
            </w:r>
            <w:r>
              <w:rPr>
                <w:rFonts w:ascii="宋体" w:hAnsi="宋体" w:cs="彩虹粗仿宋" w:hint="eastAsia"/>
                <w:kern w:val="0"/>
                <w:sz w:val="24"/>
                <w:szCs w:val="24"/>
              </w:rPr>
              <w:t>金融投资-债权投资、金融投资-其他债权投资</w:t>
            </w:r>
            <w:r>
              <w:rPr>
                <w:rFonts w:ascii="宋体" w:hAnsi="宋体" w:cs="宋体" w:hint="eastAsia"/>
                <w:kern w:val="0"/>
                <w:sz w:val="24"/>
                <w:szCs w:val="24"/>
              </w:rPr>
              <w:t>、以摊</w:t>
            </w:r>
            <w:proofErr w:type="gramStart"/>
            <w:r>
              <w:rPr>
                <w:rFonts w:ascii="宋体" w:hAnsi="宋体" w:cs="宋体" w:hint="eastAsia"/>
                <w:kern w:val="0"/>
                <w:sz w:val="24"/>
                <w:szCs w:val="24"/>
              </w:rPr>
              <w:t>余成本</w:t>
            </w:r>
            <w:proofErr w:type="gramEnd"/>
            <w:r>
              <w:rPr>
                <w:rFonts w:ascii="宋体" w:hAnsi="宋体" w:cs="宋体" w:hint="eastAsia"/>
                <w:kern w:val="0"/>
                <w:sz w:val="24"/>
                <w:szCs w:val="24"/>
              </w:rPr>
              <w:t>计量的金融负债)</w:t>
            </w:r>
          </w:p>
          <w:p w:rsidR="00A51611" w:rsidRDefault="00A51611" w:rsidP="003F3E11">
            <w:pPr>
              <w:widowControl/>
              <w:ind w:rightChars="12" w:right="25"/>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套期保值会计的净损益</w:t>
            </w:r>
          </w:p>
          <w:p w:rsidR="00A51611" w:rsidRDefault="00A51611" w:rsidP="003F3E11">
            <w:pPr>
              <w:widowControl/>
              <w:ind w:rightChars="12" w:right="25"/>
              <w:jc w:val="left"/>
              <w:rPr>
                <w:rFonts w:ascii="宋体" w:hAnsi="宋体" w:cs="宋体"/>
                <w:kern w:val="0"/>
                <w:sz w:val="24"/>
                <w:szCs w:val="24"/>
              </w:rPr>
            </w:pPr>
            <w:r>
              <w:rPr>
                <w:rFonts w:ascii="宋体" w:hAnsi="宋体" w:cs="微软雅黑" w:hint="eastAsia"/>
                <w:kern w:val="0"/>
                <w:sz w:val="24"/>
                <w:szCs w:val="24"/>
              </w:rPr>
              <w:t>•</w:t>
            </w:r>
            <w:r>
              <w:rPr>
                <w:rFonts w:ascii="宋体" w:hAnsi="宋体" w:cs="彩虹粗仿宋" w:hint="eastAsia"/>
                <w:kern w:val="0"/>
                <w:sz w:val="24"/>
                <w:szCs w:val="24"/>
              </w:rPr>
              <w:t>汇兑差额的净损益</w:t>
            </w:r>
          </w:p>
        </w:tc>
      </w:tr>
    </w:tbl>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以下损益项目不纳入业务指标项目：</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1</w:t>
      </w:r>
      <w:r>
        <w:rPr>
          <w:rFonts w:ascii="仿宋_GB2312" w:eastAsia="仿宋_GB2312" w:hAnsi="仿宋_GB2312" w:hint="eastAsia"/>
          <w:sz w:val="30"/>
          <w:szCs w:val="30"/>
        </w:rPr>
        <w:t>.</w:t>
      </w:r>
      <w:r>
        <w:rPr>
          <w:rFonts w:ascii="仿宋_GB2312" w:eastAsia="仿宋_GB2312" w:hAnsi="宋体" w:hint="eastAsia"/>
          <w:sz w:val="30"/>
          <w:szCs w:val="30"/>
        </w:rPr>
        <w:t>保险或再保险业务的收入和支出。</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2.从保险或再保险保单中获得的保费和偿付/支付。</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3.管理费用，包括员工支出、非金融服务的外包支出(如物流、IT、人力资源)和其他管理费用(如IT、公用事业、通信、差旅、办公用品、邮资)。</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4.管理费用的收回，包括代表客户收回的付款(如向客户征</w:t>
      </w:r>
      <w:r>
        <w:rPr>
          <w:rFonts w:ascii="仿宋_GB2312" w:eastAsia="仿宋_GB2312" w:hAnsi="宋体" w:hint="eastAsia"/>
          <w:sz w:val="30"/>
          <w:szCs w:val="30"/>
        </w:rPr>
        <w:lastRenderedPageBreak/>
        <w:t>税)。</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5.房产及固定资产的支出(因操作风险损失事件造成的支出除外)。</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6.有形资产和无形资产的折旧/摊销(租赁资产的折旧除外)。</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7.与操作风险损失事件无关的准备金/准备金转回(如为养老金、承诺和保证计提的准备金/准备金转回)。</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8.按合同规定偿还股本的支出。</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9.减值/减值转回(如金融资产、非金融资产、对子公司、联营公司、合营公司的投资)。</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10.在利润表确认的商誉变动。</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11.企业所得税(基于利润的税收，包括当期税收和递延所得税)。</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12.业务活动终止，并经监管部门认可的项目。</w:t>
      </w:r>
    </w:p>
    <w:p w:rsidR="00A51611" w:rsidRPr="003F3E11" w:rsidRDefault="00A51611" w:rsidP="003F3E11">
      <w:pPr>
        <w:spacing w:line="480" w:lineRule="exact"/>
        <w:ind w:firstLineChars="200" w:firstLine="600"/>
        <w:rPr>
          <w:rFonts w:ascii="楷体_GB2312" w:eastAsia="楷体_GB2312" w:hAnsi="宋体"/>
          <w:sz w:val="30"/>
          <w:szCs w:val="30"/>
        </w:rPr>
      </w:pPr>
      <w:r w:rsidRPr="003F3E11">
        <w:rPr>
          <w:rFonts w:ascii="楷体_GB2312" w:eastAsia="楷体_GB2312" w:hAnsi="宋体" w:hint="eastAsia"/>
          <w:sz w:val="30"/>
          <w:szCs w:val="30"/>
        </w:rPr>
        <w:t>（二）适用的内部损失乘数</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商业银行计量操作风险资本要求，应使用1作为内部损失乘数（ILM）。符合本部分（三）损失数据相关要求的商业银行，</w:t>
      </w:r>
      <w:proofErr w:type="gramStart"/>
      <w:r>
        <w:rPr>
          <w:rFonts w:ascii="仿宋_GB2312" w:eastAsia="仿宋_GB2312" w:hAnsi="宋体" w:hint="eastAsia"/>
          <w:sz w:val="30"/>
          <w:szCs w:val="30"/>
        </w:rPr>
        <w:t>经银保</w:t>
      </w:r>
      <w:proofErr w:type="gramEnd"/>
      <w:r>
        <w:rPr>
          <w:rFonts w:ascii="仿宋_GB2312" w:eastAsia="仿宋_GB2312" w:hAnsi="宋体" w:hint="eastAsia"/>
          <w:sz w:val="30"/>
          <w:szCs w:val="30"/>
        </w:rPr>
        <w:t>监会验收合格后，可采用自身损失数据自行计算内部损失乘数。银保监会可根据商业银行的实际损失情况，要求其使用大于1的内部损失乘数。</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对于自行计算内部损失乘数的商业银行，不符合损失数据相关要求的子公司在计算标准法下操作风险资本要求时，应使用1作为内部损失乘数。银保监会可以要求该子公司使用大于1的内部损失乘数。</w:t>
      </w:r>
    </w:p>
    <w:p w:rsidR="00A51611" w:rsidRPr="003F3E11" w:rsidRDefault="00A51611" w:rsidP="003F3E11">
      <w:pPr>
        <w:pStyle w:val="ab"/>
        <w:spacing w:line="480" w:lineRule="exact"/>
        <w:ind w:firstLine="600"/>
        <w:rPr>
          <w:rFonts w:ascii="楷体_GB2312" w:eastAsia="楷体_GB2312" w:hAnsi="黑体"/>
          <w:sz w:val="30"/>
          <w:szCs w:val="30"/>
        </w:rPr>
      </w:pPr>
      <w:r w:rsidRPr="003F3E11">
        <w:rPr>
          <w:rFonts w:ascii="楷体_GB2312" w:eastAsia="楷体_GB2312" w:hAnsi="黑体" w:hint="eastAsia"/>
          <w:sz w:val="30"/>
          <w:szCs w:val="30"/>
        </w:rPr>
        <w:t>（三）损失数据的识别、收集和处理要求</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商业银行应将损失数据纳入操作风险资本要求计量。收集的数据应是高质量、准确并完整的，以确保计算得出的操作风险资本要求与商业银行操作风险损失相匹配。商业银行损失数据的识别、收集和处理应满足一般要求和具体要求。</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1.一般要求</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（1）商业银行应具备10年观察期的高质量损失数据。初次使用</w:t>
      </w:r>
      <w:r>
        <w:rPr>
          <w:rFonts w:ascii="仿宋_GB2312" w:eastAsia="仿宋_GB2312" w:hAnsi="宋体"/>
          <w:sz w:val="30"/>
          <w:szCs w:val="30"/>
        </w:rPr>
        <w:t>内部损失数据</w:t>
      </w:r>
      <w:r>
        <w:rPr>
          <w:rFonts w:ascii="仿宋_GB2312" w:eastAsia="仿宋_GB2312" w:hAnsi="宋体" w:hint="eastAsia"/>
          <w:sz w:val="30"/>
          <w:szCs w:val="30"/>
        </w:rPr>
        <w:t>的商业银行，如果没有10年期的高质量损失数据，应使用5年期（含）以上的所有高质量损失数据。</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（2）损失数据应全面覆盖所有子系统和地区的业务活动和风险暴露。商业银行应将损失金额15万元以上的操作风险损失事件纳入内部损失乘数的计算。</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3）商业银行应书面规定识别、收集和处理损失数据的程序和流程。自行计算内部损失乘数的商业银行，在使用损失数据前，应对相关程序和流程进行验证，确保损失数据的全面性和准确性，并定期进行内外部审计，将审计中发现的重大问题及时报告银保监会。</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（4）商业银行应将损失数据与本部分（四）规定的操作风险损失事件类型目录建立对应关系，并书面规定映射规则。监管部门有权要求商业银行提供映射后的损失数据。</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（5）商业银行除收集损失金额信息外，还应收</w:t>
      </w:r>
      <w:proofErr w:type="gramStart"/>
      <w:r>
        <w:rPr>
          <w:rFonts w:ascii="仿宋_GB2312" w:eastAsia="仿宋_GB2312" w:hAnsi="宋体" w:hint="eastAsia"/>
          <w:sz w:val="30"/>
          <w:szCs w:val="30"/>
        </w:rPr>
        <w:t>集操作</w:t>
      </w:r>
      <w:proofErr w:type="gramEnd"/>
      <w:r>
        <w:rPr>
          <w:rFonts w:ascii="仿宋_GB2312" w:eastAsia="仿宋_GB2312" w:hAnsi="宋体" w:hint="eastAsia"/>
          <w:sz w:val="30"/>
          <w:szCs w:val="30"/>
        </w:rPr>
        <w:t>风险损失事件发生的日期、被发现的日期和在利润表中记账的日期。此外，商业银行应收</w:t>
      </w:r>
      <w:proofErr w:type="gramStart"/>
      <w:r>
        <w:rPr>
          <w:rFonts w:ascii="仿宋_GB2312" w:eastAsia="仿宋_GB2312" w:hAnsi="宋体" w:hint="eastAsia"/>
          <w:sz w:val="30"/>
          <w:szCs w:val="30"/>
        </w:rPr>
        <w:t>集损失</w:t>
      </w:r>
      <w:proofErr w:type="gramEnd"/>
      <w:r>
        <w:rPr>
          <w:rFonts w:ascii="仿宋_GB2312" w:eastAsia="仿宋_GB2312" w:hAnsi="宋体" w:hint="eastAsia"/>
          <w:sz w:val="30"/>
          <w:szCs w:val="30"/>
        </w:rPr>
        <w:t>金额发生回收的信息，以及操作风险损失事件发生原因等描述性信息，描述性信息的详尽程度应与损失金额的大小相匹配。</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6）经监管部门认可，商业银行在计量操作风险资本要求时，可剔除特定的操作风险损失事件，但需提供充足理由证明剔除的操作风险损失事件不会发生在其他存续业务中，并按照第三支柱信息披露相关要求进行披露。商业银行申请剔除的操作风险损失事件的金额应大于10年平均损失净额的5%。被剔除的操作风险损失事件应在数据库中至少保留3年，已终止的业务活动相关操作风险损失事件不受3年保留期的限制。</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（7）与信用风险有关且已计入信用风险加权资产的操作风险损失事件不再计入操作风险损失数据。与信用风险有关，但未计入信用风险加权资产的操作风险损失事件应计入操作风险损</w:t>
      </w:r>
      <w:r>
        <w:rPr>
          <w:rFonts w:ascii="仿宋_GB2312" w:eastAsia="仿宋_GB2312" w:hAnsi="宋体" w:hint="eastAsia"/>
          <w:sz w:val="30"/>
          <w:szCs w:val="30"/>
        </w:rPr>
        <w:lastRenderedPageBreak/>
        <w:t>失数据并计量操作风险资本要求。</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（8）与市场风险有关的操作风险损失事件，应计入操作风险损失数据并计量操作风险资本要求。</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（9）商业银行应建立相应流程，独立审查损失数据的全面性和准确性。</w:t>
      </w:r>
    </w:p>
    <w:p w:rsidR="00A51611" w:rsidRDefault="00A51611">
      <w:pPr>
        <w:spacing w:line="480" w:lineRule="exact"/>
        <w:ind w:left="600"/>
        <w:rPr>
          <w:rFonts w:ascii="楷体_GB2312" w:eastAsia="楷体_GB2312" w:hAnsi="华文楷体"/>
          <w:sz w:val="30"/>
          <w:szCs w:val="30"/>
        </w:rPr>
      </w:pPr>
      <w:r>
        <w:rPr>
          <w:rFonts w:ascii="仿宋_GB2312" w:eastAsia="仿宋_GB2312" w:hAnsi="宋体" w:hint="eastAsia"/>
          <w:sz w:val="30"/>
          <w:szCs w:val="30"/>
        </w:rPr>
        <w:t>2.具体要求</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（1）商业银行应建立损失数据库，并制定完善的政策和程序，</w:t>
      </w:r>
      <w:proofErr w:type="gramStart"/>
      <w:r>
        <w:rPr>
          <w:rFonts w:ascii="仿宋_GB2312" w:eastAsia="仿宋_GB2312" w:hAnsi="宋体" w:hint="eastAsia"/>
          <w:sz w:val="30"/>
          <w:szCs w:val="30"/>
        </w:rPr>
        <w:t>明确总</w:t>
      </w:r>
      <w:proofErr w:type="gramEnd"/>
      <w:r>
        <w:rPr>
          <w:rFonts w:ascii="仿宋_GB2312" w:eastAsia="仿宋_GB2312" w:hAnsi="宋体" w:hint="eastAsia"/>
          <w:sz w:val="30"/>
          <w:szCs w:val="30"/>
        </w:rPr>
        <w:t>损失定义、损失事件相关日期和损失分类等要素。</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（2）总损失是指计算各类回收之前的损失。净损失是指剔除回收之后的损失。回收是与原始损失事件有关但不是同时发生、从外部获得资金或经济利益流入的事件。</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（3）商业银行应识别所有操作风险损失事件的总损失金额、非保险回收额和保险回收额。商业银行应用净损失计算内部损失乘数，回收</w:t>
      </w:r>
      <w:proofErr w:type="gramStart"/>
      <w:r>
        <w:rPr>
          <w:rFonts w:ascii="仿宋_GB2312" w:eastAsia="仿宋_GB2312" w:hAnsi="宋体" w:hint="eastAsia"/>
          <w:sz w:val="30"/>
          <w:szCs w:val="30"/>
        </w:rPr>
        <w:t>额含保险</w:t>
      </w:r>
      <w:proofErr w:type="gramEnd"/>
      <w:r>
        <w:rPr>
          <w:rFonts w:ascii="仿宋_GB2312" w:eastAsia="仿宋_GB2312" w:hAnsi="宋体" w:hint="eastAsia"/>
          <w:sz w:val="30"/>
          <w:szCs w:val="30"/>
        </w:rPr>
        <w:t>回收额和非保险回收额，不含应收账款。监管部门有权要求商业银行提供能够减少总损失金额的付款证明。</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（4）下列项目应纳入操作风险损失事件的总损失：</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a.由操作风险损失事件引起的直接费用，包括商业银行利润表中的减值；</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b.操作风险损失事件所产生的其它费用，包括与其相关的外部费用，如直接相关的法律费用和支付给顾问、律师或供应商的费用，以及用于恢复到操作风险损失事件发生之前状态的修理或更换费用；</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c.为防止潜在操作风险损失，在利润表中计提的准备金；</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d.操作风险损失事件造成的具有明确财务影响但尚未反映在利润表中的损失(即未决损失)，暂时簿记过渡账户或暂记账户。对于未决损失，以簿记过渡账户或暂记账户的日期作为记账日；</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e.操作风险损失事件</w:t>
      </w:r>
      <w:proofErr w:type="gramStart"/>
      <w:r>
        <w:rPr>
          <w:rFonts w:ascii="仿宋_GB2312" w:eastAsia="仿宋_GB2312" w:hAnsi="宋体" w:hint="eastAsia"/>
          <w:sz w:val="30"/>
          <w:szCs w:val="30"/>
        </w:rPr>
        <w:t>对之前</w:t>
      </w:r>
      <w:proofErr w:type="gramEnd"/>
      <w:r>
        <w:rPr>
          <w:rFonts w:ascii="仿宋_GB2312" w:eastAsia="仿宋_GB2312" w:hAnsi="宋体" w:hint="eastAsia"/>
          <w:sz w:val="30"/>
          <w:szCs w:val="30"/>
        </w:rPr>
        <w:t>会计期间的现金流或财务指标造成的负面影响(即跨</w:t>
      </w:r>
      <w:proofErr w:type="gramStart"/>
      <w:r>
        <w:rPr>
          <w:rFonts w:ascii="仿宋_GB2312" w:eastAsia="仿宋_GB2312" w:hAnsi="宋体" w:hint="eastAsia"/>
          <w:sz w:val="30"/>
          <w:szCs w:val="30"/>
        </w:rPr>
        <w:t>期损失</w:t>
      </w:r>
      <w:proofErr w:type="gramEnd"/>
      <w:r>
        <w:rPr>
          <w:rFonts w:ascii="仿宋_GB2312" w:eastAsia="仿宋_GB2312" w:hAnsi="宋体" w:hint="eastAsia"/>
          <w:sz w:val="30"/>
          <w:szCs w:val="30"/>
        </w:rPr>
        <w:t>)，应纳入损失数据库。</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（5）下列项目不纳入操作风险损失事件的总损失：</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a.财产、厂房或设备的一般性维护成本；</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b.操作风险损失后，为加强业务管理的内外部支出，包括升级、改进、风险评估和强化措施；</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c.保险费。</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（6）商业银行操作风险损失事件录入损失数据库应不晚于会计记账日。对于法律事件损失,记账日是指合理评估利润表中的损失而计提准备金的日期。</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（7）由常见的操作风险损失事件或相关的跨年度操作风险损失事件造成的损失，应按会计记账日处理到相应年份。</w:t>
      </w:r>
    </w:p>
    <w:p w:rsidR="00A51611" w:rsidRPr="003F3E11" w:rsidRDefault="00A51611" w:rsidP="003F3E11">
      <w:pPr>
        <w:spacing w:line="480" w:lineRule="exact"/>
        <w:ind w:firstLineChars="200" w:firstLine="600"/>
        <w:rPr>
          <w:rFonts w:ascii="楷体_GB2312" w:eastAsia="楷体_GB2312" w:hAnsi="宋体"/>
          <w:sz w:val="30"/>
          <w:szCs w:val="30"/>
        </w:rPr>
      </w:pPr>
      <w:r w:rsidRPr="003F3E11">
        <w:rPr>
          <w:rFonts w:ascii="楷体_GB2312" w:eastAsia="楷体_GB2312" w:hAnsi="黑体" w:hint="eastAsia"/>
          <w:sz w:val="30"/>
          <w:szCs w:val="30"/>
        </w:rPr>
        <w:t>（四）操作风险损失事件类型</w:t>
      </w:r>
    </w:p>
    <w:p w:rsidR="00A51611" w:rsidRDefault="00A51611">
      <w:pPr>
        <w:spacing w:line="480" w:lineRule="exact"/>
        <w:ind w:firstLineChars="200" w:firstLine="600"/>
        <w:rPr>
          <w:rFonts w:ascii="宋体" w:hAnsi="宋体"/>
          <w:sz w:val="30"/>
          <w:szCs w:val="30"/>
        </w:rPr>
      </w:pPr>
      <w:r>
        <w:rPr>
          <w:rFonts w:ascii="仿宋_GB2312" w:eastAsia="仿宋_GB2312" w:hAnsi="宋体" w:hint="eastAsia"/>
          <w:sz w:val="30"/>
          <w:szCs w:val="30"/>
        </w:rPr>
        <w:t>1.内部欺诈事件。指故意骗取、盗用财产或违反监管规章、法律或公司政策导致的损失事件，此类事件至少涉及内部一方，但不包括歧视及差别待遇事件。</w:t>
      </w:r>
    </w:p>
    <w:p w:rsidR="00A51611" w:rsidRDefault="00A51611">
      <w:pPr>
        <w:spacing w:line="480" w:lineRule="exact"/>
        <w:ind w:firstLineChars="200" w:firstLine="600"/>
        <w:rPr>
          <w:rFonts w:ascii="宋体" w:hAnsi="宋体"/>
          <w:sz w:val="30"/>
          <w:szCs w:val="30"/>
        </w:rPr>
      </w:pPr>
      <w:r>
        <w:rPr>
          <w:rFonts w:ascii="仿宋_GB2312" w:eastAsia="仿宋_GB2312" w:hAnsi="宋体" w:hint="eastAsia"/>
          <w:sz w:val="30"/>
          <w:szCs w:val="30"/>
        </w:rPr>
        <w:t>2.外部欺诈事件。指第三方故意骗取、盗用、抢劫财产、伪造要件、攻击商业银行信息科技系统或逃避法律监管导致的损失事件。</w:t>
      </w:r>
    </w:p>
    <w:p w:rsidR="00A51611" w:rsidRDefault="00A51611">
      <w:pPr>
        <w:spacing w:line="480" w:lineRule="exact"/>
        <w:ind w:firstLineChars="200" w:firstLine="600"/>
        <w:rPr>
          <w:rFonts w:ascii="宋体" w:hAnsi="宋体"/>
          <w:sz w:val="30"/>
          <w:szCs w:val="30"/>
        </w:rPr>
      </w:pPr>
      <w:r>
        <w:rPr>
          <w:rFonts w:ascii="仿宋_GB2312" w:eastAsia="仿宋_GB2312" w:hAnsi="宋体" w:hint="eastAsia"/>
          <w:sz w:val="30"/>
          <w:szCs w:val="30"/>
        </w:rPr>
        <w:t>3.就业制度和工作场所安全事件。指违反就业、健康或安全方面的法律或协议，个人工伤赔付或者因歧视及差别待遇导致的损失事件。</w:t>
      </w:r>
    </w:p>
    <w:p w:rsidR="00A51611" w:rsidRDefault="00A51611">
      <w:pPr>
        <w:spacing w:line="480" w:lineRule="exact"/>
        <w:ind w:firstLineChars="200" w:firstLine="600"/>
        <w:rPr>
          <w:rFonts w:ascii="宋体" w:hAnsi="宋体"/>
          <w:sz w:val="30"/>
          <w:szCs w:val="30"/>
        </w:rPr>
      </w:pPr>
      <w:r>
        <w:rPr>
          <w:rFonts w:ascii="仿宋_GB2312" w:eastAsia="仿宋_GB2312" w:hAnsi="宋体" w:hint="eastAsia"/>
          <w:sz w:val="30"/>
          <w:szCs w:val="30"/>
        </w:rPr>
        <w:t>4.客户、产品和业务活动事件。指因未按有关规定造成未对特定客户履行份内义务（如诚信责任和适当性要求）或产品性质或设计缺陷导致的损失事件。</w:t>
      </w:r>
    </w:p>
    <w:p w:rsidR="00A51611" w:rsidRDefault="00A51611">
      <w:pPr>
        <w:spacing w:line="480" w:lineRule="exact"/>
        <w:ind w:firstLineChars="200" w:firstLine="600"/>
        <w:rPr>
          <w:rFonts w:ascii="宋体" w:hAnsi="宋体"/>
          <w:sz w:val="30"/>
          <w:szCs w:val="30"/>
        </w:rPr>
      </w:pPr>
      <w:r>
        <w:rPr>
          <w:rFonts w:ascii="仿宋_GB2312" w:eastAsia="仿宋_GB2312" w:hAnsi="宋体" w:hint="eastAsia"/>
          <w:sz w:val="30"/>
          <w:szCs w:val="30"/>
        </w:rPr>
        <w:t>5.实物资产的损坏。指因自然灾害或其他事件（如恐怖袭击）导致实物资产丢失或毁坏的损失事件。</w:t>
      </w:r>
    </w:p>
    <w:p w:rsidR="00A51611" w:rsidRDefault="00A51611">
      <w:pPr>
        <w:spacing w:line="480" w:lineRule="exact"/>
        <w:ind w:firstLineChars="200" w:firstLine="600"/>
        <w:rPr>
          <w:rFonts w:ascii="宋体" w:hAnsi="宋体"/>
          <w:sz w:val="30"/>
          <w:szCs w:val="30"/>
        </w:rPr>
      </w:pPr>
      <w:r>
        <w:rPr>
          <w:rFonts w:ascii="仿宋_GB2312" w:eastAsia="仿宋_GB2312" w:hAnsi="宋体" w:hint="eastAsia"/>
          <w:sz w:val="30"/>
          <w:szCs w:val="30"/>
        </w:rPr>
        <w:t>6.信息科技系统事件。指因信息科技系统生产运行、应用开发、安全管理以及由于软件产品、硬件设备、服务提供商等第三</w:t>
      </w:r>
      <w:proofErr w:type="gramStart"/>
      <w:r>
        <w:rPr>
          <w:rFonts w:ascii="仿宋_GB2312" w:eastAsia="仿宋_GB2312" w:hAnsi="宋体" w:hint="eastAsia"/>
          <w:sz w:val="30"/>
          <w:szCs w:val="30"/>
        </w:rPr>
        <w:t>方因素</w:t>
      </w:r>
      <w:proofErr w:type="gramEnd"/>
      <w:r>
        <w:rPr>
          <w:rFonts w:ascii="仿宋_GB2312" w:eastAsia="仿宋_GB2312" w:hAnsi="宋体" w:hint="eastAsia"/>
          <w:sz w:val="30"/>
          <w:szCs w:val="30"/>
        </w:rPr>
        <w:t>,造成系统无法正常办理业务或系统速度异常所导致的损失事件。</w:t>
      </w:r>
    </w:p>
    <w:p w:rsidR="00A51611" w:rsidRDefault="00A51611">
      <w:pPr>
        <w:spacing w:line="480" w:lineRule="exact"/>
        <w:ind w:firstLineChars="200" w:firstLine="600"/>
        <w:rPr>
          <w:rFonts w:ascii="宋体" w:hAnsi="宋体"/>
          <w:sz w:val="30"/>
          <w:szCs w:val="30"/>
        </w:rPr>
      </w:pPr>
      <w:r>
        <w:rPr>
          <w:rFonts w:ascii="仿宋_GB2312" w:eastAsia="仿宋_GB2312" w:hAnsi="宋体" w:hint="eastAsia"/>
          <w:sz w:val="30"/>
          <w:szCs w:val="30"/>
        </w:rPr>
        <w:t>7.执行、交割和流程管理事件。指因交易处理或流程管理失</w:t>
      </w:r>
      <w:r>
        <w:rPr>
          <w:rFonts w:ascii="仿宋_GB2312" w:eastAsia="仿宋_GB2312" w:hAnsi="宋体" w:hint="eastAsia"/>
          <w:sz w:val="30"/>
          <w:szCs w:val="30"/>
        </w:rPr>
        <w:lastRenderedPageBreak/>
        <w:t>败，以及与交易对手方、外部供应商及销售商发生纠纷导致的损失事件。</w:t>
      </w:r>
    </w:p>
    <w:p w:rsidR="00A51611" w:rsidRDefault="00A51611" w:rsidP="00901BC0">
      <w:pPr>
        <w:spacing w:line="480" w:lineRule="exact"/>
        <w:jc w:val="center"/>
        <w:rPr>
          <w:rFonts w:ascii="楷体_GB2312" w:eastAsia="楷体_GB2312" w:hAnsi="宋体"/>
          <w:b/>
          <w:sz w:val="28"/>
          <w:szCs w:val="28"/>
        </w:rPr>
      </w:pPr>
      <w:bookmarkStart w:id="1" w:name="_GoBack"/>
      <w:bookmarkEnd w:id="1"/>
      <w:r>
        <w:rPr>
          <w:rFonts w:ascii="楷体_GB2312" w:eastAsia="楷体_GB2312" w:hAnsi="宋体" w:hint="eastAsia"/>
          <w:b/>
          <w:sz w:val="28"/>
          <w:szCs w:val="28"/>
        </w:rPr>
        <w:t>表2 操作风险损失事件类型目录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3"/>
        <w:gridCol w:w="1342"/>
        <w:gridCol w:w="1276"/>
        <w:gridCol w:w="3685"/>
        <w:gridCol w:w="1120"/>
      </w:tblGrid>
      <w:tr w:rsidR="00A51611">
        <w:trPr>
          <w:trHeight w:val="480"/>
          <w:tblHeader/>
        </w:trPr>
        <w:tc>
          <w:tcPr>
            <w:tcW w:w="1083" w:type="dxa"/>
            <w:tcMar>
              <w:top w:w="15" w:type="dxa"/>
              <w:left w:w="15" w:type="dxa"/>
              <w:bottom w:w="0" w:type="dxa"/>
              <w:right w:w="15" w:type="dxa"/>
            </w:tcMar>
            <w:vAlign w:val="center"/>
          </w:tcPr>
          <w:p w:rsidR="00A51611" w:rsidRDefault="00A51611" w:rsidP="003F3E11">
            <w:pPr>
              <w:jc w:val="center"/>
              <w:rPr>
                <w:rFonts w:ascii="宋体" w:hAnsi="宋体" w:cs="Arial Unicode MS"/>
                <w:b/>
                <w:sz w:val="24"/>
                <w:szCs w:val="24"/>
              </w:rPr>
            </w:pPr>
            <w:r>
              <w:rPr>
                <w:rFonts w:ascii="宋体" w:hAnsi="宋体" w:hint="eastAsia"/>
                <w:b/>
                <w:sz w:val="24"/>
                <w:szCs w:val="24"/>
              </w:rPr>
              <w:t>1级目录</w:t>
            </w:r>
          </w:p>
        </w:tc>
        <w:tc>
          <w:tcPr>
            <w:tcW w:w="1342" w:type="dxa"/>
            <w:tcMar>
              <w:top w:w="15" w:type="dxa"/>
              <w:left w:w="15" w:type="dxa"/>
              <w:bottom w:w="0" w:type="dxa"/>
              <w:right w:w="15" w:type="dxa"/>
            </w:tcMar>
            <w:vAlign w:val="center"/>
          </w:tcPr>
          <w:p w:rsidR="00A51611" w:rsidRDefault="00A51611" w:rsidP="003F3E11">
            <w:pPr>
              <w:ind w:leftChars="-84" w:left="-27" w:hangingChars="62" w:hanging="149"/>
              <w:jc w:val="center"/>
              <w:rPr>
                <w:rFonts w:ascii="宋体" w:hAnsi="宋体"/>
                <w:b/>
                <w:sz w:val="24"/>
                <w:szCs w:val="24"/>
              </w:rPr>
            </w:pPr>
            <w:r>
              <w:rPr>
                <w:rFonts w:ascii="宋体" w:hAnsi="宋体" w:hint="eastAsia"/>
                <w:b/>
                <w:sz w:val="24"/>
                <w:szCs w:val="24"/>
              </w:rPr>
              <w:t>简要解释</w:t>
            </w:r>
          </w:p>
        </w:tc>
        <w:tc>
          <w:tcPr>
            <w:tcW w:w="1276" w:type="dxa"/>
            <w:tcMar>
              <w:top w:w="15" w:type="dxa"/>
              <w:left w:w="15" w:type="dxa"/>
              <w:bottom w:w="0" w:type="dxa"/>
              <w:right w:w="15" w:type="dxa"/>
            </w:tcMar>
            <w:vAlign w:val="center"/>
          </w:tcPr>
          <w:p w:rsidR="00A51611" w:rsidRDefault="00A51611" w:rsidP="003F3E11">
            <w:pPr>
              <w:ind w:leftChars="-101" w:left="-63" w:hangingChars="62" w:hanging="149"/>
              <w:jc w:val="center"/>
              <w:rPr>
                <w:rFonts w:ascii="宋体" w:hAnsi="宋体"/>
                <w:b/>
                <w:sz w:val="24"/>
                <w:szCs w:val="24"/>
              </w:rPr>
            </w:pPr>
            <w:r>
              <w:rPr>
                <w:rFonts w:ascii="宋体" w:hAnsi="宋体" w:hint="eastAsia"/>
                <w:b/>
                <w:sz w:val="24"/>
                <w:szCs w:val="24"/>
              </w:rPr>
              <w:t>2级目录</w:t>
            </w:r>
          </w:p>
        </w:tc>
        <w:tc>
          <w:tcPr>
            <w:tcW w:w="3685" w:type="dxa"/>
            <w:tcMar>
              <w:top w:w="15" w:type="dxa"/>
              <w:left w:w="15" w:type="dxa"/>
              <w:bottom w:w="0" w:type="dxa"/>
              <w:right w:w="15" w:type="dxa"/>
            </w:tcMar>
            <w:vAlign w:val="center"/>
          </w:tcPr>
          <w:p w:rsidR="00A51611" w:rsidRDefault="00A51611" w:rsidP="003F3E11">
            <w:pPr>
              <w:jc w:val="center"/>
              <w:rPr>
                <w:rFonts w:ascii="宋体" w:hAnsi="宋体"/>
                <w:b/>
                <w:sz w:val="24"/>
                <w:szCs w:val="24"/>
              </w:rPr>
            </w:pPr>
            <w:r>
              <w:rPr>
                <w:rFonts w:ascii="宋体" w:hAnsi="宋体" w:hint="eastAsia"/>
                <w:b/>
                <w:sz w:val="24"/>
                <w:szCs w:val="24"/>
              </w:rPr>
              <w:t>3级目录</w:t>
            </w:r>
          </w:p>
        </w:tc>
        <w:tc>
          <w:tcPr>
            <w:tcW w:w="1120" w:type="dxa"/>
            <w:tcMar>
              <w:top w:w="15" w:type="dxa"/>
              <w:left w:w="15" w:type="dxa"/>
              <w:bottom w:w="0" w:type="dxa"/>
              <w:right w:w="15" w:type="dxa"/>
            </w:tcMar>
            <w:vAlign w:val="center"/>
          </w:tcPr>
          <w:p w:rsidR="00A51611" w:rsidRDefault="00A51611" w:rsidP="003F3E11">
            <w:pPr>
              <w:ind w:hanging="1"/>
              <w:jc w:val="center"/>
              <w:rPr>
                <w:rFonts w:ascii="宋体" w:hAnsi="宋体"/>
                <w:b/>
                <w:sz w:val="24"/>
                <w:szCs w:val="24"/>
              </w:rPr>
            </w:pPr>
            <w:r>
              <w:rPr>
                <w:rFonts w:ascii="宋体" w:hAnsi="宋体" w:hint="eastAsia"/>
                <w:b/>
                <w:sz w:val="24"/>
                <w:szCs w:val="24"/>
              </w:rPr>
              <w:t>编号示例</w:t>
            </w:r>
          </w:p>
        </w:tc>
      </w:tr>
      <w:tr w:rsidR="00A51611">
        <w:trPr>
          <w:trHeight w:val="240"/>
        </w:trPr>
        <w:tc>
          <w:tcPr>
            <w:tcW w:w="1083"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内部欺诈</w:t>
            </w:r>
          </w:p>
        </w:tc>
        <w:tc>
          <w:tcPr>
            <w:tcW w:w="1342"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故意骗取、盗用财产或违反监管规章、法律或公司政策导致的损失，此类事件至少涉及内部一方，但不包括歧视及差别待遇事件</w:t>
            </w: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行为未经</w:t>
            </w:r>
          </w:p>
          <w:p w:rsidR="00A51611" w:rsidRDefault="00A51611" w:rsidP="003F3E11">
            <w:pPr>
              <w:jc w:val="left"/>
              <w:rPr>
                <w:rFonts w:ascii="宋体" w:hAnsi="宋体"/>
                <w:sz w:val="24"/>
                <w:szCs w:val="24"/>
              </w:rPr>
            </w:pPr>
            <w:r>
              <w:rPr>
                <w:rFonts w:ascii="宋体" w:hAnsi="宋体" w:hint="eastAsia"/>
                <w:sz w:val="24"/>
                <w:szCs w:val="24"/>
              </w:rPr>
              <w:t>授权</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故意隐瞒交易</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1.1.1</w:t>
            </w:r>
          </w:p>
        </w:tc>
      </w:tr>
      <w:tr w:rsidR="00A51611">
        <w:trPr>
          <w:trHeight w:val="378"/>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未经授权交易导致资金损失</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1.1.2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故意错误估价</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1.1.3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1.1.4</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盗窃和欺诈</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欺诈/信用欺诈/不实存款</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盗窃/勒索/挪用公款/抢劫</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盗用资产</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恶意损毁资产</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1.2.4</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伪造</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1.2.5</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支票欺诈</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1.2.6</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走私</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1.2.7</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窃取账户资金/假账/假冒开户人/等等</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1.2.8</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违规纳税/故意逃税</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1.2.9</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贿赂/回扣</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1.2.10</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内幕交易（不用本行的账户）</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1.2.11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1.2.12</w:t>
            </w:r>
          </w:p>
        </w:tc>
      </w:tr>
      <w:tr w:rsidR="00A51611">
        <w:trPr>
          <w:trHeight w:val="240"/>
        </w:trPr>
        <w:tc>
          <w:tcPr>
            <w:tcW w:w="1083"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外部欺诈</w:t>
            </w:r>
          </w:p>
        </w:tc>
        <w:tc>
          <w:tcPr>
            <w:tcW w:w="1342"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第三方故意骗取、盗用财产或逃避法律导致的损失</w:t>
            </w: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盗窃和欺诈</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盗窃/抢劫</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2.1.1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伪造</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2.1.2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支票欺诈</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2.1.3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2.1.4</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系统安全性</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黑客攻击损失</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2.2.1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窃取信息造成资金损失</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2.2.2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2.2.3</w:t>
            </w:r>
          </w:p>
        </w:tc>
      </w:tr>
      <w:tr w:rsidR="00A51611">
        <w:trPr>
          <w:trHeight w:val="240"/>
        </w:trPr>
        <w:tc>
          <w:tcPr>
            <w:tcW w:w="1083"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就业制度和工作场所安全事件</w:t>
            </w:r>
          </w:p>
        </w:tc>
        <w:tc>
          <w:tcPr>
            <w:tcW w:w="1342"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违反劳动合同法、就业、健康或安全方面的法规或协议，个人工伤赔付或者因歧视及差别待遇事件导致的损失</w:t>
            </w: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劳资关系</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薪酬，福利，劳动合同终止后的安排</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3.1.1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有组织的工会行动</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3.1.2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3.1.3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环境安全性</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一般性责任（滑倒和坠落等）</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3.2.1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违反员工健康及安全规定</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3.2.2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劳方索偿</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3.2.3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3.2.4</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歧视及差别待遇事件</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所有涉及歧视的事件</w:t>
            </w:r>
          </w:p>
        </w:tc>
        <w:tc>
          <w:tcPr>
            <w:tcW w:w="1120" w:type="dxa"/>
            <w:tcMar>
              <w:top w:w="15" w:type="dxa"/>
              <w:left w:w="15" w:type="dxa"/>
              <w:bottom w:w="0" w:type="dxa"/>
              <w:right w:w="15" w:type="dxa"/>
            </w:tcMar>
            <w:vAlign w:val="center"/>
          </w:tcPr>
          <w:p w:rsidR="00A51611" w:rsidRDefault="00A51611" w:rsidP="003F3E11">
            <w:pPr>
              <w:ind w:hanging="1"/>
              <w:jc w:val="center"/>
              <w:rPr>
                <w:rFonts w:ascii="宋体" w:hAnsi="宋体"/>
                <w:sz w:val="24"/>
                <w:szCs w:val="24"/>
              </w:rPr>
            </w:pPr>
            <w:r>
              <w:rPr>
                <w:rFonts w:ascii="宋体" w:hAnsi="宋体" w:hint="eastAsia"/>
                <w:sz w:val="24"/>
                <w:szCs w:val="24"/>
              </w:rPr>
              <w:t>3.3.1</w:t>
            </w:r>
          </w:p>
        </w:tc>
      </w:tr>
      <w:tr w:rsidR="00A51611">
        <w:trPr>
          <w:trHeight w:val="334"/>
        </w:trPr>
        <w:tc>
          <w:tcPr>
            <w:tcW w:w="1083"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客户、产</w:t>
            </w:r>
            <w:r>
              <w:rPr>
                <w:rFonts w:ascii="宋体" w:hAnsi="宋体" w:hint="eastAsia"/>
                <w:sz w:val="24"/>
                <w:szCs w:val="24"/>
              </w:rPr>
              <w:lastRenderedPageBreak/>
              <w:t>品和业务活动事件</w:t>
            </w:r>
          </w:p>
        </w:tc>
        <w:tc>
          <w:tcPr>
            <w:tcW w:w="1342"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lastRenderedPageBreak/>
              <w:t>因疏忽未对</w:t>
            </w:r>
            <w:r>
              <w:rPr>
                <w:rFonts w:ascii="宋体" w:hAnsi="宋体" w:hint="eastAsia"/>
                <w:sz w:val="24"/>
                <w:szCs w:val="24"/>
              </w:rPr>
              <w:lastRenderedPageBreak/>
              <w:t>特定客户履行份内义务（如诚信责任和适当性要求）或产品性质或设计缺陷导致的损失</w:t>
            </w: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lastRenderedPageBreak/>
              <w:t>适当性，披</w:t>
            </w:r>
            <w:r>
              <w:rPr>
                <w:rFonts w:ascii="宋体" w:hAnsi="宋体" w:hint="eastAsia"/>
                <w:sz w:val="24"/>
                <w:szCs w:val="24"/>
              </w:rPr>
              <w:lastRenderedPageBreak/>
              <w:t>露和诚信责任</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lastRenderedPageBreak/>
              <w:t>违背诚信责任/违反规章制度</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4.1.1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适当性/披露问题（了解你的客户等）</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4.1.2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未尽向零售客户的信息披露义务</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4.1.3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泄露隐私</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4.1.4</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强制推销</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4.1.5</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为多收手续费反复操作客户账户</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4.1.6</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保密信息使用不当</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4.1.7</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贷款人责任</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4.1.8</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4.1.9</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不良的业务或市场行为</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垄断</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4.2.1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不良交易/市场行为</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4.2.2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操纵市场</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4.2.3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内幕交易（用本行的账户）</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4.2.4</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未经有效批准的业务活动</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4.2.5</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洗钱</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4.2.6</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4.2.7</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产品瑕疵</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产品缺陷（未经许可等）</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4.3.1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模型错误</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4.3.2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4.3.3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客户选择，业务推介和风险暴露</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未按规定审查客户信用</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4.4.1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对客户</w:t>
            </w:r>
            <w:proofErr w:type="gramStart"/>
            <w:r>
              <w:rPr>
                <w:rFonts w:ascii="宋体" w:hAnsi="宋体" w:hint="eastAsia"/>
                <w:sz w:val="24"/>
                <w:szCs w:val="24"/>
              </w:rPr>
              <w:t>超风险</w:t>
            </w:r>
            <w:proofErr w:type="gramEnd"/>
            <w:r>
              <w:rPr>
                <w:rFonts w:ascii="宋体" w:hAnsi="宋体" w:hint="eastAsia"/>
                <w:sz w:val="24"/>
                <w:szCs w:val="24"/>
              </w:rPr>
              <w:t>限额</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4.4.2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4.4.3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咨询业务</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咨询业务产生的纠纷</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4.5.1</w:t>
            </w:r>
          </w:p>
        </w:tc>
      </w:tr>
      <w:tr w:rsidR="00A51611">
        <w:trPr>
          <w:trHeight w:val="270"/>
        </w:trPr>
        <w:tc>
          <w:tcPr>
            <w:tcW w:w="1083"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实物资产的损坏</w:t>
            </w:r>
          </w:p>
        </w:tc>
        <w:tc>
          <w:tcPr>
            <w:tcW w:w="1342"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实体资产因自然灾害或其他事件丢失或毁坏导致的损失</w:t>
            </w: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灾害和其他事件</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自然灾害损失</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5.1.1</w:t>
            </w:r>
          </w:p>
        </w:tc>
      </w:tr>
      <w:tr w:rsidR="00A51611">
        <w:trPr>
          <w:trHeight w:val="48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外力（恐怖袭击、故意破坏）造成的人员伤亡和损失</w:t>
            </w:r>
          </w:p>
        </w:tc>
        <w:tc>
          <w:tcPr>
            <w:tcW w:w="1120" w:type="dxa"/>
            <w:tcMar>
              <w:top w:w="15" w:type="dxa"/>
              <w:left w:w="15" w:type="dxa"/>
              <w:bottom w:w="0" w:type="dxa"/>
              <w:right w:w="15" w:type="dxa"/>
            </w:tcMar>
            <w:vAlign w:val="center"/>
          </w:tcPr>
          <w:p w:rsidR="00A51611" w:rsidRDefault="00A51611" w:rsidP="003F3E11">
            <w:pPr>
              <w:ind w:hanging="1"/>
              <w:jc w:val="center"/>
              <w:rPr>
                <w:rFonts w:ascii="宋体" w:hAnsi="宋体"/>
                <w:sz w:val="24"/>
                <w:szCs w:val="24"/>
              </w:rPr>
            </w:pPr>
            <w:r>
              <w:rPr>
                <w:rFonts w:ascii="宋体" w:hAnsi="宋体" w:hint="eastAsia"/>
                <w:sz w:val="24"/>
                <w:szCs w:val="24"/>
              </w:rPr>
              <w:t>5.1.2</w:t>
            </w:r>
          </w:p>
        </w:tc>
      </w:tr>
      <w:tr w:rsidR="00A51611">
        <w:trPr>
          <w:trHeight w:val="240"/>
        </w:trPr>
        <w:tc>
          <w:tcPr>
            <w:tcW w:w="1083"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信息科技系统事件</w:t>
            </w:r>
          </w:p>
        </w:tc>
        <w:tc>
          <w:tcPr>
            <w:tcW w:w="1342"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业务中断或系统失灵导致的损失</w:t>
            </w: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信息系统</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硬件</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6.1.1</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软件</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6.1.2</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网络与通信线路</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6.1.3</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动力输送损耗/中断</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6.1.4</w:t>
            </w:r>
          </w:p>
        </w:tc>
      </w:tr>
      <w:tr w:rsidR="00A51611">
        <w:trPr>
          <w:trHeight w:val="240"/>
        </w:trPr>
        <w:tc>
          <w:tcPr>
            <w:tcW w:w="1083" w:type="dxa"/>
            <w:vMerge/>
            <w:vAlign w:val="center"/>
          </w:tcPr>
          <w:p w:rsidR="00A51611" w:rsidRDefault="00A51611" w:rsidP="003F3E11">
            <w:pPr>
              <w:jc w:val="left"/>
              <w:rPr>
                <w:rFonts w:ascii="宋体" w:hAnsi="宋体"/>
                <w:sz w:val="24"/>
                <w:szCs w:val="24"/>
              </w:rPr>
            </w:pPr>
          </w:p>
        </w:tc>
        <w:tc>
          <w:tcPr>
            <w:tcW w:w="1342" w:type="dxa"/>
            <w:vMerge/>
            <w:vAlign w:val="center"/>
          </w:tcPr>
          <w:p w:rsidR="00A51611" w:rsidRDefault="00A51611" w:rsidP="003F3E11">
            <w:pPr>
              <w:jc w:val="left"/>
              <w:rPr>
                <w:rFonts w:ascii="宋体" w:hAnsi="宋体"/>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6.1.5</w:t>
            </w:r>
          </w:p>
        </w:tc>
      </w:tr>
      <w:tr w:rsidR="00A51611">
        <w:trPr>
          <w:trHeight w:val="240"/>
        </w:trPr>
        <w:tc>
          <w:tcPr>
            <w:tcW w:w="1083"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执行、交割和流程管理事件</w:t>
            </w:r>
          </w:p>
        </w:tc>
        <w:tc>
          <w:tcPr>
            <w:tcW w:w="1342"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交易处理或流程管理失败和因交易对手方及外部销售商关系导致的损失</w:t>
            </w: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交易认定，执行和维护</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错误传达信息</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7.1.1</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数据录入、维护或登载错误</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7.1.2</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超过最后期限或未履行义务</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7.1.3</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模型/系统误操作</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7.1.4</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账务处理错误/交易归属错误</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7.1.5</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其他任务履行失误</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7.1.6</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交割失误</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7.1.7</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担保品管理失效</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7.1.8</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交易相关数据维护</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7.1.9</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7.1.10</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监控和报告</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未履行强制报告职责</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7.2.1</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外部报告不准确导致损失</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7.2.2</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7.2.3</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招揽客户和文件记录</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客户许可/免责声明缺失</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7.3.1</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法律文件缺失/不完备</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7.3.2</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7.3.3</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个人/企业客户账户管理</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未经批准登录账户</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7.4.1</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客户信息记录错误导致损失</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7.4.2</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因疏忽导致客户资产损坏</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7.4.3</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7.4.4</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交易对手方</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与同业交易处理不当</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7.5.1</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与同业交易对手方的争议</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7.5.2</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jc w:val="left"/>
              <w:rPr>
                <w:rFonts w:ascii="宋体" w:hAnsi="宋体"/>
                <w:sz w:val="24"/>
                <w:szCs w:val="24"/>
              </w:rPr>
            </w:pPr>
          </w:p>
        </w:tc>
        <w:tc>
          <w:tcPr>
            <w:tcW w:w="3685" w:type="dxa"/>
            <w:tcMar>
              <w:top w:w="15" w:type="dxa"/>
              <w:left w:w="15" w:type="dxa"/>
              <w:bottom w:w="0" w:type="dxa"/>
              <w:right w:w="15" w:type="dxa"/>
            </w:tcMar>
            <w:vAlign w:val="bottom"/>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7.5.3</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restart"/>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外部销售商和供应商</w:t>
            </w: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外包</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7.6.1</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ind w:firstLineChars="172" w:firstLine="413"/>
              <w:jc w:val="left"/>
              <w:rPr>
                <w:rFonts w:ascii="宋体" w:hAnsi="宋体" w:cs="Arial Unicode MS"/>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与外部销售商的纠纷</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7.6.2</w:t>
            </w:r>
          </w:p>
        </w:tc>
      </w:tr>
      <w:tr w:rsidR="00A51611">
        <w:trPr>
          <w:trHeight w:val="240"/>
        </w:trPr>
        <w:tc>
          <w:tcPr>
            <w:tcW w:w="1083" w:type="dxa"/>
            <w:vMerge/>
            <w:vAlign w:val="center"/>
          </w:tcPr>
          <w:p w:rsidR="00A51611" w:rsidRDefault="00A51611" w:rsidP="003F3E11">
            <w:pPr>
              <w:ind w:firstLineChars="172" w:firstLine="413"/>
              <w:jc w:val="left"/>
              <w:rPr>
                <w:rFonts w:ascii="宋体" w:hAnsi="宋体" w:cs="Arial Unicode MS"/>
                <w:sz w:val="24"/>
                <w:szCs w:val="24"/>
              </w:rPr>
            </w:pPr>
          </w:p>
        </w:tc>
        <w:tc>
          <w:tcPr>
            <w:tcW w:w="1342" w:type="dxa"/>
            <w:vMerge/>
            <w:vAlign w:val="center"/>
          </w:tcPr>
          <w:p w:rsidR="00A51611" w:rsidRDefault="00A51611" w:rsidP="003F3E11">
            <w:pPr>
              <w:ind w:firstLineChars="172" w:firstLine="413"/>
              <w:jc w:val="left"/>
              <w:rPr>
                <w:rFonts w:ascii="宋体" w:hAnsi="宋体" w:cs="Arial Unicode MS"/>
                <w:sz w:val="24"/>
                <w:szCs w:val="24"/>
              </w:rPr>
            </w:pPr>
          </w:p>
        </w:tc>
        <w:tc>
          <w:tcPr>
            <w:tcW w:w="1276" w:type="dxa"/>
            <w:vMerge/>
            <w:vAlign w:val="center"/>
          </w:tcPr>
          <w:p w:rsidR="00A51611" w:rsidRDefault="00A51611" w:rsidP="003F3E11">
            <w:pPr>
              <w:ind w:firstLineChars="172" w:firstLine="413"/>
              <w:jc w:val="left"/>
              <w:rPr>
                <w:rFonts w:ascii="宋体" w:hAnsi="宋体" w:cs="Arial Unicode MS"/>
                <w:sz w:val="24"/>
                <w:szCs w:val="24"/>
              </w:rPr>
            </w:pPr>
          </w:p>
        </w:tc>
        <w:tc>
          <w:tcPr>
            <w:tcW w:w="3685" w:type="dxa"/>
            <w:tcMar>
              <w:top w:w="15" w:type="dxa"/>
              <w:left w:w="15" w:type="dxa"/>
              <w:bottom w:w="0" w:type="dxa"/>
              <w:right w:w="15" w:type="dxa"/>
            </w:tcMar>
            <w:vAlign w:val="center"/>
          </w:tcPr>
          <w:p w:rsidR="00A51611" w:rsidRDefault="00A51611" w:rsidP="003F3E11">
            <w:pPr>
              <w:jc w:val="left"/>
              <w:rPr>
                <w:rFonts w:ascii="宋体" w:hAnsi="宋体"/>
                <w:sz w:val="24"/>
                <w:szCs w:val="24"/>
              </w:rPr>
            </w:pPr>
            <w:r>
              <w:rPr>
                <w:rFonts w:ascii="宋体" w:hAnsi="宋体" w:hint="eastAsia"/>
                <w:sz w:val="24"/>
                <w:szCs w:val="24"/>
              </w:rPr>
              <w:t>其他</w:t>
            </w:r>
          </w:p>
        </w:tc>
        <w:tc>
          <w:tcPr>
            <w:tcW w:w="1120" w:type="dxa"/>
            <w:tcMar>
              <w:top w:w="15" w:type="dxa"/>
              <w:left w:w="15" w:type="dxa"/>
              <w:bottom w:w="0" w:type="dxa"/>
              <w:right w:w="15" w:type="dxa"/>
            </w:tcMar>
            <w:vAlign w:val="bottom"/>
          </w:tcPr>
          <w:p w:rsidR="00A51611" w:rsidRDefault="00A51611" w:rsidP="003F3E11">
            <w:pPr>
              <w:ind w:hanging="1"/>
              <w:jc w:val="center"/>
              <w:rPr>
                <w:rFonts w:ascii="宋体" w:hAnsi="宋体"/>
                <w:sz w:val="24"/>
                <w:szCs w:val="24"/>
              </w:rPr>
            </w:pPr>
            <w:r>
              <w:rPr>
                <w:rFonts w:ascii="宋体" w:hAnsi="宋体" w:hint="eastAsia"/>
                <w:sz w:val="24"/>
                <w:szCs w:val="24"/>
              </w:rPr>
              <w:t>7.6.3</w:t>
            </w:r>
          </w:p>
        </w:tc>
      </w:tr>
    </w:tbl>
    <w:p w:rsidR="00A51611" w:rsidRDefault="00A51611" w:rsidP="003F3E11">
      <w:pPr>
        <w:pStyle w:val="2"/>
      </w:pPr>
      <w:r>
        <w:rPr>
          <w:rFonts w:hint="eastAsia"/>
        </w:rPr>
        <w:t>二、基本指标法</w:t>
      </w:r>
    </w:p>
    <w:p w:rsidR="00A51611" w:rsidRDefault="00A51611">
      <w:pPr>
        <w:spacing w:line="480" w:lineRule="exact"/>
        <w:ind w:firstLineChars="200" w:firstLine="600"/>
        <w:rPr>
          <w:rFonts w:ascii="仿宋_GB2312" w:eastAsia="仿宋_GB2312" w:hAnsi="宋体"/>
          <w:sz w:val="30"/>
          <w:szCs w:val="30"/>
        </w:rPr>
      </w:pPr>
      <w:r>
        <w:rPr>
          <w:rFonts w:ascii="仿宋_GB2312" w:eastAsia="仿宋_GB2312" w:hAnsi="宋体" w:hint="eastAsia"/>
          <w:sz w:val="30"/>
          <w:szCs w:val="30"/>
        </w:rPr>
        <w:t>总收入为净利息收入</w:t>
      </w:r>
      <w:proofErr w:type="gramStart"/>
      <w:r>
        <w:rPr>
          <w:rFonts w:ascii="仿宋_GB2312" w:eastAsia="仿宋_GB2312" w:hAnsi="宋体" w:hint="eastAsia"/>
          <w:sz w:val="30"/>
          <w:szCs w:val="30"/>
        </w:rPr>
        <w:t>与净非利息收入</w:t>
      </w:r>
      <w:proofErr w:type="gramEnd"/>
      <w:r>
        <w:rPr>
          <w:rFonts w:ascii="仿宋_GB2312" w:eastAsia="仿宋_GB2312" w:hAnsi="宋体" w:hint="eastAsia"/>
          <w:sz w:val="30"/>
          <w:szCs w:val="30"/>
        </w:rPr>
        <w:t>之</w:t>
      </w:r>
      <w:proofErr w:type="gramStart"/>
      <w:r>
        <w:rPr>
          <w:rFonts w:ascii="仿宋_GB2312" w:eastAsia="仿宋_GB2312" w:hAnsi="宋体" w:hint="eastAsia"/>
          <w:sz w:val="30"/>
          <w:szCs w:val="30"/>
        </w:rPr>
        <w:t>和</w:t>
      </w:r>
      <w:proofErr w:type="gramEnd"/>
      <w:r>
        <w:rPr>
          <w:rFonts w:ascii="仿宋_GB2312" w:eastAsia="仿宋_GB2312" w:hAnsi="宋体" w:hint="eastAsia"/>
          <w:sz w:val="30"/>
          <w:szCs w:val="30"/>
        </w:rPr>
        <w:t>。总收入构成说明见表3。</w:t>
      </w:r>
    </w:p>
    <w:p w:rsidR="00A51611" w:rsidRDefault="00A51611" w:rsidP="00901BC0">
      <w:pPr>
        <w:spacing w:line="480" w:lineRule="exact"/>
        <w:ind w:leftChars="172" w:left="361"/>
        <w:jc w:val="center"/>
        <w:rPr>
          <w:rFonts w:ascii="楷体_GB2312" w:eastAsia="楷体_GB2312" w:hAnsi="宋体"/>
          <w:b/>
          <w:sz w:val="28"/>
          <w:szCs w:val="28"/>
        </w:rPr>
      </w:pPr>
      <w:r>
        <w:rPr>
          <w:rFonts w:ascii="楷体_GB2312" w:eastAsia="楷体_GB2312" w:hAnsi="宋体" w:hint="eastAsia"/>
          <w:b/>
          <w:sz w:val="28"/>
          <w:szCs w:val="28"/>
        </w:rPr>
        <w:t>表3 总收入构成说明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2512"/>
        <w:gridCol w:w="5143"/>
      </w:tblGrid>
      <w:tr w:rsidR="00A51611">
        <w:tc>
          <w:tcPr>
            <w:tcW w:w="867" w:type="dxa"/>
          </w:tcPr>
          <w:p w:rsidR="00A51611" w:rsidRDefault="00A51611" w:rsidP="003F3E11">
            <w:pPr>
              <w:rPr>
                <w:rFonts w:ascii="宋体" w:hAnsi="宋体"/>
                <w:sz w:val="24"/>
                <w:szCs w:val="24"/>
              </w:rPr>
            </w:pPr>
          </w:p>
        </w:tc>
        <w:tc>
          <w:tcPr>
            <w:tcW w:w="2512" w:type="dxa"/>
          </w:tcPr>
          <w:p w:rsidR="00A51611" w:rsidRDefault="00A51611" w:rsidP="003F3E11">
            <w:pPr>
              <w:jc w:val="center"/>
              <w:rPr>
                <w:rFonts w:ascii="宋体" w:hAnsi="宋体"/>
                <w:b/>
                <w:sz w:val="24"/>
                <w:szCs w:val="24"/>
              </w:rPr>
            </w:pPr>
            <w:r>
              <w:rPr>
                <w:rFonts w:ascii="宋体" w:hAnsi="宋体" w:hint="eastAsia"/>
                <w:b/>
                <w:sz w:val="24"/>
                <w:szCs w:val="24"/>
              </w:rPr>
              <w:t>项目</w:t>
            </w:r>
          </w:p>
        </w:tc>
        <w:tc>
          <w:tcPr>
            <w:tcW w:w="5143" w:type="dxa"/>
          </w:tcPr>
          <w:p w:rsidR="00A51611" w:rsidRDefault="00A51611" w:rsidP="003F3E11">
            <w:pPr>
              <w:jc w:val="center"/>
              <w:rPr>
                <w:rFonts w:ascii="宋体" w:hAnsi="宋体"/>
                <w:b/>
                <w:sz w:val="24"/>
                <w:szCs w:val="24"/>
              </w:rPr>
            </w:pPr>
            <w:r>
              <w:rPr>
                <w:rFonts w:ascii="宋体" w:hAnsi="宋体" w:hint="eastAsia"/>
                <w:b/>
                <w:sz w:val="24"/>
                <w:szCs w:val="24"/>
              </w:rPr>
              <w:t>内容</w:t>
            </w:r>
          </w:p>
        </w:tc>
      </w:tr>
      <w:tr w:rsidR="00A51611">
        <w:tc>
          <w:tcPr>
            <w:tcW w:w="867" w:type="dxa"/>
          </w:tcPr>
          <w:p w:rsidR="00A51611" w:rsidRDefault="00A51611" w:rsidP="003F3E11">
            <w:pPr>
              <w:jc w:val="left"/>
              <w:rPr>
                <w:rFonts w:ascii="宋体" w:hAnsi="宋体"/>
                <w:sz w:val="24"/>
                <w:szCs w:val="24"/>
              </w:rPr>
            </w:pPr>
            <w:r>
              <w:rPr>
                <w:rFonts w:ascii="宋体" w:hAnsi="宋体" w:hint="eastAsia"/>
                <w:sz w:val="24"/>
                <w:szCs w:val="24"/>
              </w:rPr>
              <w:t>1</w:t>
            </w:r>
          </w:p>
        </w:tc>
        <w:tc>
          <w:tcPr>
            <w:tcW w:w="2512" w:type="dxa"/>
          </w:tcPr>
          <w:p w:rsidR="00A51611" w:rsidRDefault="00A51611" w:rsidP="003F3E11">
            <w:pPr>
              <w:jc w:val="left"/>
              <w:rPr>
                <w:rFonts w:ascii="宋体" w:hAnsi="宋体"/>
                <w:sz w:val="24"/>
                <w:szCs w:val="24"/>
              </w:rPr>
            </w:pPr>
            <w:r>
              <w:rPr>
                <w:rFonts w:ascii="宋体" w:hAnsi="宋体" w:hint="eastAsia"/>
                <w:sz w:val="24"/>
                <w:szCs w:val="24"/>
              </w:rPr>
              <w:t>利息收入</w:t>
            </w:r>
          </w:p>
        </w:tc>
        <w:tc>
          <w:tcPr>
            <w:tcW w:w="5143" w:type="dxa"/>
          </w:tcPr>
          <w:p w:rsidR="00A51611" w:rsidRDefault="00A51611" w:rsidP="003F3E11">
            <w:pPr>
              <w:jc w:val="left"/>
              <w:rPr>
                <w:rFonts w:ascii="宋体" w:hAnsi="宋体"/>
                <w:sz w:val="24"/>
                <w:szCs w:val="24"/>
              </w:rPr>
            </w:pPr>
            <w:r>
              <w:rPr>
                <w:rFonts w:ascii="宋体" w:hAnsi="宋体" w:hint="eastAsia"/>
                <w:sz w:val="24"/>
                <w:szCs w:val="24"/>
              </w:rPr>
              <w:t>金融机构往来利息收入，贷款、投资利息收入、其他利息收入等</w:t>
            </w:r>
          </w:p>
        </w:tc>
      </w:tr>
      <w:tr w:rsidR="00A51611">
        <w:tc>
          <w:tcPr>
            <w:tcW w:w="867" w:type="dxa"/>
          </w:tcPr>
          <w:p w:rsidR="00A51611" w:rsidRDefault="00A51611" w:rsidP="003F3E11">
            <w:pPr>
              <w:jc w:val="left"/>
              <w:rPr>
                <w:rFonts w:ascii="宋体" w:hAnsi="宋体"/>
                <w:sz w:val="24"/>
                <w:szCs w:val="24"/>
              </w:rPr>
            </w:pPr>
            <w:r>
              <w:rPr>
                <w:rFonts w:ascii="宋体" w:hAnsi="宋体" w:hint="eastAsia"/>
                <w:sz w:val="24"/>
                <w:szCs w:val="24"/>
              </w:rPr>
              <w:t>2</w:t>
            </w:r>
          </w:p>
        </w:tc>
        <w:tc>
          <w:tcPr>
            <w:tcW w:w="2512" w:type="dxa"/>
          </w:tcPr>
          <w:p w:rsidR="00A51611" w:rsidRDefault="00A51611" w:rsidP="003F3E11">
            <w:pPr>
              <w:jc w:val="left"/>
              <w:rPr>
                <w:rFonts w:ascii="宋体" w:hAnsi="宋体"/>
                <w:sz w:val="24"/>
                <w:szCs w:val="24"/>
              </w:rPr>
            </w:pPr>
            <w:r>
              <w:rPr>
                <w:rFonts w:ascii="宋体" w:hAnsi="宋体" w:hint="eastAsia"/>
                <w:sz w:val="24"/>
                <w:szCs w:val="24"/>
              </w:rPr>
              <w:t>利息支出</w:t>
            </w:r>
          </w:p>
        </w:tc>
        <w:tc>
          <w:tcPr>
            <w:tcW w:w="5143" w:type="dxa"/>
          </w:tcPr>
          <w:p w:rsidR="00A51611" w:rsidRDefault="00A51611" w:rsidP="003F3E11">
            <w:pPr>
              <w:jc w:val="left"/>
              <w:rPr>
                <w:rFonts w:ascii="宋体" w:hAnsi="宋体"/>
                <w:sz w:val="24"/>
                <w:szCs w:val="24"/>
              </w:rPr>
            </w:pPr>
            <w:r>
              <w:rPr>
                <w:rFonts w:ascii="宋体" w:hAnsi="宋体" w:hint="eastAsia"/>
                <w:sz w:val="24"/>
                <w:szCs w:val="24"/>
              </w:rPr>
              <w:t>金融机构往来利息支出、客户存款利息支出、其他借入资金利息支出等</w:t>
            </w:r>
          </w:p>
        </w:tc>
      </w:tr>
      <w:tr w:rsidR="00A51611">
        <w:tc>
          <w:tcPr>
            <w:tcW w:w="867" w:type="dxa"/>
          </w:tcPr>
          <w:p w:rsidR="00A51611" w:rsidRDefault="00A51611" w:rsidP="003F3E11">
            <w:pPr>
              <w:jc w:val="left"/>
              <w:rPr>
                <w:rFonts w:ascii="宋体" w:hAnsi="宋体"/>
                <w:sz w:val="24"/>
                <w:szCs w:val="24"/>
              </w:rPr>
            </w:pPr>
            <w:r>
              <w:rPr>
                <w:rFonts w:ascii="宋体" w:hAnsi="宋体" w:hint="eastAsia"/>
                <w:sz w:val="24"/>
                <w:szCs w:val="24"/>
              </w:rPr>
              <w:t>3</w:t>
            </w:r>
          </w:p>
        </w:tc>
        <w:tc>
          <w:tcPr>
            <w:tcW w:w="2512" w:type="dxa"/>
          </w:tcPr>
          <w:p w:rsidR="00A51611" w:rsidRDefault="00A51611" w:rsidP="003F3E11">
            <w:pPr>
              <w:jc w:val="left"/>
              <w:rPr>
                <w:rFonts w:ascii="宋体" w:hAnsi="宋体"/>
                <w:sz w:val="24"/>
                <w:szCs w:val="24"/>
              </w:rPr>
            </w:pPr>
            <w:r>
              <w:rPr>
                <w:rFonts w:ascii="宋体" w:hAnsi="宋体" w:hint="eastAsia"/>
                <w:sz w:val="24"/>
                <w:szCs w:val="24"/>
              </w:rPr>
              <w:t>净利息收入</w:t>
            </w:r>
          </w:p>
        </w:tc>
        <w:tc>
          <w:tcPr>
            <w:tcW w:w="5143" w:type="dxa"/>
          </w:tcPr>
          <w:p w:rsidR="00A51611" w:rsidRDefault="00A51611" w:rsidP="003F3E11">
            <w:pPr>
              <w:jc w:val="left"/>
              <w:rPr>
                <w:rFonts w:ascii="宋体" w:hAnsi="宋体"/>
                <w:sz w:val="24"/>
                <w:szCs w:val="24"/>
              </w:rPr>
            </w:pPr>
            <w:r>
              <w:rPr>
                <w:rFonts w:ascii="宋体" w:hAnsi="宋体" w:hint="eastAsia"/>
                <w:sz w:val="24"/>
                <w:szCs w:val="24"/>
              </w:rPr>
              <w:t>1-2</w:t>
            </w:r>
          </w:p>
        </w:tc>
      </w:tr>
      <w:tr w:rsidR="00A51611">
        <w:tc>
          <w:tcPr>
            <w:tcW w:w="867" w:type="dxa"/>
          </w:tcPr>
          <w:p w:rsidR="00A51611" w:rsidRDefault="00A51611" w:rsidP="003F3E11">
            <w:pPr>
              <w:jc w:val="left"/>
              <w:rPr>
                <w:rFonts w:ascii="宋体" w:hAnsi="宋体"/>
                <w:sz w:val="24"/>
                <w:szCs w:val="24"/>
              </w:rPr>
            </w:pPr>
            <w:r>
              <w:rPr>
                <w:rFonts w:ascii="宋体" w:hAnsi="宋体" w:hint="eastAsia"/>
                <w:sz w:val="24"/>
                <w:szCs w:val="24"/>
              </w:rPr>
              <w:t>4</w:t>
            </w:r>
          </w:p>
        </w:tc>
        <w:tc>
          <w:tcPr>
            <w:tcW w:w="2512" w:type="dxa"/>
          </w:tcPr>
          <w:p w:rsidR="00A51611" w:rsidRDefault="00A51611" w:rsidP="003F3E11">
            <w:pPr>
              <w:jc w:val="left"/>
              <w:rPr>
                <w:rFonts w:ascii="宋体" w:hAnsi="宋体"/>
                <w:sz w:val="24"/>
                <w:szCs w:val="24"/>
              </w:rPr>
            </w:pPr>
            <w:r>
              <w:rPr>
                <w:rFonts w:ascii="宋体" w:hAnsi="宋体" w:hint="eastAsia"/>
                <w:sz w:val="24"/>
                <w:szCs w:val="24"/>
              </w:rPr>
              <w:t>手续费和佣金净收入</w:t>
            </w:r>
          </w:p>
        </w:tc>
        <w:tc>
          <w:tcPr>
            <w:tcW w:w="5143" w:type="dxa"/>
          </w:tcPr>
          <w:p w:rsidR="00A51611" w:rsidRDefault="00A51611" w:rsidP="003F3E11">
            <w:pPr>
              <w:jc w:val="left"/>
              <w:rPr>
                <w:rFonts w:ascii="宋体" w:hAnsi="宋体"/>
                <w:sz w:val="24"/>
                <w:szCs w:val="24"/>
              </w:rPr>
            </w:pPr>
            <w:r>
              <w:rPr>
                <w:rFonts w:ascii="宋体" w:hAnsi="宋体" w:hint="eastAsia"/>
                <w:sz w:val="24"/>
                <w:szCs w:val="24"/>
              </w:rPr>
              <w:t>手续费及佣金收入-手续费及佣金支出</w:t>
            </w:r>
          </w:p>
        </w:tc>
      </w:tr>
      <w:tr w:rsidR="00A51611">
        <w:tc>
          <w:tcPr>
            <w:tcW w:w="867" w:type="dxa"/>
          </w:tcPr>
          <w:p w:rsidR="00A51611" w:rsidRDefault="00A51611" w:rsidP="003F3E11">
            <w:pPr>
              <w:jc w:val="left"/>
              <w:rPr>
                <w:rFonts w:ascii="宋体" w:hAnsi="宋体"/>
                <w:sz w:val="24"/>
                <w:szCs w:val="24"/>
              </w:rPr>
            </w:pPr>
            <w:r>
              <w:rPr>
                <w:rFonts w:ascii="宋体" w:hAnsi="宋体" w:hint="eastAsia"/>
                <w:sz w:val="24"/>
                <w:szCs w:val="24"/>
              </w:rPr>
              <w:t>5</w:t>
            </w:r>
          </w:p>
        </w:tc>
        <w:tc>
          <w:tcPr>
            <w:tcW w:w="2512" w:type="dxa"/>
          </w:tcPr>
          <w:p w:rsidR="00A51611" w:rsidRDefault="00A51611" w:rsidP="003F3E11">
            <w:pPr>
              <w:jc w:val="left"/>
              <w:rPr>
                <w:rFonts w:ascii="宋体" w:hAnsi="宋体"/>
                <w:sz w:val="24"/>
                <w:szCs w:val="24"/>
              </w:rPr>
            </w:pPr>
            <w:r>
              <w:rPr>
                <w:rFonts w:ascii="宋体" w:hAnsi="宋体" w:hint="eastAsia"/>
                <w:sz w:val="24"/>
                <w:szCs w:val="24"/>
              </w:rPr>
              <w:t>净交易损益</w:t>
            </w:r>
          </w:p>
        </w:tc>
        <w:tc>
          <w:tcPr>
            <w:tcW w:w="5143" w:type="dxa"/>
          </w:tcPr>
          <w:p w:rsidR="00A51611" w:rsidRDefault="00A51611" w:rsidP="003F3E11">
            <w:pPr>
              <w:jc w:val="left"/>
              <w:rPr>
                <w:rFonts w:ascii="宋体" w:hAnsi="宋体"/>
                <w:sz w:val="24"/>
                <w:szCs w:val="24"/>
              </w:rPr>
            </w:pPr>
            <w:r>
              <w:rPr>
                <w:rFonts w:ascii="宋体" w:hAnsi="宋体" w:hint="eastAsia"/>
                <w:sz w:val="24"/>
                <w:szCs w:val="24"/>
              </w:rPr>
              <w:t>汇兑与汇率产品损益、贵金属与其他商品交易损益、利率产品交易损益、权益衍生产品交易损益等</w:t>
            </w:r>
          </w:p>
        </w:tc>
      </w:tr>
      <w:tr w:rsidR="00A51611">
        <w:tc>
          <w:tcPr>
            <w:tcW w:w="867" w:type="dxa"/>
          </w:tcPr>
          <w:p w:rsidR="00A51611" w:rsidRDefault="00A51611" w:rsidP="003F3E11">
            <w:pPr>
              <w:jc w:val="left"/>
              <w:rPr>
                <w:rFonts w:ascii="宋体" w:hAnsi="宋体"/>
                <w:sz w:val="24"/>
                <w:szCs w:val="24"/>
              </w:rPr>
            </w:pPr>
            <w:r>
              <w:rPr>
                <w:rFonts w:ascii="宋体" w:hAnsi="宋体" w:hint="eastAsia"/>
                <w:sz w:val="24"/>
                <w:szCs w:val="24"/>
              </w:rPr>
              <w:t>6</w:t>
            </w:r>
          </w:p>
        </w:tc>
        <w:tc>
          <w:tcPr>
            <w:tcW w:w="2512" w:type="dxa"/>
          </w:tcPr>
          <w:p w:rsidR="00A51611" w:rsidRDefault="00A51611" w:rsidP="003F3E11">
            <w:pPr>
              <w:jc w:val="left"/>
              <w:rPr>
                <w:rFonts w:ascii="宋体" w:hAnsi="宋体"/>
                <w:sz w:val="24"/>
                <w:szCs w:val="24"/>
              </w:rPr>
            </w:pPr>
            <w:r>
              <w:rPr>
                <w:rFonts w:ascii="宋体" w:hAnsi="宋体" w:hint="eastAsia"/>
                <w:sz w:val="24"/>
                <w:szCs w:val="24"/>
              </w:rPr>
              <w:t>证券投资净收益</w:t>
            </w:r>
          </w:p>
        </w:tc>
        <w:tc>
          <w:tcPr>
            <w:tcW w:w="5143" w:type="dxa"/>
          </w:tcPr>
          <w:p w:rsidR="00A51611" w:rsidRDefault="00A51611" w:rsidP="003F3E11">
            <w:pPr>
              <w:jc w:val="left"/>
              <w:rPr>
                <w:rFonts w:ascii="宋体" w:hAnsi="宋体"/>
                <w:sz w:val="24"/>
                <w:szCs w:val="24"/>
              </w:rPr>
            </w:pPr>
            <w:r>
              <w:rPr>
                <w:rFonts w:ascii="宋体" w:hAnsi="宋体" w:hint="eastAsia"/>
                <w:sz w:val="24"/>
                <w:szCs w:val="24"/>
              </w:rPr>
              <w:t>证券投资净损益等，但不包括银行账簿“以摊余成本计量”和“以公允价值计量且其变动计入其他综合收益”两类证券出售实现的损益</w:t>
            </w:r>
          </w:p>
        </w:tc>
      </w:tr>
      <w:tr w:rsidR="00A51611">
        <w:tc>
          <w:tcPr>
            <w:tcW w:w="867" w:type="dxa"/>
          </w:tcPr>
          <w:p w:rsidR="00A51611" w:rsidRDefault="00A51611" w:rsidP="003F3E11">
            <w:pPr>
              <w:rPr>
                <w:rFonts w:ascii="宋体" w:hAnsi="宋体"/>
                <w:sz w:val="24"/>
                <w:szCs w:val="24"/>
              </w:rPr>
            </w:pPr>
            <w:r>
              <w:rPr>
                <w:rFonts w:ascii="宋体" w:hAnsi="宋体" w:hint="eastAsia"/>
                <w:sz w:val="24"/>
                <w:szCs w:val="24"/>
              </w:rPr>
              <w:t>7</w:t>
            </w:r>
          </w:p>
        </w:tc>
        <w:tc>
          <w:tcPr>
            <w:tcW w:w="2512" w:type="dxa"/>
          </w:tcPr>
          <w:p w:rsidR="00A51611" w:rsidRDefault="00A51611" w:rsidP="003F3E11">
            <w:pPr>
              <w:rPr>
                <w:rFonts w:ascii="宋体" w:hAnsi="宋体"/>
                <w:sz w:val="24"/>
                <w:szCs w:val="24"/>
              </w:rPr>
            </w:pPr>
            <w:r>
              <w:rPr>
                <w:rFonts w:ascii="宋体" w:hAnsi="宋体" w:hint="eastAsia"/>
                <w:sz w:val="24"/>
                <w:szCs w:val="24"/>
              </w:rPr>
              <w:t>其他营业收入</w:t>
            </w:r>
          </w:p>
        </w:tc>
        <w:tc>
          <w:tcPr>
            <w:tcW w:w="5143" w:type="dxa"/>
          </w:tcPr>
          <w:p w:rsidR="00A51611" w:rsidRDefault="00A51611" w:rsidP="003F3E11">
            <w:pPr>
              <w:rPr>
                <w:rFonts w:ascii="宋体" w:hAnsi="宋体"/>
                <w:sz w:val="24"/>
                <w:szCs w:val="24"/>
              </w:rPr>
            </w:pPr>
            <w:r>
              <w:rPr>
                <w:rFonts w:ascii="宋体" w:hAnsi="宋体" w:hint="eastAsia"/>
                <w:sz w:val="24"/>
                <w:szCs w:val="24"/>
              </w:rPr>
              <w:t>股利收入、投资性房地产公允价值变动等</w:t>
            </w:r>
          </w:p>
        </w:tc>
      </w:tr>
      <w:tr w:rsidR="00A51611">
        <w:tc>
          <w:tcPr>
            <w:tcW w:w="867" w:type="dxa"/>
          </w:tcPr>
          <w:p w:rsidR="00A51611" w:rsidRDefault="00A51611" w:rsidP="003F3E11">
            <w:pPr>
              <w:rPr>
                <w:rFonts w:ascii="宋体" w:hAnsi="宋体"/>
                <w:sz w:val="24"/>
                <w:szCs w:val="24"/>
              </w:rPr>
            </w:pPr>
            <w:r>
              <w:rPr>
                <w:rFonts w:ascii="宋体" w:hAnsi="宋体" w:hint="eastAsia"/>
                <w:sz w:val="24"/>
                <w:szCs w:val="24"/>
              </w:rPr>
              <w:t>8</w:t>
            </w:r>
          </w:p>
        </w:tc>
        <w:tc>
          <w:tcPr>
            <w:tcW w:w="2512" w:type="dxa"/>
          </w:tcPr>
          <w:p w:rsidR="00A51611" w:rsidRDefault="00A51611" w:rsidP="003F3E11">
            <w:pPr>
              <w:rPr>
                <w:rFonts w:ascii="宋体" w:hAnsi="宋体"/>
                <w:sz w:val="24"/>
                <w:szCs w:val="24"/>
              </w:rPr>
            </w:pPr>
            <w:proofErr w:type="gramStart"/>
            <w:r>
              <w:rPr>
                <w:rFonts w:ascii="宋体" w:hAnsi="宋体" w:hint="eastAsia"/>
                <w:sz w:val="24"/>
                <w:szCs w:val="24"/>
              </w:rPr>
              <w:t>净非利息收入</w:t>
            </w:r>
            <w:proofErr w:type="gramEnd"/>
          </w:p>
        </w:tc>
        <w:tc>
          <w:tcPr>
            <w:tcW w:w="5143" w:type="dxa"/>
          </w:tcPr>
          <w:p w:rsidR="00A51611" w:rsidRDefault="00A51611" w:rsidP="003F3E11">
            <w:pPr>
              <w:rPr>
                <w:rFonts w:ascii="宋体" w:hAnsi="宋体"/>
                <w:sz w:val="24"/>
                <w:szCs w:val="24"/>
              </w:rPr>
            </w:pPr>
            <w:r>
              <w:rPr>
                <w:rFonts w:ascii="宋体" w:hAnsi="宋体" w:hint="eastAsia"/>
                <w:sz w:val="24"/>
                <w:szCs w:val="24"/>
              </w:rPr>
              <w:t>4+5+6+7</w:t>
            </w:r>
          </w:p>
        </w:tc>
      </w:tr>
      <w:tr w:rsidR="00A51611">
        <w:tc>
          <w:tcPr>
            <w:tcW w:w="867" w:type="dxa"/>
          </w:tcPr>
          <w:p w:rsidR="00A51611" w:rsidRDefault="00A51611" w:rsidP="003F3E11">
            <w:pPr>
              <w:rPr>
                <w:rFonts w:ascii="宋体" w:hAnsi="宋体"/>
                <w:sz w:val="24"/>
                <w:szCs w:val="24"/>
              </w:rPr>
            </w:pPr>
            <w:r>
              <w:rPr>
                <w:rFonts w:ascii="宋体" w:hAnsi="宋体" w:hint="eastAsia"/>
                <w:sz w:val="24"/>
                <w:szCs w:val="24"/>
              </w:rPr>
              <w:lastRenderedPageBreak/>
              <w:t>9</w:t>
            </w:r>
          </w:p>
        </w:tc>
        <w:tc>
          <w:tcPr>
            <w:tcW w:w="2512" w:type="dxa"/>
          </w:tcPr>
          <w:p w:rsidR="00A51611" w:rsidRDefault="00A51611" w:rsidP="003F3E11">
            <w:pPr>
              <w:rPr>
                <w:rFonts w:ascii="宋体" w:hAnsi="宋体"/>
                <w:sz w:val="24"/>
                <w:szCs w:val="24"/>
              </w:rPr>
            </w:pPr>
            <w:r>
              <w:rPr>
                <w:rFonts w:ascii="宋体" w:hAnsi="宋体" w:hint="eastAsia"/>
                <w:sz w:val="24"/>
                <w:szCs w:val="24"/>
              </w:rPr>
              <w:t>总收入</w:t>
            </w:r>
          </w:p>
        </w:tc>
        <w:tc>
          <w:tcPr>
            <w:tcW w:w="5143" w:type="dxa"/>
          </w:tcPr>
          <w:p w:rsidR="00A51611" w:rsidRDefault="00A51611" w:rsidP="003F3E11">
            <w:pPr>
              <w:rPr>
                <w:rFonts w:ascii="宋体" w:hAnsi="宋体"/>
                <w:sz w:val="24"/>
                <w:szCs w:val="24"/>
              </w:rPr>
            </w:pPr>
            <w:r>
              <w:rPr>
                <w:rFonts w:ascii="宋体" w:hAnsi="宋体" w:hint="eastAsia"/>
                <w:sz w:val="24"/>
                <w:szCs w:val="24"/>
              </w:rPr>
              <w:t>3+8</w:t>
            </w:r>
          </w:p>
        </w:tc>
      </w:tr>
    </w:tbl>
    <w:p w:rsidR="00A51611" w:rsidRDefault="00A51611">
      <w:pPr>
        <w:spacing w:line="480" w:lineRule="exact"/>
        <w:rPr>
          <w:rFonts w:ascii="仿宋_GB2312" w:eastAsia="仿宋_GB2312"/>
          <w:szCs w:val="21"/>
        </w:rPr>
      </w:pPr>
    </w:p>
    <w:sectPr w:rsidR="00A51611">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611" w:rsidRDefault="00A51611">
      <w:r>
        <w:separator/>
      </w:r>
    </w:p>
  </w:endnote>
  <w:endnote w:type="continuationSeparator" w:id="0">
    <w:p w:rsidR="00A51611" w:rsidRDefault="00A5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611" w:rsidRDefault="00A51611">
    <w:pPr>
      <w:pStyle w:val="a5"/>
      <w:framePr w:wrap="around" w:vAnchor="text" w:hAnchor="margin" w:xAlign="outside" w:y="1"/>
      <w:rPr>
        <w:rStyle w:val="a9"/>
      </w:rPr>
    </w:pPr>
    <w:r>
      <w:fldChar w:fldCharType="begin"/>
    </w:r>
    <w:r>
      <w:rPr>
        <w:rStyle w:val="a9"/>
      </w:rPr>
      <w:instrText xml:space="preserve">PAGE  </w:instrText>
    </w:r>
    <w:r>
      <w:fldChar w:fldCharType="end"/>
    </w:r>
  </w:p>
  <w:p w:rsidR="00A51611" w:rsidRDefault="00A51611">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561102"/>
      <w:docPartObj>
        <w:docPartGallery w:val="Page Numbers (Bottom of Page)"/>
        <w:docPartUnique/>
      </w:docPartObj>
    </w:sdtPr>
    <w:sdtEndPr/>
    <w:sdtContent>
      <w:p w:rsidR="00A51611" w:rsidRDefault="008A5CBF" w:rsidP="008A5CBF">
        <w:pPr>
          <w:pStyle w:val="a5"/>
          <w:jc w:val="center"/>
        </w:pPr>
        <w:r>
          <w:fldChar w:fldCharType="begin"/>
        </w:r>
        <w:r>
          <w:instrText>PAGE   \* MERGEFORMAT</w:instrText>
        </w:r>
        <w:r>
          <w:fldChar w:fldCharType="separate"/>
        </w:r>
        <w:r w:rsidR="00901BC0" w:rsidRPr="00901BC0">
          <w:rPr>
            <w:noProof/>
            <w:lang w:val="zh-CN"/>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611" w:rsidRDefault="00A51611">
      <w:r>
        <w:separator/>
      </w:r>
    </w:p>
  </w:footnote>
  <w:footnote w:type="continuationSeparator" w:id="0">
    <w:p w:rsidR="00A51611" w:rsidRDefault="00A516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716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64030A"/>
    <w:rsid w:val="D365E05A"/>
    <w:rsid w:val="FAEF3BBC"/>
    <w:rsid w:val="FBB63785"/>
    <w:rsid w:val="FCDF89C5"/>
    <w:rsid w:val="FFEE3376"/>
    <w:rsid w:val="0000093C"/>
    <w:rsid w:val="00001293"/>
    <w:rsid w:val="00001F75"/>
    <w:rsid w:val="00003974"/>
    <w:rsid w:val="00005F11"/>
    <w:rsid w:val="000073BF"/>
    <w:rsid w:val="0001045C"/>
    <w:rsid w:val="000105A3"/>
    <w:rsid w:val="00012531"/>
    <w:rsid w:val="00012C69"/>
    <w:rsid w:val="000131F6"/>
    <w:rsid w:val="00013708"/>
    <w:rsid w:val="00013C26"/>
    <w:rsid w:val="00014598"/>
    <w:rsid w:val="000166D0"/>
    <w:rsid w:val="000167E7"/>
    <w:rsid w:val="00020C36"/>
    <w:rsid w:val="00021738"/>
    <w:rsid w:val="0002244D"/>
    <w:rsid w:val="00022F84"/>
    <w:rsid w:val="00023389"/>
    <w:rsid w:val="00023D99"/>
    <w:rsid w:val="00024991"/>
    <w:rsid w:val="000251A2"/>
    <w:rsid w:val="000305A0"/>
    <w:rsid w:val="00030F5B"/>
    <w:rsid w:val="0003122E"/>
    <w:rsid w:val="0003173A"/>
    <w:rsid w:val="00031870"/>
    <w:rsid w:val="0003232E"/>
    <w:rsid w:val="00033EFB"/>
    <w:rsid w:val="0003429F"/>
    <w:rsid w:val="00034759"/>
    <w:rsid w:val="0003478F"/>
    <w:rsid w:val="000364A9"/>
    <w:rsid w:val="00036672"/>
    <w:rsid w:val="00037422"/>
    <w:rsid w:val="00037D00"/>
    <w:rsid w:val="00040829"/>
    <w:rsid w:val="000414B7"/>
    <w:rsid w:val="00041976"/>
    <w:rsid w:val="00042336"/>
    <w:rsid w:val="0004393F"/>
    <w:rsid w:val="000442E8"/>
    <w:rsid w:val="00046512"/>
    <w:rsid w:val="00046EEB"/>
    <w:rsid w:val="00047588"/>
    <w:rsid w:val="000477D3"/>
    <w:rsid w:val="00050D5B"/>
    <w:rsid w:val="00052673"/>
    <w:rsid w:val="00053049"/>
    <w:rsid w:val="00053147"/>
    <w:rsid w:val="000536B0"/>
    <w:rsid w:val="000536C6"/>
    <w:rsid w:val="00053DF5"/>
    <w:rsid w:val="00053FCB"/>
    <w:rsid w:val="000559D5"/>
    <w:rsid w:val="0005632A"/>
    <w:rsid w:val="00056838"/>
    <w:rsid w:val="00057C01"/>
    <w:rsid w:val="00060956"/>
    <w:rsid w:val="000610DD"/>
    <w:rsid w:val="000621A0"/>
    <w:rsid w:val="000627A0"/>
    <w:rsid w:val="00063794"/>
    <w:rsid w:val="00063D13"/>
    <w:rsid w:val="00064735"/>
    <w:rsid w:val="00064E00"/>
    <w:rsid w:val="00066156"/>
    <w:rsid w:val="00066BB1"/>
    <w:rsid w:val="0007018D"/>
    <w:rsid w:val="00070B23"/>
    <w:rsid w:val="000714EB"/>
    <w:rsid w:val="000715FE"/>
    <w:rsid w:val="000726D3"/>
    <w:rsid w:val="00072A92"/>
    <w:rsid w:val="00075F94"/>
    <w:rsid w:val="000760AC"/>
    <w:rsid w:val="00076335"/>
    <w:rsid w:val="000763CE"/>
    <w:rsid w:val="0007707E"/>
    <w:rsid w:val="00077470"/>
    <w:rsid w:val="00077D34"/>
    <w:rsid w:val="00081ADD"/>
    <w:rsid w:val="00082CC5"/>
    <w:rsid w:val="00083013"/>
    <w:rsid w:val="0008303B"/>
    <w:rsid w:val="0008425C"/>
    <w:rsid w:val="00086DCA"/>
    <w:rsid w:val="0008794C"/>
    <w:rsid w:val="00087E14"/>
    <w:rsid w:val="00087FAD"/>
    <w:rsid w:val="000945F9"/>
    <w:rsid w:val="0009487F"/>
    <w:rsid w:val="000959E1"/>
    <w:rsid w:val="00096658"/>
    <w:rsid w:val="000966F6"/>
    <w:rsid w:val="00096DB2"/>
    <w:rsid w:val="00097B95"/>
    <w:rsid w:val="000A06A4"/>
    <w:rsid w:val="000A3360"/>
    <w:rsid w:val="000A374B"/>
    <w:rsid w:val="000A4041"/>
    <w:rsid w:val="000B0C49"/>
    <w:rsid w:val="000B218B"/>
    <w:rsid w:val="000B2A91"/>
    <w:rsid w:val="000B2AB1"/>
    <w:rsid w:val="000B3B42"/>
    <w:rsid w:val="000B5878"/>
    <w:rsid w:val="000B5B38"/>
    <w:rsid w:val="000B66CF"/>
    <w:rsid w:val="000B7364"/>
    <w:rsid w:val="000B7572"/>
    <w:rsid w:val="000B7F3A"/>
    <w:rsid w:val="000C0043"/>
    <w:rsid w:val="000C0106"/>
    <w:rsid w:val="000C0DD0"/>
    <w:rsid w:val="000C18FA"/>
    <w:rsid w:val="000C221A"/>
    <w:rsid w:val="000C226D"/>
    <w:rsid w:val="000C2EC7"/>
    <w:rsid w:val="000C2FC2"/>
    <w:rsid w:val="000C54B0"/>
    <w:rsid w:val="000C6198"/>
    <w:rsid w:val="000C7A12"/>
    <w:rsid w:val="000D0223"/>
    <w:rsid w:val="000D02D9"/>
    <w:rsid w:val="000D064B"/>
    <w:rsid w:val="000D1A69"/>
    <w:rsid w:val="000D243C"/>
    <w:rsid w:val="000D24A3"/>
    <w:rsid w:val="000D3799"/>
    <w:rsid w:val="000D6D97"/>
    <w:rsid w:val="000E1076"/>
    <w:rsid w:val="000E111E"/>
    <w:rsid w:val="000E248F"/>
    <w:rsid w:val="000E2ECB"/>
    <w:rsid w:val="000E33FF"/>
    <w:rsid w:val="000E46FD"/>
    <w:rsid w:val="000E6015"/>
    <w:rsid w:val="000E76AF"/>
    <w:rsid w:val="000E771C"/>
    <w:rsid w:val="000F1707"/>
    <w:rsid w:val="000F2C77"/>
    <w:rsid w:val="000F3831"/>
    <w:rsid w:val="000F4D10"/>
    <w:rsid w:val="000F5D42"/>
    <w:rsid w:val="000F6144"/>
    <w:rsid w:val="000F776C"/>
    <w:rsid w:val="000F7A49"/>
    <w:rsid w:val="001005D1"/>
    <w:rsid w:val="00101A1E"/>
    <w:rsid w:val="00101B1B"/>
    <w:rsid w:val="00101CF6"/>
    <w:rsid w:val="00103AA3"/>
    <w:rsid w:val="0010713C"/>
    <w:rsid w:val="00110C4E"/>
    <w:rsid w:val="00112D57"/>
    <w:rsid w:val="00112F3F"/>
    <w:rsid w:val="0011471E"/>
    <w:rsid w:val="001160FB"/>
    <w:rsid w:val="0011692F"/>
    <w:rsid w:val="00116B3F"/>
    <w:rsid w:val="0011713D"/>
    <w:rsid w:val="001204E1"/>
    <w:rsid w:val="00123791"/>
    <w:rsid w:val="001238B7"/>
    <w:rsid w:val="00123B3F"/>
    <w:rsid w:val="00124DE2"/>
    <w:rsid w:val="00124E29"/>
    <w:rsid w:val="0013109B"/>
    <w:rsid w:val="00131439"/>
    <w:rsid w:val="00132684"/>
    <w:rsid w:val="001329DB"/>
    <w:rsid w:val="00133DE4"/>
    <w:rsid w:val="00133FB4"/>
    <w:rsid w:val="0013436A"/>
    <w:rsid w:val="001347D2"/>
    <w:rsid w:val="00134E7A"/>
    <w:rsid w:val="00135B50"/>
    <w:rsid w:val="00136230"/>
    <w:rsid w:val="00136C9B"/>
    <w:rsid w:val="00136F4B"/>
    <w:rsid w:val="00140C75"/>
    <w:rsid w:val="0014140D"/>
    <w:rsid w:val="00141B8F"/>
    <w:rsid w:val="0014220C"/>
    <w:rsid w:val="00144AB7"/>
    <w:rsid w:val="00144E35"/>
    <w:rsid w:val="0014714A"/>
    <w:rsid w:val="001472F8"/>
    <w:rsid w:val="001514EB"/>
    <w:rsid w:val="001526B1"/>
    <w:rsid w:val="00152ECB"/>
    <w:rsid w:val="00153BBD"/>
    <w:rsid w:val="00153F57"/>
    <w:rsid w:val="001543DA"/>
    <w:rsid w:val="001545C1"/>
    <w:rsid w:val="00154689"/>
    <w:rsid w:val="00154CFF"/>
    <w:rsid w:val="0015538C"/>
    <w:rsid w:val="001554F6"/>
    <w:rsid w:val="001559C6"/>
    <w:rsid w:val="001561FF"/>
    <w:rsid w:val="00156BCA"/>
    <w:rsid w:val="0015707A"/>
    <w:rsid w:val="0015782B"/>
    <w:rsid w:val="00163B1E"/>
    <w:rsid w:val="00166FFE"/>
    <w:rsid w:val="0017067A"/>
    <w:rsid w:val="0017086C"/>
    <w:rsid w:val="00170ECC"/>
    <w:rsid w:val="0017107E"/>
    <w:rsid w:val="001714E0"/>
    <w:rsid w:val="001715CF"/>
    <w:rsid w:val="00173B1A"/>
    <w:rsid w:val="0017427B"/>
    <w:rsid w:val="00174906"/>
    <w:rsid w:val="00174CCA"/>
    <w:rsid w:val="00175F31"/>
    <w:rsid w:val="001762D6"/>
    <w:rsid w:val="00176480"/>
    <w:rsid w:val="00180E77"/>
    <w:rsid w:val="00182865"/>
    <w:rsid w:val="001861FC"/>
    <w:rsid w:val="00186F81"/>
    <w:rsid w:val="00190311"/>
    <w:rsid w:val="00192854"/>
    <w:rsid w:val="00193ECB"/>
    <w:rsid w:val="0019402A"/>
    <w:rsid w:val="001949FA"/>
    <w:rsid w:val="0019512F"/>
    <w:rsid w:val="00196E09"/>
    <w:rsid w:val="00196FFF"/>
    <w:rsid w:val="001970F6"/>
    <w:rsid w:val="00197E00"/>
    <w:rsid w:val="001A0A80"/>
    <w:rsid w:val="001A199A"/>
    <w:rsid w:val="001A1A74"/>
    <w:rsid w:val="001A1A82"/>
    <w:rsid w:val="001A1AB1"/>
    <w:rsid w:val="001A21FB"/>
    <w:rsid w:val="001A28E8"/>
    <w:rsid w:val="001A4621"/>
    <w:rsid w:val="001A49F7"/>
    <w:rsid w:val="001A584F"/>
    <w:rsid w:val="001A5B36"/>
    <w:rsid w:val="001B009F"/>
    <w:rsid w:val="001B3B7F"/>
    <w:rsid w:val="001B4178"/>
    <w:rsid w:val="001B43F8"/>
    <w:rsid w:val="001B480D"/>
    <w:rsid w:val="001B6A34"/>
    <w:rsid w:val="001B7204"/>
    <w:rsid w:val="001B79AC"/>
    <w:rsid w:val="001B7B24"/>
    <w:rsid w:val="001C116A"/>
    <w:rsid w:val="001C2619"/>
    <w:rsid w:val="001C3FA3"/>
    <w:rsid w:val="001C4E5C"/>
    <w:rsid w:val="001C5CA5"/>
    <w:rsid w:val="001C675C"/>
    <w:rsid w:val="001C7130"/>
    <w:rsid w:val="001D19D9"/>
    <w:rsid w:val="001D3DE2"/>
    <w:rsid w:val="001D4954"/>
    <w:rsid w:val="001D4A16"/>
    <w:rsid w:val="001D6597"/>
    <w:rsid w:val="001D76C9"/>
    <w:rsid w:val="001E0763"/>
    <w:rsid w:val="001E3A0F"/>
    <w:rsid w:val="001E5BDE"/>
    <w:rsid w:val="001E6481"/>
    <w:rsid w:val="001E683B"/>
    <w:rsid w:val="001E7224"/>
    <w:rsid w:val="001E7DC0"/>
    <w:rsid w:val="001F054A"/>
    <w:rsid w:val="001F16A0"/>
    <w:rsid w:val="001F2C65"/>
    <w:rsid w:val="001F2EA6"/>
    <w:rsid w:val="001F378F"/>
    <w:rsid w:val="002001C4"/>
    <w:rsid w:val="00200BDF"/>
    <w:rsid w:val="00200D78"/>
    <w:rsid w:val="00201397"/>
    <w:rsid w:val="00201A54"/>
    <w:rsid w:val="00201F55"/>
    <w:rsid w:val="00203786"/>
    <w:rsid w:val="00204428"/>
    <w:rsid w:val="00204B1F"/>
    <w:rsid w:val="00205A98"/>
    <w:rsid w:val="002106DF"/>
    <w:rsid w:val="0021388C"/>
    <w:rsid w:val="00214127"/>
    <w:rsid w:val="0021432A"/>
    <w:rsid w:val="00215620"/>
    <w:rsid w:val="002158E1"/>
    <w:rsid w:val="00220AEC"/>
    <w:rsid w:val="00220D8D"/>
    <w:rsid w:val="00221CEE"/>
    <w:rsid w:val="002227E5"/>
    <w:rsid w:val="00225778"/>
    <w:rsid w:val="00226F3E"/>
    <w:rsid w:val="00227962"/>
    <w:rsid w:val="002305D6"/>
    <w:rsid w:val="00230BDD"/>
    <w:rsid w:val="0023428A"/>
    <w:rsid w:val="00236C58"/>
    <w:rsid w:val="00236CB4"/>
    <w:rsid w:val="002402B0"/>
    <w:rsid w:val="00240770"/>
    <w:rsid w:val="00241008"/>
    <w:rsid w:val="00241311"/>
    <w:rsid w:val="00241B27"/>
    <w:rsid w:val="00243623"/>
    <w:rsid w:val="00243E7A"/>
    <w:rsid w:val="002447A9"/>
    <w:rsid w:val="0024534B"/>
    <w:rsid w:val="00245551"/>
    <w:rsid w:val="00245D36"/>
    <w:rsid w:val="00246064"/>
    <w:rsid w:val="002475C3"/>
    <w:rsid w:val="002509F4"/>
    <w:rsid w:val="002515C6"/>
    <w:rsid w:val="00251D91"/>
    <w:rsid w:val="002522BE"/>
    <w:rsid w:val="00252BE4"/>
    <w:rsid w:val="002533AF"/>
    <w:rsid w:val="00253C7A"/>
    <w:rsid w:val="002555AA"/>
    <w:rsid w:val="002564A2"/>
    <w:rsid w:val="002604F3"/>
    <w:rsid w:val="002608EC"/>
    <w:rsid w:val="00260E83"/>
    <w:rsid w:val="00261463"/>
    <w:rsid w:val="0026166B"/>
    <w:rsid w:val="0026282B"/>
    <w:rsid w:val="00265179"/>
    <w:rsid w:val="002653BF"/>
    <w:rsid w:val="00267189"/>
    <w:rsid w:val="00267C96"/>
    <w:rsid w:val="002704B4"/>
    <w:rsid w:val="0027051C"/>
    <w:rsid w:val="00271261"/>
    <w:rsid w:val="002723C8"/>
    <w:rsid w:val="00272BE8"/>
    <w:rsid w:val="00272F1A"/>
    <w:rsid w:val="00274ABA"/>
    <w:rsid w:val="00275FEB"/>
    <w:rsid w:val="00276438"/>
    <w:rsid w:val="00277123"/>
    <w:rsid w:val="0027726C"/>
    <w:rsid w:val="002804C9"/>
    <w:rsid w:val="002807B0"/>
    <w:rsid w:val="00281670"/>
    <w:rsid w:val="00281B65"/>
    <w:rsid w:val="00285685"/>
    <w:rsid w:val="00286000"/>
    <w:rsid w:val="00291C4E"/>
    <w:rsid w:val="002964BF"/>
    <w:rsid w:val="0029690E"/>
    <w:rsid w:val="00297EA0"/>
    <w:rsid w:val="002A051B"/>
    <w:rsid w:val="002A08FD"/>
    <w:rsid w:val="002A10AE"/>
    <w:rsid w:val="002A2214"/>
    <w:rsid w:val="002A3A5B"/>
    <w:rsid w:val="002A4D8E"/>
    <w:rsid w:val="002B049E"/>
    <w:rsid w:val="002B12B0"/>
    <w:rsid w:val="002B12D7"/>
    <w:rsid w:val="002B184B"/>
    <w:rsid w:val="002B18AA"/>
    <w:rsid w:val="002B18CD"/>
    <w:rsid w:val="002B3195"/>
    <w:rsid w:val="002B34FA"/>
    <w:rsid w:val="002B582F"/>
    <w:rsid w:val="002B69EE"/>
    <w:rsid w:val="002B6D9B"/>
    <w:rsid w:val="002C39AE"/>
    <w:rsid w:val="002C439D"/>
    <w:rsid w:val="002C5F7D"/>
    <w:rsid w:val="002C744E"/>
    <w:rsid w:val="002D0723"/>
    <w:rsid w:val="002D1502"/>
    <w:rsid w:val="002D4359"/>
    <w:rsid w:val="002D626E"/>
    <w:rsid w:val="002D7B66"/>
    <w:rsid w:val="002E1006"/>
    <w:rsid w:val="002E27FB"/>
    <w:rsid w:val="002E4786"/>
    <w:rsid w:val="002F1B30"/>
    <w:rsid w:val="002F2CE1"/>
    <w:rsid w:val="002F326B"/>
    <w:rsid w:val="002F3559"/>
    <w:rsid w:val="002F393B"/>
    <w:rsid w:val="002F4BB3"/>
    <w:rsid w:val="002F51F7"/>
    <w:rsid w:val="002F5A3F"/>
    <w:rsid w:val="002F62BD"/>
    <w:rsid w:val="002F6553"/>
    <w:rsid w:val="002F7205"/>
    <w:rsid w:val="002F77AD"/>
    <w:rsid w:val="003014EF"/>
    <w:rsid w:val="00302DDF"/>
    <w:rsid w:val="003031E6"/>
    <w:rsid w:val="00304002"/>
    <w:rsid w:val="003049E7"/>
    <w:rsid w:val="003069F9"/>
    <w:rsid w:val="003072D2"/>
    <w:rsid w:val="003074B6"/>
    <w:rsid w:val="00307E5E"/>
    <w:rsid w:val="0031064A"/>
    <w:rsid w:val="00311239"/>
    <w:rsid w:val="003131EE"/>
    <w:rsid w:val="0031376D"/>
    <w:rsid w:val="0031513F"/>
    <w:rsid w:val="00315467"/>
    <w:rsid w:val="003171B6"/>
    <w:rsid w:val="003222AE"/>
    <w:rsid w:val="00326504"/>
    <w:rsid w:val="0033287B"/>
    <w:rsid w:val="003334B6"/>
    <w:rsid w:val="00333639"/>
    <w:rsid w:val="003336F8"/>
    <w:rsid w:val="003338B7"/>
    <w:rsid w:val="00333F90"/>
    <w:rsid w:val="00335399"/>
    <w:rsid w:val="003373C6"/>
    <w:rsid w:val="0033799F"/>
    <w:rsid w:val="00337FD9"/>
    <w:rsid w:val="00341E44"/>
    <w:rsid w:val="00343A08"/>
    <w:rsid w:val="00345576"/>
    <w:rsid w:val="00346A1C"/>
    <w:rsid w:val="00347A82"/>
    <w:rsid w:val="00350412"/>
    <w:rsid w:val="00350E88"/>
    <w:rsid w:val="00350F60"/>
    <w:rsid w:val="0035113D"/>
    <w:rsid w:val="00353543"/>
    <w:rsid w:val="0035611E"/>
    <w:rsid w:val="00356B78"/>
    <w:rsid w:val="00356E70"/>
    <w:rsid w:val="00357EC5"/>
    <w:rsid w:val="003627B9"/>
    <w:rsid w:val="003676FB"/>
    <w:rsid w:val="0037103B"/>
    <w:rsid w:val="00371B2E"/>
    <w:rsid w:val="003724C4"/>
    <w:rsid w:val="00372745"/>
    <w:rsid w:val="00373CF0"/>
    <w:rsid w:val="00374454"/>
    <w:rsid w:val="00374467"/>
    <w:rsid w:val="00374C0E"/>
    <w:rsid w:val="003751EA"/>
    <w:rsid w:val="003818B4"/>
    <w:rsid w:val="00384D44"/>
    <w:rsid w:val="00384F97"/>
    <w:rsid w:val="00385E04"/>
    <w:rsid w:val="003875BF"/>
    <w:rsid w:val="00391878"/>
    <w:rsid w:val="00391FFE"/>
    <w:rsid w:val="003945A6"/>
    <w:rsid w:val="003949E4"/>
    <w:rsid w:val="00394E83"/>
    <w:rsid w:val="003951A5"/>
    <w:rsid w:val="00395CCC"/>
    <w:rsid w:val="0039726E"/>
    <w:rsid w:val="003A048A"/>
    <w:rsid w:val="003A07AA"/>
    <w:rsid w:val="003A0888"/>
    <w:rsid w:val="003A135D"/>
    <w:rsid w:val="003A324F"/>
    <w:rsid w:val="003A3A6F"/>
    <w:rsid w:val="003A3FC2"/>
    <w:rsid w:val="003A40F8"/>
    <w:rsid w:val="003A42DF"/>
    <w:rsid w:val="003A431C"/>
    <w:rsid w:val="003A47A0"/>
    <w:rsid w:val="003A488A"/>
    <w:rsid w:val="003A5BDA"/>
    <w:rsid w:val="003A6454"/>
    <w:rsid w:val="003A682C"/>
    <w:rsid w:val="003A6847"/>
    <w:rsid w:val="003A715F"/>
    <w:rsid w:val="003A7C0C"/>
    <w:rsid w:val="003B0107"/>
    <w:rsid w:val="003B0452"/>
    <w:rsid w:val="003B327E"/>
    <w:rsid w:val="003B392A"/>
    <w:rsid w:val="003B4F69"/>
    <w:rsid w:val="003B57B4"/>
    <w:rsid w:val="003B6974"/>
    <w:rsid w:val="003B6C16"/>
    <w:rsid w:val="003B7100"/>
    <w:rsid w:val="003C16C9"/>
    <w:rsid w:val="003C1967"/>
    <w:rsid w:val="003C19F5"/>
    <w:rsid w:val="003C44BE"/>
    <w:rsid w:val="003C467A"/>
    <w:rsid w:val="003C5151"/>
    <w:rsid w:val="003C6BC0"/>
    <w:rsid w:val="003C7216"/>
    <w:rsid w:val="003C794B"/>
    <w:rsid w:val="003D19D2"/>
    <w:rsid w:val="003D1E7B"/>
    <w:rsid w:val="003D2ACC"/>
    <w:rsid w:val="003D2C9B"/>
    <w:rsid w:val="003D2EBA"/>
    <w:rsid w:val="003D33BC"/>
    <w:rsid w:val="003D3558"/>
    <w:rsid w:val="003D5CEC"/>
    <w:rsid w:val="003D5DD4"/>
    <w:rsid w:val="003D646A"/>
    <w:rsid w:val="003D6B88"/>
    <w:rsid w:val="003E065B"/>
    <w:rsid w:val="003E071B"/>
    <w:rsid w:val="003E0DB2"/>
    <w:rsid w:val="003E1740"/>
    <w:rsid w:val="003E1EC7"/>
    <w:rsid w:val="003E4D28"/>
    <w:rsid w:val="003E51D7"/>
    <w:rsid w:val="003E5B5E"/>
    <w:rsid w:val="003F25A7"/>
    <w:rsid w:val="003F30D1"/>
    <w:rsid w:val="003F3726"/>
    <w:rsid w:val="003F3E11"/>
    <w:rsid w:val="003F546A"/>
    <w:rsid w:val="003F5FE8"/>
    <w:rsid w:val="003F6AD1"/>
    <w:rsid w:val="003F6B20"/>
    <w:rsid w:val="003F7897"/>
    <w:rsid w:val="00402868"/>
    <w:rsid w:val="00402E76"/>
    <w:rsid w:val="004032E3"/>
    <w:rsid w:val="00403526"/>
    <w:rsid w:val="004047D2"/>
    <w:rsid w:val="004051F9"/>
    <w:rsid w:val="004059BF"/>
    <w:rsid w:val="00405A0E"/>
    <w:rsid w:val="00406229"/>
    <w:rsid w:val="0040672F"/>
    <w:rsid w:val="00406D25"/>
    <w:rsid w:val="00410F61"/>
    <w:rsid w:val="0041182B"/>
    <w:rsid w:val="00412702"/>
    <w:rsid w:val="00412CF4"/>
    <w:rsid w:val="00415CCE"/>
    <w:rsid w:val="0041648E"/>
    <w:rsid w:val="00416D51"/>
    <w:rsid w:val="0041710A"/>
    <w:rsid w:val="004233E9"/>
    <w:rsid w:val="004241AD"/>
    <w:rsid w:val="00424B89"/>
    <w:rsid w:val="0042616C"/>
    <w:rsid w:val="004265D8"/>
    <w:rsid w:val="00426AEB"/>
    <w:rsid w:val="004277E6"/>
    <w:rsid w:val="00430E36"/>
    <w:rsid w:val="00433E22"/>
    <w:rsid w:val="004346D9"/>
    <w:rsid w:val="004347AF"/>
    <w:rsid w:val="004352BC"/>
    <w:rsid w:val="00436675"/>
    <w:rsid w:val="004366D9"/>
    <w:rsid w:val="00436A2B"/>
    <w:rsid w:val="00436FD3"/>
    <w:rsid w:val="004426E3"/>
    <w:rsid w:val="00444BD1"/>
    <w:rsid w:val="00444CBD"/>
    <w:rsid w:val="00445A25"/>
    <w:rsid w:val="0044727B"/>
    <w:rsid w:val="00447BD3"/>
    <w:rsid w:val="0045013E"/>
    <w:rsid w:val="00451421"/>
    <w:rsid w:val="00452DA7"/>
    <w:rsid w:val="00454A19"/>
    <w:rsid w:val="00454AF2"/>
    <w:rsid w:val="00454F87"/>
    <w:rsid w:val="0045592D"/>
    <w:rsid w:val="00455975"/>
    <w:rsid w:val="0045635D"/>
    <w:rsid w:val="00456BDA"/>
    <w:rsid w:val="004578C1"/>
    <w:rsid w:val="00460493"/>
    <w:rsid w:val="00460AB4"/>
    <w:rsid w:val="004611DC"/>
    <w:rsid w:val="00461E43"/>
    <w:rsid w:val="004624C5"/>
    <w:rsid w:val="00464741"/>
    <w:rsid w:val="00467EA8"/>
    <w:rsid w:val="00471871"/>
    <w:rsid w:val="004742D9"/>
    <w:rsid w:val="004772D1"/>
    <w:rsid w:val="00481D38"/>
    <w:rsid w:val="00482279"/>
    <w:rsid w:val="00482791"/>
    <w:rsid w:val="004845D6"/>
    <w:rsid w:val="0048557A"/>
    <w:rsid w:val="00485712"/>
    <w:rsid w:val="004857A7"/>
    <w:rsid w:val="00485F3E"/>
    <w:rsid w:val="00486140"/>
    <w:rsid w:val="00486DE5"/>
    <w:rsid w:val="004906C5"/>
    <w:rsid w:val="004941CE"/>
    <w:rsid w:val="00495170"/>
    <w:rsid w:val="00495408"/>
    <w:rsid w:val="00496A24"/>
    <w:rsid w:val="004A123D"/>
    <w:rsid w:val="004A17BE"/>
    <w:rsid w:val="004A245C"/>
    <w:rsid w:val="004A2A4F"/>
    <w:rsid w:val="004A3C0E"/>
    <w:rsid w:val="004A5121"/>
    <w:rsid w:val="004A71AF"/>
    <w:rsid w:val="004B2B46"/>
    <w:rsid w:val="004B2C1B"/>
    <w:rsid w:val="004B58C2"/>
    <w:rsid w:val="004B670B"/>
    <w:rsid w:val="004B7206"/>
    <w:rsid w:val="004B75B0"/>
    <w:rsid w:val="004B7762"/>
    <w:rsid w:val="004B7B99"/>
    <w:rsid w:val="004C04FB"/>
    <w:rsid w:val="004C190A"/>
    <w:rsid w:val="004C4351"/>
    <w:rsid w:val="004C47F6"/>
    <w:rsid w:val="004C531E"/>
    <w:rsid w:val="004C5CF3"/>
    <w:rsid w:val="004C6B60"/>
    <w:rsid w:val="004C7066"/>
    <w:rsid w:val="004C7FC3"/>
    <w:rsid w:val="004D2029"/>
    <w:rsid w:val="004D2F9A"/>
    <w:rsid w:val="004D4668"/>
    <w:rsid w:val="004D520E"/>
    <w:rsid w:val="004D5E18"/>
    <w:rsid w:val="004E030E"/>
    <w:rsid w:val="004E0EB7"/>
    <w:rsid w:val="004E3DD6"/>
    <w:rsid w:val="004E3E00"/>
    <w:rsid w:val="004E5BE3"/>
    <w:rsid w:val="004E7A06"/>
    <w:rsid w:val="004E7B6B"/>
    <w:rsid w:val="004F02C9"/>
    <w:rsid w:val="004F0C75"/>
    <w:rsid w:val="004F19DF"/>
    <w:rsid w:val="004F511A"/>
    <w:rsid w:val="004F5AAB"/>
    <w:rsid w:val="004F5F77"/>
    <w:rsid w:val="00502A9E"/>
    <w:rsid w:val="00503573"/>
    <w:rsid w:val="005048ED"/>
    <w:rsid w:val="00504B57"/>
    <w:rsid w:val="00504D2F"/>
    <w:rsid w:val="00504E5F"/>
    <w:rsid w:val="00506F69"/>
    <w:rsid w:val="00513A1C"/>
    <w:rsid w:val="00513DAC"/>
    <w:rsid w:val="00514143"/>
    <w:rsid w:val="00517629"/>
    <w:rsid w:val="0051779D"/>
    <w:rsid w:val="00517D8B"/>
    <w:rsid w:val="005218F3"/>
    <w:rsid w:val="00521D8B"/>
    <w:rsid w:val="005220FC"/>
    <w:rsid w:val="0052243C"/>
    <w:rsid w:val="005238DF"/>
    <w:rsid w:val="005250B3"/>
    <w:rsid w:val="00526293"/>
    <w:rsid w:val="00527D0F"/>
    <w:rsid w:val="00530BAC"/>
    <w:rsid w:val="00530DCB"/>
    <w:rsid w:val="00533392"/>
    <w:rsid w:val="005345B9"/>
    <w:rsid w:val="005347A3"/>
    <w:rsid w:val="0053798B"/>
    <w:rsid w:val="00541C40"/>
    <w:rsid w:val="00543043"/>
    <w:rsid w:val="0054428E"/>
    <w:rsid w:val="00545591"/>
    <w:rsid w:val="00545794"/>
    <w:rsid w:val="0054647E"/>
    <w:rsid w:val="00547270"/>
    <w:rsid w:val="0054779E"/>
    <w:rsid w:val="00547B23"/>
    <w:rsid w:val="00550866"/>
    <w:rsid w:val="005520F9"/>
    <w:rsid w:val="00552DB1"/>
    <w:rsid w:val="00554ACD"/>
    <w:rsid w:val="00554D5F"/>
    <w:rsid w:val="005553B6"/>
    <w:rsid w:val="00555BCF"/>
    <w:rsid w:val="00555D07"/>
    <w:rsid w:val="00556931"/>
    <w:rsid w:val="00557573"/>
    <w:rsid w:val="005607BA"/>
    <w:rsid w:val="005609D7"/>
    <w:rsid w:val="00561EFF"/>
    <w:rsid w:val="00561F98"/>
    <w:rsid w:val="00562748"/>
    <w:rsid w:val="00562A78"/>
    <w:rsid w:val="0056484B"/>
    <w:rsid w:val="00565896"/>
    <w:rsid w:val="00565F85"/>
    <w:rsid w:val="005669A3"/>
    <w:rsid w:val="0057012D"/>
    <w:rsid w:val="00573081"/>
    <w:rsid w:val="00573F61"/>
    <w:rsid w:val="00574589"/>
    <w:rsid w:val="0057463A"/>
    <w:rsid w:val="00574C2A"/>
    <w:rsid w:val="005765AF"/>
    <w:rsid w:val="00576904"/>
    <w:rsid w:val="005777D5"/>
    <w:rsid w:val="00580541"/>
    <w:rsid w:val="005817F8"/>
    <w:rsid w:val="00581BD5"/>
    <w:rsid w:val="00584AC4"/>
    <w:rsid w:val="005850AD"/>
    <w:rsid w:val="00586C98"/>
    <w:rsid w:val="005903DC"/>
    <w:rsid w:val="00590B7D"/>
    <w:rsid w:val="005913BA"/>
    <w:rsid w:val="0059197D"/>
    <w:rsid w:val="00596469"/>
    <w:rsid w:val="0059672A"/>
    <w:rsid w:val="00596969"/>
    <w:rsid w:val="00596A2C"/>
    <w:rsid w:val="00596A3F"/>
    <w:rsid w:val="00597819"/>
    <w:rsid w:val="005A037A"/>
    <w:rsid w:val="005A041A"/>
    <w:rsid w:val="005A07C1"/>
    <w:rsid w:val="005A0A3F"/>
    <w:rsid w:val="005A0C30"/>
    <w:rsid w:val="005A1821"/>
    <w:rsid w:val="005A1FBD"/>
    <w:rsid w:val="005A279B"/>
    <w:rsid w:val="005A293E"/>
    <w:rsid w:val="005A3E6C"/>
    <w:rsid w:val="005A5D5F"/>
    <w:rsid w:val="005A5EEF"/>
    <w:rsid w:val="005A73AA"/>
    <w:rsid w:val="005A797A"/>
    <w:rsid w:val="005B2340"/>
    <w:rsid w:val="005B7067"/>
    <w:rsid w:val="005B74E0"/>
    <w:rsid w:val="005C079B"/>
    <w:rsid w:val="005C0939"/>
    <w:rsid w:val="005C1648"/>
    <w:rsid w:val="005C1786"/>
    <w:rsid w:val="005C2159"/>
    <w:rsid w:val="005C2F8B"/>
    <w:rsid w:val="005C42AB"/>
    <w:rsid w:val="005C4C57"/>
    <w:rsid w:val="005C4DB3"/>
    <w:rsid w:val="005C6695"/>
    <w:rsid w:val="005D0313"/>
    <w:rsid w:val="005D048B"/>
    <w:rsid w:val="005D0882"/>
    <w:rsid w:val="005D0DB5"/>
    <w:rsid w:val="005D1966"/>
    <w:rsid w:val="005D3FC4"/>
    <w:rsid w:val="005D7702"/>
    <w:rsid w:val="005D79A5"/>
    <w:rsid w:val="005D7A98"/>
    <w:rsid w:val="005D7D36"/>
    <w:rsid w:val="005E03E9"/>
    <w:rsid w:val="005E0A97"/>
    <w:rsid w:val="005E23CE"/>
    <w:rsid w:val="005E5B64"/>
    <w:rsid w:val="005E631A"/>
    <w:rsid w:val="005E69F8"/>
    <w:rsid w:val="005E6B7D"/>
    <w:rsid w:val="005E76E5"/>
    <w:rsid w:val="005F573C"/>
    <w:rsid w:val="00600988"/>
    <w:rsid w:val="00601304"/>
    <w:rsid w:val="00601655"/>
    <w:rsid w:val="00601B61"/>
    <w:rsid w:val="00601B95"/>
    <w:rsid w:val="00602E34"/>
    <w:rsid w:val="0060309B"/>
    <w:rsid w:val="0060625A"/>
    <w:rsid w:val="00606614"/>
    <w:rsid w:val="00611E25"/>
    <w:rsid w:val="00612E16"/>
    <w:rsid w:val="006139E2"/>
    <w:rsid w:val="00614022"/>
    <w:rsid w:val="006149D0"/>
    <w:rsid w:val="00616C9B"/>
    <w:rsid w:val="006211D4"/>
    <w:rsid w:val="00622315"/>
    <w:rsid w:val="00622A6E"/>
    <w:rsid w:val="00623780"/>
    <w:rsid w:val="00626924"/>
    <w:rsid w:val="00626C5C"/>
    <w:rsid w:val="00626D8A"/>
    <w:rsid w:val="006274A8"/>
    <w:rsid w:val="00630239"/>
    <w:rsid w:val="00630FB1"/>
    <w:rsid w:val="00632021"/>
    <w:rsid w:val="00632C58"/>
    <w:rsid w:val="006337F4"/>
    <w:rsid w:val="00633889"/>
    <w:rsid w:val="00634219"/>
    <w:rsid w:val="006346D4"/>
    <w:rsid w:val="006348B9"/>
    <w:rsid w:val="00634D7E"/>
    <w:rsid w:val="00634F2D"/>
    <w:rsid w:val="00637A3F"/>
    <w:rsid w:val="00637CEB"/>
    <w:rsid w:val="0064030A"/>
    <w:rsid w:val="006422B6"/>
    <w:rsid w:val="00645F67"/>
    <w:rsid w:val="0064628B"/>
    <w:rsid w:val="006464D3"/>
    <w:rsid w:val="00646E62"/>
    <w:rsid w:val="00647816"/>
    <w:rsid w:val="006523BC"/>
    <w:rsid w:val="0065255E"/>
    <w:rsid w:val="00652683"/>
    <w:rsid w:val="006537A8"/>
    <w:rsid w:val="00655195"/>
    <w:rsid w:val="00655924"/>
    <w:rsid w:val="0066041F"/>
    <w:rsid w:val="00662B5D"/>
    <w:rsid w:val="006640DE"/>
    <w:rsid w:val="0066472F"/>
    <w:rsid w:val="00664893"/>
    <w:rsid w:val="00664C9F"/>
    <w:rsid w:val="00664EC6"/>
    <w:rsid w:val="00665E75"/>
    <w:rsid w:val="0066707B"/>
    <w:rsid w:val="006677C4"/>
    <w:rsid w:val="00670843"/>
    <w:rsid w:val="00671314"/>
    <w:rsid w:val="00671688"/>
    <w:rsid w:val="006716A9"/>
    <w:rsid w:val="00671A13"/>
    <w:rsid w:val="00671CE8"/>
    <w:rsid w:val="0067333D"/>
    <w:rsid w:val="00676117"/>
    <w:rsid w:val="00676124"/>
    <w:rsid w:val="00676AD1"/>
    <w:rsid w:val="00677150"/>
    <w:rsid w:val="00682038"/>
    <w:rsid w:val="00682297"/>
    <w:rsid w:val="006822A9"/>
    <w:rsid w:val="00684133"/>
    <w:rsid w:val="00684721"/>
    <w:rsid w:val="0068643B"/>
    <w:rsid w:val="0068689E"/>
    <w:rsid w:val="006875AA"/>
    <w:rsid w:val="006878AC"/>
    <w:rsid w:val="00690CA7"/>
    <w:rsid w:val="00692E1F"/>
    <w:rsid w:val="006965A2"/>
    <w:rsid w:val="006A528C"/>
    <w:rsid w:val="006A56D8"/>
    <w:rsid w:val="006A5C2B"/>
    <w:rsid w:val="006A5D93"/>
    <w:rsid w:val="006A612C"/>
    <w:rsid w:val="006B2C87"/>
    <w:rsid w:val="006B394B"/>
    <w:rsid w:val="006B41F8"/>
    <w:rsid w:val="006B4EA8"/>
    <w:rsid w:val="006B521E"/>
    <w:rsid w:val="006B572C"/>
    <w:rsid w:val="006B58B0"/>
    <w:rsid w:val="006C0DB3"/>
    <w:rsid w:val="006C150C"/>
    <w:rsid w:val="006C2A99"/>
    <w:rsid w:val="006C3574"/>
    <w:rsid w:val="006C3A3A"/>
    <w:rsid w:val="006C4321"/>
    <w:rsid w:val="006C52AB"/>
    <w:rsid w:val="006C5330"/>
    <w:rsid w:val="006C61C7"/>
    <w:rsid w:val="006C62C6"/>
    <w:rsid w:val="006C6D7D"/>
    <w:rsid w:val="006C6DA1"/>
    <w:rsid w:val="006C75BC"/>
    <w:rsid w:val="006C7AA9"/>
    <w:rsid w:val="006D1202"/>
    <w:rsid w:val="006D2A67"/>
    <w:rsid w:val="006D332E"/>
    <w:rsid w:val="006D419F"/>
    <w:rsid w:val="006D4268"/>
    <w:rsid w:val="006D53F4"/>
    <w:rsid w:val="006D5514"/>
    <w:rsid w:val="006D77FC"/>
    <w:rsid w:val="006E0029"/>
    <w:rsid w:val="006E0031"/>
    <w:rsid w:val="006E01D2"/>
    <w:rsid w:val="006E0452"/>
    <w:rsid w:val="006E0BC5"/>
    <w:rsid w:val="006E0FDE"/>
    <w:rsid w:val="006E25B1"/>
    <w:rsid w:val="006E3249"/>
    <w:rsid w:val="006E33CC"/>
    <w:rsid w:val="006E498E"/>
    <w:rsid w:val="006E6BDF"/>
    <w:rsid w:val="006E725F"/>
    <w:rsid w:val="006E74E3"/>
    <w:rsid w:val="006F3F5B"/>
    <w:rsid w:val="006F50D2"/>
    <w:rsid w:val="006F6D80"/>
    <w:rsid w:val="006F7CCD"/>
    <w:rsid w:val="00703348"/>
    <w:rsid w:val="007039D2"/>
    <w:rsid w:val="00706ACE"/>
    <w:rsid w:val="00706B5C"/>
    <w:rsid w:val="00706E4D"/>
    <w:rsid w:val="00707F95"/>
    <w:rsid w:val="00711EB6"/>
    <w:rsid w:val="00714ECE"/>
    <w:rsid w:val="00715351"/>
    <w:rsid w:val="007164AB"/>
    <w:rsid w:val="007205BD"/>
    <w:rsid w:val="007234E4"/>
    <w:rsid w:val="00725ED6"/>
    <w:rsid w:val="007270AB"/>
    <w:rsid w:val="0072764E"/>
    <w:rsid w:val="00727B57"/>
    <w:rsid w:val="00732F48"/>
    <w:rsid w:val="0073625F"/>
    <w:rsid w:val="00736857"/>
    <w:rsid w:val="00737960"/>
    <w:rsid w:val="00737AD5"/>
    <w:rsid w:val="00737F55"/>
    <w:rsid w:val="00740536"/>
    <w:rsid w:val="007413A1"/>
    <w:rsid w:val="00741475"/>
    <w:rsid w:val="00741716"/>
    <w:rsid w:val="007427D3"/>
    <w:rsid w:val="00742AFD"/>
    <w:rsid w:val="00744236"/>
    <w:rsid w:val="0074572A"/>
    <w:rsid w:val="0074607B"/>
    <w:rsid w:val="007479DD"/>
    <w:rsid w:val="00751780"/>
    <w:rsid w:val="0075186C"/>
    <w:rsid w:val="0075464C"/>
    <w:rsid w:val="00755C90"/>
    <w:rsid w:val="00756794"/>
    <w:rsid w:val="0076073A"/>
    <w:rsid w:val="00760B77"/>
    <w:rsid w:val="0076242C"/>
    <w:rsid w:val="007639F7"/>
    <w:rsid w:val="00765F60"/>
    <w:rsid w:val="007706E6"/>
    <w:rsid w:val="0077111B"/>
    <w:rsid w:val="007714F5"/>
    <w:rsid w:val="00772CFA"/>
    <w:rsid w:val="0077495C"/>
    <w:rsid w:val="00774AB6"/>
    <w:rsid w:val="00775104"/>
    <w:rsid w:val="007754A3"/>
    <w:rsid w:val="007756FC"/>
    <w:rsid w:val="00776874"/>
    <w:rsid w:val="00777725"/>
    <w:rsid w:val="0077774E"/>
    <w:rsid w:val="00777F6B"/>
    <w:rsid w:val="00780C63"/>
    <w:rsid w:val="00782B40"/>
    <w:rsid w:val="00784246"/>
    <w:rsid w:val="007863A9"/>
    <w:rsid w:val="007874C9"/>
    <w:rsid w:val="00787807"/>
    <w:rsid w:val="0079080A"/>
    <w:rsid w:val="00790E76"/>
    <w:rsid w:val="0079312C"/>
    <w:rsid w:val="007934CF"/>
    <w:rsid w:val="007971A3"/>
    <w:rsid w:val="00797263"/>
    <w:rsid w:val="007977C0"/>
    <w:rsid w:val="00797995"/>
    <w:rsid w:val="007A3310"/>
    <w:rsid w:val="007A3803"/>
    <w:rsid w:val="007A3952"/>
    <w:rsid w:val="007A3B6C"/>
    <w:rsid w:val="007A4C2F"/>
    <w:rsid w:val="007A6064"/>
    <w:rsid w:val="007A65F0"/>
    <w:rsid w:val="007A6F19"/>
    <w:rsid w:val="007A7000"/>
    <w:rsid w:val="007B08F9"/>
    <w:rsid w:val="007B1611"/>
    <w:rsid w:val="007B1FF2"/>
    <w:rsid w:val="007B4E81"/>
    <w:rsid w:val="007B5000"/>
    <w:rsid w:val="007B5473"/>
    <w:rsid w:val="007B68DC"/>
    <w:rsid w:val="007B6934"/>
    <w:rsid w:val="007B71B9"/>
    <w:rsid w:val="007B7326"/>
    <w:rsid w:val="007C1680"/>
    <w:rsid w:val="007C1EB8"/>
    <w:rsid w:val="007C1F08"/>
    <w:rsid w:val="007C20E2"/>
    <w:rsid w:val="007C3612"/>
    <w:rsid w:val="007C5000"/>
    <w:rsid w:val="007C57BF"/>
    <w:rsid w:val="007C602D"/>
    <w:rsid w:val="007C675E"/>
    <w:rsid w:val="007D11BE"/>
    <w:rsid w:val="007D1D1A"/>
    <w:rsid w:val="007D2FE2"/>
    <w:rsid w:val="007D3150"/>
    <w:rsid w:val="007D4271"/>
    <w:rsid w:val="007D4AD4"/>
    <w:rsid w:val="007D60BE"/>
    <w:rsid w:val="007D6407"/>
    <w:rsid w:val="007E0E21"/>
    <w:rsid w:val="007E1129"/>
    <w:rsid w:val="007E48CC"/>
    <w:rsid w:val="007E5684"/>
    <w:rsid w:val="007E5972"/>
    <w:rsid w:val="007E5B92"/>
    <w:rsid w:val="007E6936"/>
    <w:rsid w:val="007E6A6F"/>
    <w:rsid w:val="007E71E1"/>
    <w:rsid w:val="007F2365"/>
    <w:rsid w:val="007F2A5B"/>
    <w:rsid w:val="007F40BA"/>
    <w:rsid w:val="007F4C44"/>
    <w:rsid w:val="007F5B8B"/>
    <w:rsid w:val="007F5E77"/>
    <w:rsid w:val="007F6B8F"/>
    <w:rsid w:val="007F6C7F"/>
    <w:rsid w:val="007F745D"/>
    <w:rsid w:val="007F7FC7"/>
    <w:rsid w:val="008010DE"/>
    <w:rsid w:val="00801656"/>
    <w:rsid w:val="00801772"/>
    <w:rsid w:val="00802155"/>
    <w:rsid w:val="00802447"/>
    <w:rsid w:val="008034C0"/>
    <w:rsid w:val="0080391B"/>
    <w:rsid w:val="00803BC9"/>
    <w:rsid w:val="00804DC9"/>
    <w:rsid w:val="0080564D"/>
    <w:rsid w:val="00806139"/>
    <w:rsid w:val="0081071B"/>
    <w:rsid w:val="00810B5E"/>
    <w:rsid w:val="00814F66"/>
    <w:rsid w:val="008158C8"/>
    <w:rsid w:val="00815AFA"/>
    <w:rsid w:val="008162DB"/>
    <w:rsid w:val="00816E6E"/>
    <w:rsid w:val="00821264"/>
    <w:rsid w:val="0082247F"/>
    <w:rsid w:val="0082279C"/>
    <w:rsid w:val="008231DE"/>
    <w:rsid w:val="0082347B"/>
    <w:rsid w:val="00823AEA"/>
    <w:rsid w:val="00823BC3"/>
    <w:rsid w:val="00826204"/>
    <w:rsid w:val="00830A5A"/>
    <w:rsid w:val="00831526"/>
    <w:rsid w:val="0083471E"/>
    <w:rsid w:val="00834F9B"/>
    <w:rsid w:val="008354C1"/>
    <w:rsid w:val="00835B8A"/>
    <w:rsid w:val="00835E3B"/>
    <w:rsid w:val="008362B4"/>
    <w:rsid w:val="00837E76"/>
    <w:rsid w:val="008403D5"/>
    <w:rsid w:val="0084196F"/>
    <w:rsid w:val="0084274F"/>
    <w:rsid w:val="00845ACF"/>
    <w:rsid w:val="0085126B"/>
    <w:rsid w:val="008515E1"/>
    <w:rsid w:val="0085321D"/>
    <w:rsid w:val="00853CFC"/>
    <w:rsid w:val="00853E65"/>
    <w:rsid w:val="0085519C"/>
    <w:rsid w:val="008557DB"/>
    <w:rsid w:val="008567F5"/>
    <w:rsid w:val="00857D97"/>
    <w:rsid w:val="00861A78"/>
    <w:rsid w:val="00862B19"/>
    <w:rsid w:val="00863309"/>
    <w:rsid w:val="0086510E"/>
    <w:rsid w:val="008652BB"/>
    <w:rsid w:val="008659DC"/>
    <w:rsid w:val="008663CF"/>
    <w:rsid w:val="00872A16"/>
    <w:rsid w:val="00873BA0"/>
    <w:rsid w:val="00873D70"/>
    <w:rsid w:val="0087409F"/>
    <w:rsid w:val="00875D22"/>
    <w:rsid w:val="008769B8"/>
    <w:rsid w:val="00877520"/>
    <w:rsid w:val="00877E42"/>
    <w:rsid w:val="00880CD3"/>
    <w:rsid w:val="00881EFF"/>
    <w:rsid w:val="0088338B"/>
    <w:rsid w:val="00883874"/>
    <w:rsid w:val="008856AD"/>
    <w:rsid w:val="00890959"/>
    <w:rsid w:val="00894076"/>
    <w:rsid w:val="00894D20"/>
    <w:rsid w:val="008972E8"/>
    <w:rsid w:val="00897819"/>
    <w:rsid w:val="008A0EDD"/>
    <w:rsid w:val="008A1A99"/>
    <w:rsid w:val="008A2C68"/>
    <w:rsid w:val="008A3864"/>
    <w:rsid w:val="008A4855"/>
    <w:rsid w:val="008A5CBF"/>
    <w:rsid w:val="008A6833"/>
    <w:rsid w:val="008A7EDF"/>
    <w:rsid w:val="008B1012"/>
    <w:rsid w:val="008B19AF"/>
    <w:rsid w:val="008B2188"/>
    <w:rsid w:val="008B330B"/>
    <w:rsid w:val="008B3375"/>
    <w:rsid w:val="008B3B2F"/>
    <w:rsid w:val="008B704A"/>
    <w:rsid w:val="008C0159"/>
    <w:rsid w:val="008C0497"/>
    <w:rsid w:val="008C049A"/>
    <w:rsid w:val="008C22F5"/>
    <w:rsid w:val="008C2563"/>
    <w:rsid w:val="008C3DE6"/>
    <w:rsid w:val="008C55A3"/>
    <w:rsid w:val="008C6EE6"/>
    <w:rsid w:val="008D431A"/>
    <w:rsid w:val="008D682C"/>
    <w:rsid w:val="008E02A5"/>
    <w:rsid w:val="008E05FC"/>
    <w:rsid w:val="008E1460"/>
    <w:rsid w:val="008E1AA6"/>
    <w:rsid w:val="008E2B73"/>
    <w:rsid w:val="008E41A3"/>
    <w:rsid w:val="008E5E1C"/>
    <w:rsid w:val="008E63A1"/>
    <w:rsid w:val="008E65E8"/>
    <w:rsid w:val="008E68BE"/>
    <w:rsid w:val="008E72C5"/>
    <w:rsid w:val="008E7655"/>
    <w:rsid w:val="008F1033"/>
    <w:rsid w:val="008F1840"/>
    <w:rsid w:val="008F1978"/>
    <w:rsid w:val="008F1B37"/>
    <w:rsid w:val="008F1C84"/>
    <w:rsid w:val="008F1D71"/>
    <w:rsid w:val="008F2DC1"/>
    <w:rsid w:val="008F3134"/>
    <w:rsid w:val="008F3FAD"/>
    <w:rsid w:val="008F5357"/>
    <w:rsid w:val="008F5BEF"/>
    <w:rsid w:val="008F5F03"/>
    <w:rsid w:val="008F633D"/>
    <w:rsid w:val="008F69C0"/>
    <w:rsid w:val="009010D0"/>
    <w:rsid w:val="00901147"/>
    <w:rsid w:val="0090182C"/>
    <w:rsid w:val="00901BC0"/>
    <w:rsid w:val="00902173"/>
    <w:rsid w:val="00902BD0"/>
    <w:rsid w:val="00903CB4"/>
    <w:rsid w:val="00904DD7"/>
    <w:rsid w:val="00905479"/>
    <w:rsid w:val="009061F5"/>
    <w:rsid w:val="00906457"/>
    <w:rsid w:val="00907CB1"/>
    <w:rsid w:val="009105C9"/>
    <w:rsid w:val="00910710"/>
    <w:rsid w:val="00912E47"/>
    <w:rsid w:val="009139AF"/>
    <w:rsid w:val="00914FD4"/>
    <w:rsid w:val="0091505C"/>
    <w:rsid w:val="00915218"/>
    <w:rsid w:val="00917F10"/>
    <w:rsid w:val="009202AD"/>
    <w:rsid w:val="0092106A"/>
    <w:rsid w:val="00923D95"/>
    <w:rsid w:val="00924167"/>
    <w:rsid w:val="00925AB3"/>
    <w:rsid w:val="00925E59"/>
    <w:rsid w:val="009275A8"/>
    <w:rsid w:val="009315D0"/>
    <w:rsid w:val="00933AA1"/>
    <w:rsid w:val="009358AF"/>
    <w:rsid w:val="00935949"/>
    <w:rsid w:val="00936C6E"/>
    <w:rsid w:val="00937AC9"/>
    <w:rsid w:val="00941B49"/>
    <w:rsid w:val="009423BA"/>
    <w:rsid w:val="009464FB"/>
    <w:rsid w:val="009465FB"/>
    <w:rsid w:val="00946735"/>
    <w:rsid w:val="0095048C"/>
    <w:rsid w:val="00952318"/>
    <w:rsid w:val="00953B30"/>
    <w:rsid w:val="009541FE"/>
    <w:rsid w:val="009559FF"/>
    <w:rsid w:val="00956A71"/>
    <w:rsid w:val="00960929"/>
    <w:rsid w:val="00960AA9"/>
    <w:rsid w:val="0096218A"/>
    <w:rsid w:val="00962988"/>
    <w:rsid w:val="00962B24"/>
    <w:rsid w:val="009630D4"/>
    <w:rsid w:val="00964278"/>
    <w:rsid w:val="009644AF"/>
    <w:rsid w:val="00970AAD"/>
    <w:rsid w:val="00970B21"/>
    <w:rsid w:val="00972AB9"/>
    <w:rsid w:val="00974994"/>
    <w:rsid w:val="0097515B"/>
    <w:rsid w:val="009755DD"/>
    <w:rsid w:val="009756C8"/>
    <w:rsid w:val="0097590F"/>
    <w:rsid w:val="00977C77"/>
    <w:rsid w:val="0098026F"/>
    <w:rsid w:val="0098177D"/>
    <w:rsid w:val="00981E32"/>
    <w:rsid w:val="00982953"/>
    <w:rsid w:val="009834A4"/>
    <w:rsid w:val="00983584"/>
    <w:rsid w:val="00983F69"/>
    <w:rsid w:val="00984AD3"/>
    <w:rsid w:val="00987501"/>
    <w:rsid w:val="009875C6"/>
    <w:rsid w:val="00990134"/>
    <w:rsid w:val="0099286B"/>
    <w:rsid w:val="009937CE"/>
    <w:rsid w:val="009953C7"/>
    <w:rsid w:val="00996561"/>
    <w:rsid w:val="009966D9"/>
    <w:rsid w:val="009A03EC"/>
    <w:rsid w:val="009A2251"/>
    <w:rsid w:val="009A2F3B"/>
    <w:rsid w:val="009A3496"/>
    <w:rsid w:val="009A497D"/>
    <w:rsid w:val="009A6470"/>
    <w:rsid w:val="009A6D70"/>
    <w:rsid w:val="009A7421"/>
    <w:rsid w:val="009B0519"/>
    <w:rsid w:val="009B0536"/>
    <w:rsid w:val="009B2C37"/>
    <w:rsid w:val="009B2E05"/>
    <w:rsid w:val="009B3AA9"/>
    <w:rsid w:val="009B5C32"/>
    <w:rsid w:val="009B6EE0"/>
    <w:rsid w:val="009B7B03"/>
    <w:rsid w:val="009C1362"/>
    <w:rsid w:val="009C4BDD"/>
    <w:rsid w:val="009C6B77"/>
    <w:rsid w:val="009D1D6E"/>
    <w:rsid w:val="009D20F3"/>
    <w:rsid w:val="009D2AC0"/>
    <w:rsid w:val="009D3838"/>
    <w:rsid w:val="009D3E72"/>
    <w:rsid w:val="009D482F"/>
    <w:rsid w:val="009D529E"/>
    <w:rsid w:val="009D56F2"/>
    <w:rsid w:val="009D6125"/>
    <w:rsid w:val="009D77C2"/>
    <w:rsid w:val="009E06BE"/>
    <w:rsid w:val="009E1DE8"/>
    <w:rsid w:val="009E2272"/>
    <w:rsid w:val="009E2A4B"/>
    <w:rsid w:val="009E2FB1"/>
    <w:rsid w:val="009E3056"/>
    <w:rsid w:val="009E3349"/>
    <w:rsid w:val="009E396E"/>
    <w:rsid w:val="009E3E2B"/>
    <w:rsid w:val="009E4053"/>
    <w:rsid w:val="009E43AB"/>
    <w:rsid w:val="009E48B2"/>
    <w:rsid w:val="009E4E20"/>
    <w:rsid w:val="009E6F77"/>
    <w:rsid w:val="009E77F1"/>
    <w:rsid w:val="009E790C"/>
    <w:rsid w:val="009E7AB2"/>
    <w:rsid w:val="009F14B4"/>
    <w:rsid w:val="009F1F58"/>
    <w:rsid w:val="009F1F7E"/>
    <w:rsid w:val="009F57A3"/>
    <w:rsid w:val="00A0011A"/>
    <w:rsid w:val="00A0019F"/>
    <w:rsid w:val="00A01BDE"/>
    <w:rsid w:val="00A0267B"/>
    <w:rsid w:val="00A03637"/>
    <w:rsid w:val="00A03E4D"/>
    <w:rsid w:val="00A04044"/>
    <w:rsid w:val="00A0478F"/>
    <w:rsid w:val="00A04E67"/>
    <w:rsid w:val="00A05097"/>
    <w:rsid w:val="00A073FB"/>
    <w:rsid w:val="00A1255B"/>
    <w:rsid w:val="00A12D00"/>
    <w:rsid w:val="00A136A1"/>
    <w:rsid w:val="00A13CB4"/>
    <w:rsid w:val="00A14E05"/>
    <w:rsid w:val="00A160E4"/>
    <w:rsid w:val="00A1752D"/>
    <w:rsid w:val="00A2059F"/>
    <w:rsid w:val="00A21874"/>
    <w:rsid w:val="00A237F1"/>
    <w:rsid w:val="00A23C6E"/>
    <w:rsid w:val="00A249FD"/>
    <w:rsid w:val="00A30830"/>
    <w:rsid w:val="00A30D56"/>
    <w:rsid w:val="00A311E7"/>
    <w:rsid w:val="00A331B2"/>
    <w:rsid w:val="00A332FA"/>
    <w:rsid w:val="00A335F7"/>
    <w:rsid w:val="00A33808"/>
    <w:rsid w:val="00A350DB"/>
    <w:rsid w:val="00A35F2B"/>
    <w:rsid w:val="00A36252"/>
    <w:rsid w:val="00A36BA2"/>
    <w:rsid w:val="00A37B78"/>
    <w:rsid w:val="00A40456"/>
    <w:rsid w:val="00A40C2E"/>
    <w:rsid w:val="00A411C0"/>
    <w:rsid w:val="00A44CAD"/>
    <w:rsid w:val="00A46418"/>
    <w:rsid w:val="00A469A7"/>
    <w:rsid w:val="00A4740B"/>
    <w:rsid w:val="00A504C4"/>
    <w:rsid w:val="00A50E61"/>
    <w:rsid w:val="00A51611"/>
    <w:rsid w:val="00A51647"/>
    <w:rsid w:val="00A51672"/>
    <w:rsid w:val="00A52958"/>
    <w:rsid w:val="00A54866"/>
    <w:rsid w:val="00A574A1"/>
    <w:rsid w:val="00A57507"/>
    <w:rsid w:val="00A60B31"/>
    <w:rsid w:val="00A60D74"/>
    <w:rsid w:val="00A626BD"/>
    <w:rsid w:val="00A6290B"/>
    <w:rsid w:val="00A62BCF"/>
    <w:rsid w:val="00A6353D"/>
    <w:rsid w:val="00A63758"/>
    <w:rsid w:val="00A6421D"/>
    <w:rsid w:val="00A64621"/>
    <w:rsid w:val="00A6644D"/>
    <w:rsid w:val="00A70FBA"/>
    <w:rsid w:val="00A74B5E"/>
    <w:rsid w:val="00A7699A"/>
    <w:rsid w:val="00A80E4C"/>
    <w:rsid w:val="00A80E8D"/>
    <w:rsid w:val="00A81860"/>
    <w:rsid w:val="00A824C1"/>
    <w:rsid w:val="00A82CD9"/>
    <w:rsid w:val="00A83A26"/>
    <w:rsid w:val="00A8575C"/>
    <w:rsid w:val="00A85CAF"/>
    <w:rsid w:val="00A863B1"/>
    <w:rsid w:val="00A86A51"/>
    <w:rsid w:val="00A86D17"/>
    <w:rsid w:val="00A87CFE"/>
    <w:rsid w:val="00A91356"/>
    <w:rsid w:val="00A92B16"/>
    <w:rsid w:val="00A93262"/>
    <w:rsid w:val="00A93792"/>
    <w:rsid w:val="00A958EF"/>
    <w:rsid w:val="00A9590E"/>
    <w:rsid w:val="00A97ED1"/>
    <w:rsid w:val="00AA1B3E"/>
    <w:rsid w:val="00AA3353"/>
    <w:rsid w:val="00AA3F27"/>
    <w:rsid w:val="00AA52BA"/>
    <w:rsid w:val="00AA7B5D"/>
    <w:rsid w:val="00AB0A94"/>
    <w:rsid w:val="00AB1952"/>
    <w:rsid w:val="00AB1B40"/>
    <w:rsid w:val="00AB1C37"/>
    <w:rsid w:val="00AB1F01"/>
    <w:rsid w:val="00AB32E4"/>
    <w:rsid w:val="00AB34B2"/>
    <w:rsid w:val="00AB3FB2"/>
    <w:rsid w:val="00AB6498"/>
    <w:rsid w:val="00AC12FA"/>
    <w:rsid w:val="00AC1309"/>
    <w:rsid w:val="00AC22EB"/>
    <w:rsid w:val="00AC3961"/>
    <w:rsid w:val="00AC5774"/>
    <w:rsid w:val="00AD2D82"/>
    <w:rsid w:val="00AD3139"/>
    <w:rsid w:val="00AD3B82"/>
    <w:rsid w:val="00AD3E4B"/>
    <w:rsid w:val="00AD6883"/>
    <w:rsid w:val="00AD6992"/>
    <w:rsid w:val="00AD72A2"/>
    <w:rsid w:val="00AE03AF"/>
    <w:rsid w:val="00AE1CF7"/>
    <w:rsid w:val="00AE1E2D"/>
    <w:rsid w:val="00AE34C9"/>
    <w:rsid w:val="00AE37CC"/>
    <w:rsid w:val="00AE39FE"/>
    <w:rsid w:val="00AE4288"/>
    <w:rsid w:val="00AE45C0"/>
    <w:rsid w:val="00AE6BCA"/>
    <w:rsid w:val="00AE7FAE"/>
    <w:rsid w:val="00AF0830"/>
    <w:rsid w:val="00AF2C22"/>
    <w:rsid w:val="00AF2CAD"/>
    <w:rsid w:val="00AF2EC1"/>
    <w:rsid w:val="00AF5D92"/>
    <w:rsid w:val="00AF5DF1"/>
    <w:rsid w:val="00B00514"/>
    <w:rsid w:val="00B01D04"/>
    <w:rsid w:val="00B02B62"/>
    <w:rsid w:val="00B02F91"/>
    <w:rsid w:val="00B0517E"/>
    <w:rsid w:val="00B068B6"/>
    <w:rsid w:val="00B06E99"/>
    <w:rsid w:val="00B078AE"/>
    <w:rsid w:val="00B1513E"/>
    <w:rsid w:val="00B15C63"/>
    <w:rsid w:val="00B1655A"/>
    <w:rsid w:val="00B17C29"/>
    <w:rsid w:val="00B208CE"/>
    <w:rsid w:val="00B20CB4"/>
    <w:rsid w:val="00B21500"/>
    <w:rsid w:val="00B21FBF"/>
    <w:rsid w:val="00B24423"/>
    <w:rsid w:val="00B259B0"/>
    <w:rsid w:val="00B264EA"/>
    <w:rsid w:val="00B267EA"/>
    <w:rsid w:val="00B30AF0"/>
    <w:rsid w:val="00B32D2F"/>
    <w:rsid w:val="00B3443B"/>
    <w:rsid w:val="00B349D9"/>
    <w:rsid w:val="00B3516E"/>
    <w:rsid w:val="00B366CC"/>
    <w:rsid w:val="00B40AA9"/>
    <w:rsid w:val="00B42470"/>
    <w:rsid w:val="00B430DA"/>
    <w:rsid w:val="00B43876"/>
    <w:rsid w:val="00B43FC2"/>
    <w:rsid w:val="00B46BA7"/>
    <w:rsid w:val="00B47290"/>
    <w:rsid w:val="00B478D0"/>
    <w:rsid w:val="00B50F8C"/>
    <w:rsid w:val="00B51D01"/>
    <w:rsid w:val="00B53B86"/>
    <w:rsid w:val="00B54A30"/>
    <w:rsid w:val="00B54C6A"/>
    <w:rsid w:val="00B55A86"/>
    <w:rsid w:val="00B565C6"/>
    <w:rsid w:val="00B61678"/>
    <w:rsid w:val="00B646FD"/>
    <w:rsid w:val="00B64AFF"/>
    <w:rsid w:val="00B64C7D"/>
    <w:rsid w:val="00B65720"/>
    <w:rsid w:val="00B65CBC"/>
    <w:rsid w:val="00B66F66"/>
    <w:rsid w:val="00B677DC"/>
    <w:rsid w:val="00B67939"/>
    <w:rsid w:val="00B70D5B"/>
    <w:rsid w:val="00B710C7"/>
    <w:rsid w:val="00B71FD7"/>
    <w:rsid w:val="00B72586"/>
    <w:rsid w:val="00B7324C"/>
    <w:rsid w:val="00B7408B"/>
    <w:rsid w:val="00B7417E"/>
    <w:rsid w:val="00B7478F"/>
    <w:rsid w:val="00B74BF6"/>
    <w:rsid w:val="00B753C7"/>
    <w:rsid w:val="00B76E1F"/>
    <w:rsid w:val="00B770F5"/>
    <w:rsid w:val="00B8037F"/>
    <w:rsid w:val="00B80A1F"/>
    <w:rsid w:val="00B82FDD"/>
    <w:rsid w:val="00B83915"/>
    <w:rsid w:val="00B85419"/>
    <w:rsid w:val="00B86B7D"/>
    <w:rsid w:val="00B871FB"/>
    <w:rsid w:val="00B87C9B"/>
    <w:rsid w:val="00B9152A"/>
    <w:rsid w:val="00B9331C"/>
    <w:rsid w:val="00B93395"/>
    <w:rsid w:val="00B944E7"/>
    <w:rsid w:val="00B9573F"/>
    <w:rsid w:val="00B95773"/>
    <w:rsid w:val="00BA20C5"/>
    <w:rsid w:val="00BA2FF9"/>
    <w:rsid w:val="00BA3845"/>
    <w:rsid w:val="00BA4277"/>
    <w:rsid w:val="00BA4327"/>
    <w:rsid w:val="00BA7C28"/>
    <w:rsid w:val="00BB12ED"/>
    <w:rsid w:val="00BB1446"/>
    <w:rsid w:val="00BB230E"/>
    <w:rsid w:val="00BB3758"/>
    <w:rsid w:val="00BB3A20"/>
    <w:rsid w:val="00BB433E"/>
    <w:rsid w:val="00BB5EB3"/>
    <w:rsid w:val="00BB5EF3"/>
    <w:rsid w:val="00BB7917"/>
    <w:rsid w:val="00BC1A72"/>
    <w:rsid w:val="00BC62CF"/>
    <w:rsid w:val="00BD01BE"/>
    <w:rsid w:val="00BD0297"/>
    <w:rsid w:val="00BD0444"/>
    <w:rsid w:val="00BD0D01"/>
    <w:rsid w:val="00BD1C52"/>
    <w:rsid w:val="00BD4E35"/>
    <w:rsid w:val="00BD5881"/>
    <w:rsid w:val="00BD6875"/>
    <w:rsid w:val="00BE15B6"/>
    <w:rsid w:val="00BE2307"/>
    <w:rsid w:val="00BE4B39"/>
    <w:rsid w:val="00BE4E42"/>
    <w:rsid w:val="00BF0A49"/>
    <w:rsid w:val="00BF1E5F"/>
    <w:rsid w:val="00BF229A"/>
    <w:rsid w:val="00BF3705"/>
    <w:rsid w:val="00BF3A32"/>
    <w:rsid w:val="00BF5465"/>
    <w:rsid w:val="00BF62E6"/>
    <w:rsid w:val="00BF6F6E"/>
    <w:rsid w:val="00BF7AAB"/>
    <w:rsid w:val="00C00C43"/>
    <w:rsid w:val="00C00C65"/>
    <w:rsid w:val="00C02574"/>
    <w:rsid w:val="00C0376C"/>
    <w:rsid w:val="00C03EB1"/>
    <w:rsid w:val="00C067E6"/>
    <w:rsid w:val="00C06A96"/>
    <w:rsid w:val="00C06B49"/>
    <w:rsid w:val="00C10C4C"/>
    <w:rsid w:val="00C12BEE"/>
    <w:rsid w:val="00C12E83"/>
    <w:rsid w:val="00C130F5"/>
    <w:rsid w:val="00C13265"/>
    <w:rsid w:val="00C133EF"/>
    <w:rsid w:val="00C15CD0"/>
    <w:rsid w:val="00C17CD9"/>
    <w:rsid w:val="00C21019"/>
    <w:rsid w:val="00C22178"/>
    <w:rsid w:val="00C23E00"/>
    <w:rsid w:val="00C24E70"/>
    <w:rsid w:val="00C26B6D"/>
    <w:rsid w:val="00C27ACB"/>
    <w:rsid w:val="00C27AFF"/>
    <w:rsid w:val="00C30F6E"/>
    <w:rsid w:val="00C33149"/>
    <w:rsid w:val="00C33613"/>
    <w:rsid w:val="00C33C8D"/>
    <w:rsid w:val="00C34BC3"/>
    <w:rsid w:val="00C34F5F"/>
    <w:rsid w:val="00C35D17"/>
    <w:rsid w:val="00C362FC"/>
    <w:rsid w:val="00C36ACB"/>
    <w:rsid w:val="00C36FB5"/>
    <w:rsid w:val="00C374B5"/>
    <w:rsid w:val="00C375EE"/>
    <w:rsid w:val="00C37F4C"/>
    <w:rsid w:val="00C4042F"/>
    <w:rsid w:val="00C41F0B"/>
    <w:rsid w:val="00C434C3"/>
    <w:rsid w:val="00C45824"/>
    <w:rsid w:val="00C461A3"/>
    <w:rsid w:val="00C46372"/>
    <w:rsid w:val="00C4769A"/>
    <w:rsid w:val="00C506F4"/>
    <w:rsid w:val="00C511F8"/>
    <w:rsid w:val="00C526B1"/>
    <w:rsid w:val="00C5286D"/>
    <w:rsid w:val="00C534A7"/>
    <w:rsid w:val="00C53D6B"/>
    <w:rsid w:val="00C53D70"/>
    <w:rsid w:val="00C561EC"/>
    <w:rsid w:val="00C64389"/>
    <w:rsid w:val="00C65A37"/>
    <w:rsid w:val="00C7251D"/>
    <w:rsid w:val="00C72AB9"/>
    <w:rsid w:val="00C73245"/>
    <w:rsid w:val="00C7352C"/>
    <w:rsid w:val="00C7449E"/>
    <w:rsid w:val="00C751E2"/>
    <w:rsid w:val="00C75FE1"/>
    <w:rsid w:val="00C773C5"/>
    <w:rsid w:val="00C80AD7"/>
    <w:rsid w:val="00C81830"/>
    <w:rsid w:val="00C8199A"/>
    <w:rsid w:val="00C84B58"/>
    <w:rsid w:val="00C8575E"/>
    <w:rsid w:val="00C904A8"/>
    <w:rsid w:val="00C9305F"/>
    <w:rsid w:val="00C94361"/>
    <w:rsid w:val="00C955C6"/>
    <w:rsid w:val="00CA09C9"/>
    <w:rsid w:val="00CA336D"/>
    <w:rsid w:val="00CA53D3"/>
    <w:rsid w:val="00CA569F"/>
    <w:rsid w:val="00CB4006"/>
    <w:rsid w:val="00CB479A"/>
    <w:rsid w:val="00CB49F1"/>
    <w:rsid w:val="00CB4A70"/>
    <w:rsid w:val="00CB7EFB"/>
    <w:rsid w:val="00CC08D9"/>
    <w:rsid w:val="00CC09A1"/>
    <w:rsid w:val="00CC3FDA"/>
    <w:rsid w:val="00CC4021"/>
    <w:rsid w:val="00CC4330"/>
    <w:rsid w:val="00CC48E1"/>
    <w:rsid w:val="00CC6752"/>
    <w:rsid w:val="00CC729B"/>
    <w:rsid w:val="00CD012F"/>
    <w:rsid w:val="00CD0B84"/>
    <w:rsid w:val="00CD11A8"/>
    <w:rsid w:val="00CD1BA0"/>
    <w:rsid w:val="00CD25CF"/>
    <w:rsid w:val="00CD2D29"/>
    <w:rsid w:val="00CD6C06"/>
    <w:rsid w:val="00CE01E9"/>
    <w:rsid w:val="00CE083B"/>
    <w:rsid w:val="00CE13DE"/>
    <w:rsid w:val="00CE1FE7"/>
    <w:rsid w:val="00CE2EA7"/>
    <w:rsid w:val="00CE52C8"/>
    <w:rsid w:val="00CE54E9"/>
    <w:rsid w:val="00CE7F13"/>
    <w:rsid w:val="00CF0C4D"/>
    <w:rsid w:val="00CF2DA3"/>
    <w:rsid w:val="00CF325B"/>
    <w:rsid w:val="00CF5325"/>
    <w:rsid w:val="00CF532C"/>
    <w:rsid w:val="00CF5975"/>
    <w:rsid w:val="00CF66EF"/>
    <w:rsid w:val="00CF705F"/>
    <w:rsid w:val="00CF7188"/>
    <w:rsid w:val="00CF7B17"/>
    <w:rsid w:val="00D00CA7"/>
    <w:rsid w:val="00D019A7"/>
    <w:rsid w:val="00D03484"/>
    <w:rsid w:val="00D05CE6"/>
    <w:rsid w:val="00D05D60"/>
    <w:rsid w:val="00D066D1"/>
    <w:rsid w:val="00D06B67"/>
    <w:rsid w:val="00D06F57"/>
    <w:rsid w:val="00D10B48"/>
    <w:rsid w:val="00D14624"/>
    <w:rsid w:val="00D14C11"/>
    <w:rsid w:val="00D14D4C"/>
    <w:rsid w:val="00D16514"/>
    <w:rsid w:val="00D168F3"/>
    <w:rsid w:val="00D1739F"/>
    <w:rsid w:val="00D20630"/>
    <w:rsid w:val="00D2147A"/>
    <w:rsid w:val="00D223A8"/>
    <w:rsid w:val="00D22663"/>
    <w:rsid w:val="00D26735"/>
    <w:rsid w:val="00D27FE4"/>
    <w:rsid w:val="00D315B4"/>
    <w:rsid w:val="00D342D7"/>
    <w:rsid w:val="00D345B7"/>
    <w:rsid w:val="00D34F3A"/>
    <w:rsid w:val="00D36E97"/>
    <w:rsid w:val="00D410F8"/>
    <w:rsid w:val="00D42257"/>
    <w:rsid w:val="00D430C0"/>
    <w:rsid w:val="00D44447"/>
    <w:rsid w:val="00D44D85"/>
    <w:rsid w:val="00D45824"/>
    <w:rsid w:val="00D479C7"/>
    <w:rsid w:val="00D47B8E"/>
    <w:rsid w:val="00D505C1"/>
    <w:rsid w:val="00D514A7"/>
    <w:rsid w:val="00D51F45"/>
    <w:rsid w:val="00D52C27"/>
    <w:rsid w:val="00D555DC"/>
    <w:rsid w:val="00D56561"/>
    <w:rsid w:val="00D56569"/>
    <w:rsid w:val="00D61844"/>
    <w:rsid w:val="00D6267C"/>
    <w:rsid w:val="00D62974"/>
    <w:rsid w:val="00D62A51"/>
    <w:rsid w:val="00D63255"/>
    <w:rsid w:val="00D64414"/>
    <w:rsid w:val="00D6487F"/>
    <w:rsid w:val="00D64D01"/>
    <w:rsid w:val="00D65B91"/>
    <w:rsid w:val="00D66059"/>
    <w:rsid w:val="00D66D59"/>
    <w:rsid w:val="00D73CD9"/>
    <w:rsid w:val="00D75444"/>
    <w:rsid w:val="00D75D2D"/>
    <w:rsid w:val="00D80E23"/>
    <w:rsid w:val="00D8159C"/>
    <w:rsid w:val="00D81826"/>
    <w:rsid w:val="00D81B74"/>
    <w:rsid w:val="00D81CE5"/>
    <w:rsid w:val="00D828E8"/>
    <w:rsid w:val="00D836B2"/>
    <w:rsid w:val="00D845EE"/>
    <w:rsid w:val="00D84E5B"/>
    <w:rsid w:val="00D8500F"/>
    <w:rsid w:val="00D859B3"/>
    <w:rsid w:val="00D86991"/>
    <w:rsid w:val="00D86B65"/>
    <w:rsid w:val="00D87F4A"/>
    <w:rsid w:val="00D901F7"/>
    <w:rsid w:val="00D90335"/>
    <w:rsid w:val="00D90BFF"/>
    <w:rsid w:val="00D95102"/>
    <w:rsid w:val="00D9596A"/>
    <w:rsid w:val="00D97073"/>
    <w:rsid w:val="00D97C61"/>
    <w:rsid w:val="00D97D9E"/>
    <w:rsid w:val="00D97FE6"/>
    <w:rsid w:val="00DA06F4"/>
    <w:rsid w:val="00DA2CF9"/>
    <w:rsid w:val="00DA54E5"/>
    <w:rsid w:val="00DA555A"/>
    <w:rsid w:val="00DA62B6"/>
    <w:rsid w:val="00DA70F8"/>
    <w:rsid w:val="00DA7238"/>
    <w:rsid w:val="00DB32D8"/>
    <w:rsid w:val="00DB3473"/>
    <w:rsid w:val="00DB67EC"/>
    <w:rsid w:val="00DB7D55"/>
    <w:rsid w:val="00DC04C5"/>
    <w:rsid w:val="00DC0E21"/>
    <w:rsid w:val="00DC120E"/>
    <w:rsid w:val="00DC1A94"/>
    <w:rsid w:val="00DC23DD"/>
    <w:rsid w:val="00DC3D8D"/>
    <w:rsid w:val="00DC52E9"/>
    <w:rsid w:val="00DC5676"/>
    <w:rsid w:val="00DC578B"/>
    <w:rsid w:val="00DC69D7"/>
    <w:rsid w:val="00DC6BEB"/>
    <w:rsid w:val="00DC70D1"/>
    <w:rsid w:val="00DD1ACC"/>
    <w:rsid w:val="00DD33D7"/>
    <w:rsid w:val="00DD355C"/>
    <w:rsid w:val="00DD4F34"/>
    <w:rsid w:val="00DD6DDA"/>
    <w:rsid w:val="00DE1508"/>
    <w:rsid w:val="00DE4272"/>
    <w:rsid w:val="00DE509C"/>
    <w:rsid w:val="00DE52B1"/>
    <w:rsid w:val="00DE6CCE"/>
    <w:rsid w:val="00DE71AC"/>
    <w:rsid w:val="00DF10FE"/>
    <w:rsid w:val="00DF18C8"/>
    <w:rsid w:val="00DF25C5"/>
    <w:rsid w:val="00DF3D5A"/>
    <w:rsid w:val="00DF60F2"/>
    <w:rsid w:val="00DF7A3E"/>
    <w:rsid w:val="00DF7AA9"/>
    <w:rsid w:val="00DF7D52"/>
    <w:rsid w:val="00E00DB2"/>
    <w:rsid w:val="00E02B49"/>
    <w:rsid w:val="00E03F76"/>
    <w:rsid w:val="00E0443D"/>
    <w:rsid w:val="00E0641B"/>
    <w:rsid w:val="00E06E75"/>
    <w:rsid w:val="00E11C83"/>
    <w:rsid w:val="00E12542"/>
    <w:rsid w:val="00E126F7"/>
    <w:rsid w:val="00E13352"/>
    <w:rsid w:val="00E15AC5"/>
    <w:rsid w:val="00E20112"/>
    <w:rsid w:val="00E24AE7"/>
    <w:rsid w:val="00E2555E"/>
    <w:rsid w:val="00E26655"/>
    <w:rsid w:val="00E33059"/>
    <w:rsid w:val="00E331AD"/>
    <w:rsid w:val="00E33925"/>
    <w:rsid w:val="00E34A2E"/>
    <w:rsid w:val="00E35DE8"/>
    <w:rsid w:val="00E35E25"/>
    <w:rsid w:val="00E361C9"/>
    <w:rsid w:val="00E365D5"/>
    <w:rsid w:val="00E3720B"/>
    <w:rsid w:val="00E401C4"/>
    <w:rsid w:val="00E40864"/>
    <w:rsid w:val="00E41983"/>
    <w:rsid w:val="00E437AE"/>
    <w:rsid w:val="00E43918"/>
    <w:rsid w:val="00E43C6E"/>
    <w:rsid w:val="00E45872"/>
    <w:rsid w:val="00E46162"/>
    <w:rsid w:val="00E4637B"/>
    <w:rsid w:val="00E463D3"/>
    <w:rsid w:val="00E466A9"/>
    <w:rsid w:val="00E4717D"/>
    <w:rsid w:val="00E504BB"/>
    <w:rsid w:val="00E50B1B"/>
    <w:rsid w:val="00E50C2B"/>
    <w:rsid w:val="00E5132C"/>
    <w:rsid w:val="00E561EE"/>
    <w:rsid w:val="00E564C2"/>
    <w:rsid w:val="00E574F0"/>
    <w:rsid w:val="00E6040E"/>
    <w:rsid w:val="00E6630B"/>
    <w:rsid w:val="00E67584"/>
    <w:rsid w:val="00E67718"/>
    <w:rsid w:val="00E71C37"/>
    <w:rsid w:val="00E73A2B"/>
    <w:rsid w:val="00E7401F"/>
    <w:rsid w:val="00E746F9"/>
    <w:rsid w:val="00E76225"/>
    <w:rsid w:val="00E8087C"/>
    <w:rsid w:val="00E835F5"/>
    <w:rsid w:val="00E84354"/>
    <w:rsid w:val="00E844C4"/>
    <w:rsid w:val="00E85052"/>
    <w:rsid w:val="00E85DBB"/>
    <w:rsid w:val="00E85DFB"/>
    <w:rsid w:val="00E87848"/>
    <w:rsid w:val="00E904CF"/>
    <w:rsid w:val="00E91936"/>
    <w:rsid w:val="00E91D01"/>
    <w:rsid w:val="00E940C0"/>
    <w:rsid w:val="00E949E5"/>
    <w:rsid w:val="00E95E08"/>
    <w:rsid w:val="00E96307"/>
    <w:rsid w:val="00E97CEB"/>
    <w:rsid w:val="00EA23E1"/>
    <w:rsid w:val="00EA298C"/>
    <w:rsid w:val="00EA2CA3"/>
    <w:rsid w:val="00EA46EA"/>
    <w:rsid w:val="00EA4DDC"/>
    <w:rsid w:val="00EB1B96"/>
    <w:rsid w:val="00EB42BB"/>
    <w:rsid w:val="00EB559A"/>
    <w:rsid w:val="00EB5B97"/>
    <w:rsid w:val="00EB6324"/>
    <w:rsid w:val="00EB655F"/>
    <w:rsid w:val="00EC121D"/>
    <w:rsid w:val="00EC369E"/>
    <w:rsid w:val="00EC50BB"/>
    <w:rsid w:val="00EC5538"/>
    <w:rsid w:val="00ED108E"/>
    <w:rsid w:val="00ED1422"/>
    <w:rsid w:val="00ED1AD4"/>
    <w:rsid w:val="00ED2284"/>
    <w:rsid w:val="00ED47FE"/>
    <w:rsid w:val="00ED49F5"/>
    <w:rsid w:val="00ED5896"/>
    <w:rsid w:val="00ED6C62"/>
    <w:rsid w:val="00EE24E3"/>
    <w:rsid w:val="00EE2605"/>
    <w:rsid w:val="00EE27DE"/>
    <w:rsid w:val="00EE3239"/>
    <w:rsid w:val="00EE4A97"/>
    <w:rsid w:val="00EE56A4"/>
    <w:rsid w:val="00EE59A7"/>
    <w:rsid w:val="00EE6518"/>
    <w:rsid w:val="00EE6897"/>
    <w:rsid w:val="00EE6C99"/>
    <w:rsid w:val="00EF06E0"/>
    <w:rsid w:val="00EF1772"/>
    <w:rsid w:val="00EF3FF2"/>
    <w:rsid w:val="00EF4285"/>
    <w:rsid w:val="00EF5B7A"/>
    <w:rsid w:val="00EF5DCF"/>
    <w:rsid w:val="00EF6D5A"/>
    <w:rsid w:val="00EF6D81"/>
    <w:rsid w:val="00EF75B1"/>
    <w:rsid w:val="00EF772C"/>
    <w:rsid w:val="00F0367D"/>
    <w:rsid w:val="00F04A2A"/>
    <w:rsid w:val="00F06A04"/>
    <w:rsid w:val="00F1058B"/>
    <w:rsid w:val="00F10A7D"/>
    <w:rsid w:val="00F10F4F"/>
    <w:rsid w:val="00F1232D"/>
    <w:rsid w:val="00F12588"/>
    <w:rsid w:val="00F1442E"/>
    <w:rsid w:val="00F14C92"/>
    <w:rsid w:val="00F15799"/>
    <w:rsid w:val="00F1633D"/>
    <w:rsid w:val="00F16930"/>
    <w:rsid w:val="00F17657"/>
    <w:rsid w:val="00F2039E"/>
    <w:rsid w:val="00F206E8"/>
    <w:rsid w:val="00F21019"/>
    <w:rsid w:val="00F21DD9"/>
    <w:rsid w:val="00F233C8"/>
    <w:rsid w:val="00F25E59"/>
    <w:rsid w:val="00F2628E"/>
    <w:rsid w:val="00F2699F"/>
    <w:rsid w:val="00F303DA"/>
    <w:rsid w:val="00F30B0D"/>
    <w:rsid w:val="00F31149"/>
    <w:rsid w:val="00F3162D"/>
    <w:rsid w:val="00F32C96"/>
    <w:rsid w:val="00F32E24"/>
    <w:rsid w:val="00F33376"/>
    <w:rsid w:val="00F33B8A"/>
    <w:rsid w:val="00F3434C"/>
    <w:rsid w:val="00F35D26"/>
    <w:rsid w:val="00F406ED"/>
    <w:rsid w:val="00F409F1"/>
    <w:rsid w:val="00F41137"/>
    <w:rsid w:val="00F411B7"/>
    <w:rsid w:val="00F423D9"/>
    <w:rsid w:val="00F42E66"/>
    <w:rsid w:val="00F45A66"/>
    <w:rsid w:val="00F47A08"/>
    <w:rsid w:val="00F50CBE"/>
    <w:rsid w:val="00F5168D"/>
    <w:rsid w:val="00F5504A"/>
    <w:rsid w:val="00F5658E"/>
    <w:rsid w:val="00F568E2"/>
    <w:rsid w:val="00F56A4A"/>
    <w:rsid w:val="00F579BC"/>
    <w:rsid w:val="00F61E7F"/>
    <w:rsid w:val="00F66A87"/>
    <w:rsid w:val="00F671E5"/>
    <w:rsid w:val="00F67614"/>
    <w:rsid w:val="00F676B9"/>
    <w:rsid w:val="00F679DE"/>
    <w:rsid w:val="00F701AB"/>
    <w:rsid w:val="00F7215A"/>
    <w:rsid w:val="00F721E1"/>
    <w:rsid w:val="00F72AF8"/>
    <w:rsid w:val="00F72D08"/>
    <w:rsid w:val="00F7521D"/>
    <w:rsid w:val="00F77BC1"/>
    <w:rsid w:val="00F815FC"/>
    <w:rsid w:val="00F82F68"/>
    <w:rsid w:val="00F83537"/>
    <w:rsid w:val="00F84720"/>
    <w:rsid w:val="00F853F2"/>
    <w:rsid w:val="00F85CCD"/>
    <w:rsid w:val="00F86C32"/>
    <w:rsid w:val="00F90128"/>
    <w:rsid w:val="00F91A22"/>
    <w:rsid w:val="00F94FB0"/>
    <w:rsid w:val="00F95B30"/>
    <w:rsid w:val="00F96FF7"/>
    <w:rsid w:val="00F97242"/>
    <w:rsid w:val="00F9756D"/>
    <w:rsid w:val="00FA035A"/>
    <w:rsid w:val="00FA0399"/>
    <w:rsid w:val="00FA13B2"/>
    <w:rsid w:val="00FA397C"/>
    <w:rsid w:val="00FA6807"/>
    <w:rsid w:val="00FB09C4"/>
    <w:rsid w:val="00FB0AD8"/>
    <w:rsid w:val="00FB0CCD"/>
    <w:rsid w:val="00FB23E8"/>
    <w:rsid w:val="00FB261B"/>
    <w:rsid w:val="00FB2751"/>
    <w:rsid w:val="00FB2B4B"/>
    <w:rsid w:val="00FB2B7E"/>
    <w:rsid w:val="00FB2FE2"/>
    <w:rsid w:val="00FB31AA"/>
    <w:rsid w:val="00FB3B33"/>
    <w:rsid w:val="00FB3EBD"/>
    <w:rsid w:val="00FB4739"/>
    <w:rsid w:val="00FB71F8"/>
    <w:rsid w:val="00FB73D9"/>
    <w:rsid w:val="00FC0A70"/>
    <w:rsid w:val="00FC1AFF"/>
    <w:rsid w:val="00FC1C62"/>
    <w:rsid w:val="00FC444C"/>
    <w:rsid w:val="00FC5EAF"/>
    <w:rsid w:val="00FC602B"/>
    <w:rsid w:val="00FC6328"/>
    <w:rsid w:val="00FC7570"/>
    <w:rsid w:val="00FD0A5C"/>
    <w:rsid w:val="00FD0EE6"/>
    <w:rsid w:val="00FD1F31"/>
    <w:rsid w:val="00FD3246"/>
    <w:rsid w:val="00FD42D6"/>
    <w:rsid w:val="00FD640D"/>
    <w:rsid w:val="00FD6A9D"/>
    <w:rsid w:val="00FD6DE0"/>
    <w:rsid w:val="00FD6DF6"/>
    <w:rsid w:val="00FE131F"/>
    <w:rsid w:val="00FE1809"/>
    <w:rsid w:val="00FE25C5"/>
    <w:rsid w:val="00FE28EC"/>
    <w:rsid w:val="00FE2FB0"/>
    <w:rsid w:val="00FE39CA"/>
    <w:rsid w:val="00FE44CB"/>
    <w:rsid w:val="00FE4553"/>
    <w:rsid w:val="00FE4F72"/>
    <w:rsid w:val="00FE50A3"/>
    <w:rsid w:val="00FE5B98"/>
    <w:rsid w:val="00FE67C2"/>
    <w:rsid w:val="00FE699F"/>
    <w:rsid w:val="00FE6BCD"/>
    <w:rsid w:val="00FE6EE9"/>
    <w:rsid w:val="00FF1501"/>
    <w:rsid w:val="00FF1960"/>
    <w:rsid w:val="00FF3D22"/>
    <w:rsid w:val="00FF5B70"/>
    <w:rsid w:val="00FF76C3"/>
    <w:rsid w:val="05190A2E"/>
    <w:rsid w:val="10AE0F0F"/>
    <w:rsid w:val="130E3EE5"/>
    <w:rsid w:val="1E8FBC3C"/>
    <w:rsid w:val="20113C1D"/>
    <w:rsid w:val="2FFD5B01"/>
    <w:rsid w:val="3DFE8902"/>
    <w:rsid w:val="4F2337C4"/>
    <w:rsid w:val="57A21566"/>
    <w:rsid w:val="57AF79E2"/>
    <w:rsid w:val="5ABE5C2F"/>
    <w:rsid w:val="6BBF7306"/>
    <w:rsid w:val="6FEEB9C5"/>
    <w:rsid w:val="74373698"/>
    <w:rsid w:val="7DF02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annotation reference" w:semiHidden="0"/>
    <w:lsdException w:name="page number" w:semiHidden="0" w:uiPriority="0" w:unhideWhenUsed="0"/>
    <w:lsdException w:name="Title" w:semiHidden="0" w:uiPriority="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lsdException w:name="Balloon Text" w:uiPriority="0" w:unhideWhenUsed="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rsid w:val="003F3E11"/>
    <w:pPr>
      <w:outlineLvl w:val="0"/>
    </w:pPr>
    <w:rPr>
      <w:sz w:val="44"/>
    </w:rPr>
  </w:style>
  <w:style w:type="paragraph" w:styleId="2">
    <w:name w:val="heading 2"/>
    <w:basedOn w:val="3"/>
    <w:next w:val="a"/>
    <w:link w:val="2Char"/>
    <w:qFormat/>
    <w:rsid w:val="003F3E11"/>
    <w:pPr>
      <w:outlineLvl w:val="1"/>
    </w:pPr>
  </w:style>
  <w:style w:type="paragraph" w:styleId="3">
    <w:name w:val="heading 3"/>
    <w:basedOn w:val="20"/>
    <w:next w:val="a"/>
    <w:link w:val="3Char"/>
    <w:qFormat/>
    <w:rsid w:val="003F3E11"/>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pPr>
      <w:jc w:val="left"/>
    </w:pPr>
  </w:style>
  <w:style w:type="character" w:customStyle="1" w:styleId="Char">
    <w:name w:val="批注文字 Char"/>
    <w:link w:val="a3"/>
    <w:uiPriority w:val="99"/>
    <w:semiHidden/>
    <w:rPr>
      <w:kern w:val="2"/>
      <w:sz w:val="21"/>
      <w:szCs w:val="22"/>
    </w:rPr>
  </w:style>
  <w:style w:type="paragraph" w:styleId="a4">
    <w:name w:val="Balloon Text"/>
    <w:basedOn w:val="a"/>
    <w:semiHidden/>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link w:val="a5"/>
    <w:uiPriority w:val="99"/>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semiHidden/>
    <w:rPr>
      <w:sz w:val="18"/>
      <w:szCs w:val="18"/>
    </w:rPr>
  </w:style>
  <w:style w:type="paragraph" w:styleId="a7">
    <w:name w:val="annotation subject"/>
    <w:basedOn w:val="a3"/>
    <w:next w:val="a3"/>
    <w:link w:val="Char2"/>
    <w:uiPriority w:val="99"/>
    <w:unhideWhenUsed/>
    <w:rPr>
      <w:b/>
      <w:bCs/>
    </w:rPr>
  </w:style>
  <w:style w:type="character" w:customStyle="1" w:styleId="Char2">
    <w:name w:val="批注主题 Char"/>
    <w:link w:val="a7"/>
    <w:uiPriority w:val="99"/>
    <w:semiHidden/>
    <w:rPr>
      <w:b/>
      <w:bCs/>
      <w:kern w:val="2"/>
      <w:sz w:val="21"/>
      <w:szCs w:val="22"/>
    </w:rPr>
  </w:style>
  <w:style w:type="table" w:styleId="a8">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style>
  <w:style w:type="character" w:styleId="aa">
    <w:name w:val="annotation reference"/>
    <w:uiPriority w:val="99"/>
    <w:unhideWhenUsed/>
    <w:rPr>
      <w:sz w:val="21"/>
      <w:szCs w:val="21"/>
    </w:rPr>
  </w:style>
  <w:style w:type="paragraph" w:styleId="ab">
    <w:name w:val="List Paragraph"/>
    <w:basedOn w:val="a"/>
    <w:uiPriority w:val="34"/>
    <w:qFormat/>
    <w:pPr>
      <w:ind w:firstLineChars="200" w:firstLine="420"/>
    </w:pPr>
  </w:style>
  <w:style w:type="paragraph" w:styleId="ac">
    <w:name w:val="Revision"/>
    <w:uiPriority w:val="99"/>
    <w:unhideWhenUsed/>
    <w:rPr>
      <w:kern w:val="2"/>
      <w:sz w:val="21"/>
      <w:szCs w:val="22"/>
    </w:rPr>
  </w:style>
  <w:style w:type="paragraph" w:styleId="ad">
    <w:name w:val="Title"/>
    <w:basedOn w:val="ae"/>
    <w:next w:val="a"/>
    <w:link w:val="Char3"/>
    <w:qFormat/>
    <w:rsid w:val="003F3E11"/>
    <w:pPr>
      <w:jc w:val="center"/>
    </w:pPr>
    <w:rPr>
      <w:rFonts w:ascii="仿宋_GB2312" w:eastAsia="仿宋_GB2312" w:hAnsi="仿宋"/>
      <w:szCs w:val="24"/>
    </w:rPr>
  </w:style>
  <w:style w:type="character" w:customStyle="1" w:styleId="Char3">
    <w:name w:val="标题 Char"/>
    <w:link w:val="ad"/>
    <w:qFormat/>
    <w:rsid w:val="003F3E11"/>
    <w:rPr>
      <w:rFonts w:ascii="仿宋_GB2312" w:eastAsia="仿宋_GB2312" w:hAnsi="仿宋"/>
      <w:kern w:val="2"/>
      <w:sz w:val="21"/>
      <w:szCs w:val="24"/>
    </w:rPr>
  </w:style>
  <w:style w:type="paragraph" w:styleId="ae">
    <w:name w:val="Body Text"/>
    <w:basedOn w:val="a"/>
    <w:link w:val="Char4"/>
    <w:uiPriority w:val="99"/>
    <w:semiHidden/>
    <w:unhideWhenUsed/>
    <w:rsid w:val="003F3E11"/>
    <w:pPr>
      <w:spacing w:after="120"/>
    </w:pPr>
  </w:style>
  <w:style w:type="character" w:customStyle="1" w:styleId="Char4">
    <w:name w:val="正文文本 Char"/>
    <w:link w:val="ae"/>
    <w:uiPriority w:val="99"/>
    <w:semiHidden/>
    <w:rsid w:val="003F3E11"/>
    <w:rPr>
      <w:kern w:val="2"/>
      <w:sz w:val="21"/>
      <w:szCs w:val="22"/>
    </w:rPr>
  </w:style>
  <w:style w:type="character" w:customStyle="1" w:styleId="2Char">
    <w:name w:val="标题 2 Char"/>
    <w:link w:val="2"/>
    <w:qFormat/>
    <w:rsid w:val="003F3E11"/>
    <w:rPr>
      <w:rFonts w:ascii="黑体" w:eastAsia="黑体" w:hAnsi="黑体"/>
      <w:smallCaps/>
      <w:kern w:val="2"/>
      <w:sz w:val="30"/>
      <w:szCs w:val="30"/>
    </w:rPr>
  </w:style>
  <w:style w:type="paragraph" w:styleId="10">
    <w:name w:val="toc 1"/>
    <w:basedOn w:val="a"/>
    <w:next w:val="a"/>
    <w:autoRedefine/>
    <w:uiPriority w:val="39"/>
    <w:semiHidden/>
    <w:unhideWhenUsed/>
    <w:rsid w:val="003F3E11"/>
  </w:style>
  <w:style w:type="character" w:customStyle="1" w:styleId="1Char">
    <w:name w:val="标题 1 Char"/>
    <w:link w:val="1"/>
    <w:uiPriority w:val="9"/>
    <w:rsid w:val="003F3E11"/>
    <w:rPr>
      <w:rFonts w:ascii="黑体" w:eastAsia="黑体" w:hAnsi="黑体"/>
      <w:bCs/>
      <w:caps/>
      <w:kern w:val="2"/>
      <w:sz w:val="44"/>
      <w:szCs w:val="32"/>
    </w:rPr>
  </w:style>
  <w:style w:type="character" w:customStyle="1" w:styleId="3Char">
    <w:name w:val="标题 3 Char"/>
    <w:link w:val="3"/>
    <w:qFormat/>
    <w:rsid w:val="003F3E11"/>
    <w:rPr>
      <w:rFonts w:ascii="黑体" w:eastAsia="黑体" w:hAnsi="黑体"/>
      <w:smallCaps/>
      <w:kern w:val="2"/>
      <w:sz w:val="30"/>
      <w:szCs w:val="30"/>
    </w:rPr>
  </w:style>
  <w:style w:type="paragraph" w:styleId="20">
    <w:name w:val="toc 2"/>
    <w:basedOn w:val="a"/>
    <w:next w:val="a"/>
    <w:autoRedefine/>
    <w:uiPriority w:val="39"/>
    <w:semiHidden/>
    <w:unhideWhenUsed/>
    <w:rsid w:val="003F3E11"/>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annotation reference" w:semiHidden="0"/>
    <w:lsdException w:name="page number" w:semiHidden="0" w:uiPriority="0" w:unhideWhenUsed="0"/>
    <w:lsdException w:name="Title" w:semiHidden="0" w:uiPriority="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lsdException w:name="Balloon Text" w:uiPriority="0" w:unhideWhenUsed="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rsid w:val="003F3E11"/>
    <w:pPr>
      <w:outlineLvl w:val="0"/>
    </w:pPr>
    <w:rPr>
      <w:sz w:val="44"/>
    </w:rPr>
  </w:style>
  <w:style w:type="paragraph" w:styleId="2">
    <w:name w:val="heading 2"/>
    <w:basedOn w:val="3"/>
    <w:next w:val="a"/>
    <w:link w:val="2Char"/>
    <w:qFormat/>
    <w:rsid w:val="003F3E11"/>
    <w:pPr>
      <w:outlineLvl w:val="1"/>
    </w:pPr>
  </w:style>
  <w:style w:type="paragraph" w:styleId="3">
    <w:name w:val="heading 3"/>
    <w:basedOn w:val="20"/>
    <w:next w:val="a"/>
    <w:link w:val="3Char"/>
    <w:qFormat/>
    <w:rsid w:val="003F3E11"/>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pPr>
      <w:jc w:val="left"/>
    </w:pPr>
  </w:style>
  <w:style w:type="character" w:customStyle="1" w:styleId="Char">
    <w:name w:val="批注文字 Char"/>
    <w:link w:val="a3"/>
    <w:uiPriority w:val="99"/>
    <w:semiHidden/>
    <w:rPr>
      <w:kern w:val="2"/>
      <w:sz w:val="21"/>
      <w:szCs w:val="22"/>
    </w:rPr>
  </w:style>
  <w:style w:type="paragraph" w:styleId="a4">
    <w:name w:val="Balloon Text"/>
    <w:basedOn w:val="a"/>
    <w:semiHidden/>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link w:val="a5"/>
    <w:uiPriority w:val="99"/>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semiHidden/>
    <w:rPr>
      <w:sz w:val="18"/>
      <w:szCs w:val="18"/>
    </w:rPr>
  </w:style>
  <w:style w:type="paragraph" w:styleId="a7">
    <w:name w:val="annotation subject"/>
    <w:basedOn w:val="a3"/>
    <w:next w:val="a3"/>
    <w:link w:val="Char2"/>
    <w:uiPriority w:val="99"/>
    <w:unhideWhenUsed/>
    <w:rPr>
      <w:b/>
      <w:bCs/>
    </w:rPr>
  </w:style>
  <w:style w:type="character" w:customStyle="1" w:styleId="Char2">
    <w:name w:val="批注主题 Char"/>
    <w:link w:val="a7"/>
    <w:uiPriority w:val="99"/>
    <w:semiHidden/>
    <w:rPr>
      <w:b/>
      <w:bCs/>
      <w:kern w:val="2"/>
      <w:sz w:val="21"/>
      <w:szCs w:val="22"/>
    </w:rPr>
  </w:style>
  <w:style w:type="table" w:styleId="a8">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style>
  <w:style w:type="character" w:styleId="aa">
    <w:name w:val="annotation reference"/>
    <w:uiPriority w:val="99"/>
    <w:unhideWhenUsed/>
    <w:rPr>
      <w:sz w:val="21"/>
      <w:szCs w:val="21"/>
    </w:rPr>
  </w:style>
  <w:style w:type="paragraph" w:styleId="ab">
    <w:name w:val="List Paragraph"/>
    <w:basedOn w:val="a"/>
    <w:uiPriority w:val="34"/>
    <w:qFormat/>
    <w:pPr>
      <w:ind w:firstLineChars="200" w:firstLine="420"/>
    </w:pPr>
  </w:style>
  <w:style w:type="paragraph" w:styleId="ac">
    <w:name w:val="Revision"/>
    <w:uiPriority w:val="99"/>
    <w:unhideWhenUsed/>
    <w:rPr>
      <w:kern w:val="2"/>
      <w:sz w:val="21"/>
      <w:szCs w:val="22"/>
    </w:rPr>
  </w:style>
  <w:style w:type="paragraph" w:styleId="ad">
    <w:name w:val="Title"/>
    <w:basedOn w:val="ae"/>
    <w:next w:val="a"/>
    <w:link w:val="Char3"/>
    <w:qFormat/>
    <w:rsid w:val="003F3E11"/>
    <w:pPr>
      <w:jc w:val="center"/>
    </w:pPr>
    <w:rPr>
      <w:rFonts w:ascii="仿宋_GB2312" w:eastAsia="仿宋_GB2312" w:hAnsi="仿宋"/>
      <w:szCs w:val="24"/>
    </w:rPr>
  </w:style>
  <w:style w:type="character" w:customStyle="1" w:styleId="Char3">
    <w:name w:val="标题 Char"/>
    <w:link w:val="ad"/>
    <w:qFormat/>
    <w:rsid w:val="003F3E11"/>
    <w:rPr>
      <w:rFonts w:ascii="仿宋_GB2312" w:eastAsia="仿宋_GB2312" w:hAnsi="仿宋"/>
      <w:kern w:val="2"/>
      <w:sz w:val="21"/>
      <w:szCs w:val="24"/>
    </w:rPr>
  </w:style>
  <w:style w:type="paragraph" w:styleId="ae">
    <w:name w:val="Body Text"/>
    <w:basedOn w:val="a"/>
    <w:link w:val="Char4"/>
    <w:uiPriority w:val="99"/>
    <w:semiHidden/>
    <w:unhideWhenUsed/>
    <w:rsid w:val="003F3E11"/>
    <w:pPr>
      <w:spacing w:after="120"/>
    </w:pPr>
  </w:style>
  <w:style w:type="character" w:customStyle="1" w:styleId="Char4">
    <w:name w:val="正文文本 Char"/>
    <w:link w:val="ae"/>
    <w:uiPriority w:val="99"/>
    <w:semiHidden/>
    <w:rsid w:val="003F3E11"/>
    <w:rPr>
      <w:kern w:val="2"/>
      <w:sz w:val="21"/>
      <w:szCs w:val="22"/>
    </w:rPr>
  </w:style>
  <w:style w:type="character" w:customStyle="1" w:styleId="2Char">
    <w:name w:val="标题 2 Char"/>
    <w:link w:val="2"/>
    <w:qFormat/>
    <w:rsid w:val="003F3E11"/>
    <w:rPr>
      <w:rFonts w:ascii="黑体" w:eastAsia="黑体" w:hAnsi="黑体"/>
      <w:smallCaps/>
      <w:kern w:val="2"/>
      <w:sz w:val="30"/>
      <w:szCs w:val="30"/>
    </w:rPr>
  </w:style>
  <w:style w:type="paragraph" w:styleId="10">
    <w:name w:val="toc 1"/>
    <w:basedOn w:val="a"/>
    <w:next w:val="a"/>
    <w:autoRedefine/>
    <w:uiPriority w:val="39"/>
    <w:semiHidden/>
    <w:unhideWhenUsed/>
    <w:rsid w:val="003F3E11"/>
  </w:style>
  <w:style w:type="character" w:customStyle="1" w:styleId="1Char">
    <w:name w:val="标题 1 Char"/>
    <w:link w:val="1"/>
    <w:uiPriority w:val="9"/>
    <w:rsid w:val="003F3E11"/>
    <w:rPr>
      <w:rFonts w:ascii="黑体" w:eastAsia="黑体" w:hAnsi="黑体"/>
      <w:bCs/>
      <w:caps/>
      <w:kern w:val="2"/>
      <w:sz w:val="44"/>
      <w:szCs w:val="32"/>
    </w:rPr>
  </w:style>
  <w:style w:type="character" w:customStyle="1" w:styleId="3Char">
    <w:name w:val="标题 3 Char"/>
    <w:link w:val="3"/>
    <w:qFormat/>
    <w:rsid w:val="003F3E11"/>
    <w:rPr>
      <w:rFonts w:ascii="黑体" w:eastAsia="黑体" w:hAnsi="黑体"/>
      <w:smallCaps/>
      <w:kern w:val="2"/>
      <w:sz w:val="30"/>
      <w:szCs w:val="30"/>
    </w:rPr>
  </w:style>
  <w:style w:type="paragraph" w:styleId="20">
    <w:name w:val="toc 2"/>
    <w:basedOn w:val="a"/>
    <w:next w:val="a"/>
    <w:autoRedefine/>
    <w:uiPriority w:val="39"/>
    <w:semiHidden/>
    <w:unhideWhenUsed/>
    <w:rsid w:val="003F3E11"/>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973</Words>
  <Characters>5549</Characters>
  <Application>Microsoft Office Word</Application>
  <DocSecurity>0</DocSecurity>
  <Lines>46</Lines>
  <Paragraphs>13</Paragraphs>
  <ScaleCrop>false</ScaleCrop>
  <Company/>
  <LinksUpToDate>false</LinksUpToDate>
  <CharactersWithSpaces>6509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马巍</dc:creator>
  <cp:lastModifiedBy>梁爽</cp:lastModifiedBy>
  <cp:revision>4</cp:revision>
  <dcterms:created xsi:type="dcterms:W3CDTF">2023-02-17T07:16:00Z</dcterms:created>
  <dcterms:modified xsi:type="dcterms:W3CDTF">2023-02-17T10:19:00Z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E8A0A99E99C94FDFB29D4C7E9F771041</vt:lpwstr>
  </property>
</Properties>
</file>