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92D" w:rsidRDefault="00174843">
      <w:pPr>
        <w:pStyle w:val="a8"/>
        <w:jc w:val="left"/>
        <w:rPr>
          <w:rFonts w:ascii="楷体_GB2312" w:eastAsia="楷体_GB2312"/>
          <w:sz w:val="32"/>
          <w:szCs w:val="30"/>
        </w:rPr>
      </w:pPr>
      <w:bookmarkStart w:id="0" w:name="_GoBack"/>
      <w:bookmarkEnd w:id="0"/>
      <w:r>
        <w:rPr>
          <w:rFonts w:ascii="楷体_GB2312" w:eastAsia="楷体_GB2312" w:hint="eastAsia"/>
          <w:sz w:val="32"/>
          <w:szCs w:val="30"/>
        </w:rPr>
        <w:t>附件4：</w:t>
      </w:r>
    </w:p>
    <w:p w:rsidR="00C4692D" w:rsidRDefault="00174843">
      <w:pPr>
        <w:pStyle w:val="1"/>
      </w:pPr>
      <w:r>
        <w:rPr>
          <w:rFonts w:hint="eastAsia"/>
        </w:rPr>
        <w:t>信用风险内部评级法风险暴露分类标准</w:t>
      </w:r>
    </w:p>
    <w:p w:rsidR="00C4692D" w:rsidRDefault="00C4692D">
      <w:pPr>
        <w:spacing w:line="480" w:lineRule="exact"/>
        <w:ind w:firstLine="600"/>
        <w:rPr>
          <w:rFonts w:ascii="黑体" w:eastAsia="黑体" w:hAnsi="Calibri"/>
          <w:bCs/>
          <w:sz w:val="30"/>
          <w:szCs w:val="30"/>
        </w:rPr>
      </w:pPr>
    </w:p>
    <w:p w:rsidR="00C4692D" w:rsidRDefault="00174843">
      <w:pPr>
        <w:pStyle w:val="3"/>
      </w:pPr>
      <w:r>
        <w:rPr>
          <w:rFonts w:hint="eastAsia"/>
        </w:rPr>
        <w:t>一、银行账簿信用风险暴露分类的政策和程序</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（一）商业银行应制定信用风险内部评级法银行账簿信用风险暴露分类政策，明确开展风险暴露划分与调整的程序和内部控制要求，完善相应的报告制度和信息系</w:t>
      </w:r>
      <w:r>
        <w:rPr>
          <w:rFonts w:ascii="仿宋_GB2312" w:eastAsia="仿宋_GB2312" w:hAnsi="宋体" w:hint="eastAsia"/>
          <w:sz w:val="30"/>
          <w:szCs w:val="30"/>
        </w:rPr>
        <w:t>统</w:t>
      </w:r>
      <w:r>
        <w:rPr>
          <w:rFonts w:ascii="仿宋_GB2312" w:eastAsia="仿宋_GB2312" w:hint="eastAsia"/>
          <w:sz w:val="30"/>
          <w:szCs w:val="30"/>
        </w:rPr>
        <w:t>管理。</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（二）商业银行应结合本行的管理架构、资产结构和风险特征确定内部评级法风险暴露分类的标准和流程。商业银行分类标准与本办法要求不一致的，应报银保监会备案。</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（三）商业银行应指定部门牵头负责全行内部评级法风险暴露分类工作，并由两个相对独立的岗位或部门分别负责风险暴露的划分和认定。</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四）商业银行开展内部评级法风险暴露分类时，应根据不同风险暴露类别的划分标准，将资产划入相应的风险暴露类别。对不符合主权风险暴露、金融机构风险暴露、零售风险暴露、股权风险暴露、其他风险暴露划分标准且存在信用风险的资产，应纳入公司风险暴露处理。</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（五）商业银行应根据风险暴露特征的变化，调整内部评级法风险暴露类别。在出现风险暴露类别调整特征后的半年内，商业银行应完成暴露类别的调整。 </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（六）商业银行应建立内部评级法风险暴露分类和调整的报告制度，定期向董事会和高管层报告分类状况和风险情况。 </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（七）商业银行应在相关信息系统中对每笔业务的内部评级法风险暴露类别进行标识。 </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（八）商业银行应建立内部评级法风险暴露分类的内部审计制度，对内部评级法风险暴露分类实施情况定期开展审计。</w:t>
      </w:r>
    </w:p>
    <w:p w:rsidR="00C4692D" w:rsidRDefault="00174843">
      <w:pPr>
        <w:pStyle w:val="3"/>
      </w:pPr>
      <w:r>
        <w:rPr>
          <w:rFonts w:hint="eastAsia"/>
        </w:rPr>
        <w:lastRenderedPageBreak/>
        <w:t>二、主权风险暴露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主权风险暴露是指商业银行对主权国家或经济实体区域及其中央银行、境外公共部门实体、我国</w:t>
      </w:r>
      <w:r>
        <w:rPr>
          <w:rFonts w:ascii="仿宋_GB2312" w:eastAsia="仿宋_GB2312" w:hint="eastAsia"/>
          <w:sz w:val="30"/>
          <w:szCs w:val="30"/>
          <w:lang w:val="zh-TW"/>
        </w:rPr>
        <w:t>开发性金融机构和政策性银行</w:t>
      </w:r>
      <w:r>
        <w:rPr>
          <w:rFonts w:ascii="仿宋_GB2312" w:eastAsia="仿宋_GB2312" w:hint="eastAsia"/>
          <w:sz w:val="30"/>
          <w:szCs w:val="30"/>
        </w:rPr>
        <w:t>、视同我国主权的公共部门实体</w:t>
      </w:r>
      <w:r>
        <w:rPr>
          <w:rFonts w:ascii="仿宋_GB2312" w:eastAsia="仿宋_GB2312"/>
          <w:sz w:val="30"/>
          <w:szCs w:val="30"/>
        </w:rPr>
        <w:t>、</w:t>
      </w:r>
      <w:r>
        <w:rPr>
          <w:rFonts w:ascii="仿宋_GB2312" w:eastAsia="仿宋_GB2312" w:hint="eastAsia"/>
          <w:sz w:val="30"/>
          <w:szCs w:val="30"/>
        </w:rPr>
        <w:t>合格多边开发银行</w:t>
      </w:r>
      <w:r>
        <w:rPr>
          <w:rFonts w:ascii="仿宋_GB2312" w:eastAsia="仿宋_GB2312"/>
          <w:sz w:val="30"/>
          <w:szCs w:val="30"/>
        </w:rPr>
        <w:t>，</w:t>
      </w:r>
      <w:r>
        <w:rPr>
          <w:rFonts w:ascii="仿宋_GB2312" w:eastAsia="仿宋_GB2312" w:hint="eastAsia"/>
          <w:sz w:val="30"/>
          <w:szCs w:val="30"/>
        </w:rPr>
        <w:t>以及国际清算银行、国际货币基金组织、</w:t>
      </w:r>
      <w:r>
        <w:rPr>
          <w:rFonts w:ascii="仿宋_GB2312" w:eastAsia="仿宋_GB2312"/>
          <w:color w:val="000000"/>
          <w:sz w:val="30"/>
          <w:szCs w:val="30"/>
        </w:rPr>
        <w:t>欧洲中央银行、欧盟、欧洲稳定机制和欧洲金融稳定机制</w:t>
      </w:r>
      <w:r>
        <w:rPr>
          <w:rFonts w:ascii="仿宋_GB2312" w:eastAsia="仿宋_GB2312" w:hint="eastAsia"/>
          <w:sz w:val="30"/>
          <w:szCs w:val="30"/>
        </w:rPr>
        <w:t>等的债权。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视同我国主权的公共部门实体、合格多边开发银行的标准见本办法附件2第三部分（二）、第四部分（二）。</w:t>
      </w:r>
    </w:p>
    <w:p w:rsidR="00C4692D" w:rsidRDefault="00174843">
      <w:pPr>
        <w:pStyle w:val="3"/>
      </w:pPr>
      <w:r>
        <w:rPr>
          <w:rFonts w:hint="eastAsia"/>
        </w:rPr>
        <w:t>三、金融机构风险暴露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（一）金融机构风险暴露是指商业银行对金融机构的债权。根据金融机构的不同属性，商业银行应将金融机构风险暴露分为银行类金融机构风险暴露、非银行类金融机构风险暴露和其他多边开发银行风险暴露。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其他多边开发银行的标准见本办法附件2第四部分（三）。</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二）银行类金融机构包括在中华人民共和国境内设立的商业银行、农村合作银行、村镇银行、农村信用合作社等吸收公众存款的金融机构，以及在中华人民共和国境外注册并经所在国家或者地区金融监管部门批准的存款类金融机构。</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三）非银行类金融机构包括经金融监管部门批准设立的证券公司、保险公司、保险资产管理公司、金融资产管理公司、信托公司、企业集团财务公司、金融租赁公司、汽车金融公司、货币经纪公司、消费金融公司、基金公司、理财公司、金融资产投资公司、金融控股公司以及其他受金融监管部门监管的机构。</w:t>
      </w:r>
    </w:p>
    <w:p w:rsidR="00C4692D" w:rsidRDefault="00174843">
      <w:pPr>
        <w:pStyle w:val="3"/>
      </w:pPr>
      <w:r>
        <w:rPr>
          <w:rFonts w:hint="eastAsia"/>
        </w:rPr>
        <w:t>四、公司风险暴露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（一）公司风险暴露是指商业银行对公司、合伙制企业和独资企业及其他非自然人的债权，但不包括对主权、金融机构和纳入零售风险暴露的企业的债权。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（二）根据债务人类型及其风险特征，公司风险暴露分为中</w:t>
      </w:r>
      <w:r>
        <w:rPr>
          <w:rFonts w:ascii="仿宋_GB2312" w:eastAsia="仿宋_GB2312" w:hint="eastAsia"/>
          <w:sz w:val="30"/>
          <w:szCs w:val="30"/>
        </w:rPr>
        <w:lastRenderedPageBreak/>
        <w:t>小企业风险暴露、专业贷款和一般公司风险暴露。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（三）中小企业风险暴露是指商业银行对年营业收入（近3年营业收入的算术平均值）不超过3亿元人民币且符合国家相关部门规定的中型、小型和微型企业认定标准的企业的债权。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（四）专业贷款是指公司风险暴露中同时具有如下特征的债权：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债务人通常是一个专门为实物资产融资或运作实物资产而设立的特殊目的实体。</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债务人基本没有其他实质性资产或业务，除了从被融资资产中获得的收入外，没有独立偿还债务的能力。</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 合同安排给予贷款银行对融资形成的资产及其所产生的收入有相当程度的控制权。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（五）专业贷款划分为项目融资、物品融资、商品融资和产生收入的房地产贷款。</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（六）项目融资除符合专业贷款的特征外，还应同时具有如下特征：</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融资用途通常是用于建造一个或一组大型生产装置或基础设施项目，包括对在建项目的再融资。</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2. 债务人通常是为建设、经营该项目或为该项目融资而专门组建的企业法人。 </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 还款资金来源主要依赖该项目产生的</w:t>
      </w:r>
      <w:bookmarkStart w:id="1" w:name="OLE_LINK1"/>
      <w:bookmarkStart w:id="2" w:name="OLE_LINK2"/>
      <w:r>
        <w:rPr>
          <w:rFonts w:ascii="仿宋_GB2312" w:eastAsia="仿宋_GB2312" w:hint="eastAsia"/>
          <w:sz w:val="30"/>
          <w:szCs w:val="30"/>
        </w:rPr>
        <w:t>销售收入、补贴收入或其他收入，</w:t>
      </w:r>
      <w:bookmarkEnd w:id="1"/>
      <w:bookmarkEnd w:id="2"/>
      <w:r>
        <w:rPr>
          <w:rFonts w:ascii="仿宋_GB2312" w:eastAsia="仿宋_GB2312" w:hint="eastAsia"/>
          <w:sz w:val="30"/>
          <w:szCs w:val="30"/>
        </w:rPr>
        <w:t>一般不具备其他还款来源。</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（七）物品融资除符合专业贷款的特征外，还应同时具有如下特征：</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债务人取得融资资金用于购买特定实物资产，如船舶、航空器、轨道交通工具等。</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还款来源主要依靠已用于融资、抵押或交给贷款银行的特殊资产创造的现金流。这些现金流可通过一个或几个与第三方签订的出租或租赁合约实现。</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（八）商品融资除符合专业贷款的特征外，还应同时具有如下特征：</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为可在交易所交易的商品（如原油、金属或谷物）的储备、存货或应收而进行的结构性短期融资。</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债务人没有其他实质性资产，主要依靠商品销售的收益作为还款来源。</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 贷款评级主要反映贷款自我清偿的程度及贷款银行组织该笔交易的能力，而不反映债务人的资信水平。</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（九）产生收入的房地产贷款除符合专业贷款的特征外，还应同时具有如下特征：</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债务人一般是一个专门开发融资项目的公司，也可是从事房地产建设或拥有房地产的运营公司。</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融资用途是房地产（如用于出租的办公室建筑、零售场所、多户的住宅、工业和仓库场所及旅馆）的开发、销售或出租，以及土地整理、开发和储备等。</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 还款主要依赖于贷款所形成房地产的租金、销售收入或土地出让收入。</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（十）一般公司风险暴露是指除中小企业风险暴露和专业贷款之外的其他公司风险暴露。 </w:t>
      </w:r>
    </w:p>
    <w:p w:rsidR="00C4692D" w:rsidRDefault="00174843">
      <w:pPr>
        <w:pStyle w:val="3"/>
      </w:pPr>
      <w:r>
        <w:rPr>
          <w:rFonts w:hint="eastAsia"/>
        </w:rPr>
        <w:t>五、零售风险暴露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（一）零售风险暴露应同时具有如下特征：</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债务人是一个或几个自然人。</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笔数多，单笔金额小。</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3. 按照组合方式进行管理。 </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（二）零售风险暴露分为个人住房抵押贷款、合格循环零售风险暴露、其他零售风险暴露三大类。商业银行可以根据自身业务状况和管理实际，在上述基础上做进一步细分。</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（三）个人住房抵押贷款是指以购买个人住房为目的并以所</w:t>
      </w:r>
      <w:r>
        <w:rPr>
          <w:rFonts w:ascii="仿宋_GB2312" w:eastAsia="仿宋_GB2312" w:hint="eastAsia"/>
          <w:sz w:val="30"/>
          <w:szCs w:val="30"/>
        </w:rPr>
        <w:lastRenderedPageBreak/>
        <w:t>购房产为抵押的贷款。</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（四）合格循环零售风险暴露是指各类可循环使用、无担保、合约规定和实际操作均未指定用途的零售授信。合格循环零售风险暴露中对单一客户最大风险暴露不超过100万元人民币。</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商业银行应能够证明合格循环零售风险暴露的损失率波动较低，尤其是在低违约概率区间的损失率波动较低。</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（五）</w:t>
      </w:r>
      <w:r>
        <w:rPr>
          <w:rFonts w:ascii="仿宋_GB2312" w:eastAsia="仿宋_GB2312"/>
          <w:sz w:val="30"/>
          <w:szCs w:val="30"/>
        </w:rPr>
        <w:t>合格循环零售风险暴露分为交易者循环零售风险暴露和</w:t>
      </w:r>
      <w:r>
        <w:rPr>
          <w:rFonts w:ascii="仿宋_GB2312" w:eastAsia="仿宋_GB2312" w:hint="eastAsia"/>
          <w:sz w:val="30"/>
          <w:szCs w:val="30"/>
        </w:rPr>
        <w:t>一般</w:t>
      </w:r>
      <w:r>
        <w:rPr>
          <w:rFonts w:ascii="仿宋_GB2312" w:eastAsia="仿宋_GB2312"/>
          <w:sz w:val="30"/>
          <w:szCs w:val="30"/>
        </w:rPr>
        <w:t>循环零售风险暴露。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1. </w:t>
      </w:r>
      <w:r>
        <w:rPr>
          <w:rFonts w:ascii="仿宋_GB2312" w:eastAsia="仿宋_GB2312"/>
          <w:sz w:val="30"/>
          <w:szCs w:val="30"/>
        </w:rPr>
        <w:t>交易者循环零售风险暴露是指</w:t>
      </w:r>
      <w:r>
        <w:rPr>
          <w:rFonts w:ascii="仿宋_GB2312" w:eastAsia="仿宋_GB2312" w:hint="eastAsia"/>
          <w:sz w:val="30"/>
          <w:szCs w:val="30"/>
        </w:rPr>
        <w:t>在过去三年内最近12个账款金额大于0的账单周期，均按照事先约定的还款规则，在到期日前（含到期日）全额偿还应付款项的信用卡零售循环风险暴露。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一般</w:t>
      </w:r>
      <w:r>
        <w:rPr>
          <w:rFonts w:ascii="仿宋_GB2312" w:eastAsia="仿宋_GB2312"/>
          <w:sz w:val="30"/>
          <w:szCs w:val="30"/>
        </w:rPr>
        <w:t>循环零售风险暴露</w:t>
      </w:r>
      <w:r>
        <w:rPr>
          <w:rFonts w:ascii="仿宋_GB2312" w:eastAsia="仿宋_GB2312" w:hint="eastAsia"/>
          <w:sz w:val="30"/>
          <w:szCs w:val="30"/>
        </w:rPr>
        <w:t>是指</w:t>
      </w:r>
      <w:r>
        <w:rPr>
          <w:rFonts w:ascii="仿宋_GB2312" w:eastAsia="仿宋_GB2312"/>
          <w:sz w:val="30"/>
          <w:szCs w:val="30"/>
        </w:rPr>
        <w:t>交易</w:t>
      </w:r>
      <w:r>
        <w:rPr>
          <w:rFonts w:ascii="仿宋_GB2312" w:eastAsia="仿宋_GB2312" w:hint="eastAsia"/>
          <w:sz w:val="30"/>
          <w:szCs w:val="30"/>
        </w:rPr>
        <w:t>者</w:t>
      </w:r>
      <w:r>
        <w:rPr>
          <w:rFonts w:ascii="仿宋_GB2312" w:eastAsia="仿宋_GB2312"/>
          <w:sz w:val="30"/>
          <w:szCs w:val="30"/>
        </w:rPr>
        <w:t>循环零售风险暴露</w:t>
      </w:r>
      <w:r>
        <w:rPr>
          <w:rFonts w:ascii="仿宋_GB2312" w:eastAsia="仿宋_GB2312" w:hint="eastAsia"/>
          <w:sz w:val="30"/>
          <w:szCs w:val="30"/>
        </w:rPr>
        <w:t>之外的其他</w:t>
      </w:r>
      <w:r>
        <w:rPr>
          <w:rFonts w:ascii="仿宋_GB2312" w:eastAsia="仿宋_GB2312"/>
          <w:sz w:val="30"/>
          <w:szCs w:val="30"/>
        </w:rPr>
        <w:t>合格循环零售风险暴露。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（六）其他零售风险暴露是指除个人住房抵押贷款和合格循环零售风险暴露之外的其他对自然人的债权。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（七）符合本办法附件2第六部分（六）规定的小微企业风险暴露，可纳入其他零售风险暴露。</w:t>
      </w:r>
    </w:p>
    <w:p w:rsidR="00C4692D" w:rsidRDefault="00174843">
      <w:pPr>
        <w:pStyle w:val="3"/>
      </w:pPr>
      <w:r>
        <w:rPr>
          <w:rFonts w:hint="eastAsia"/>
        </w:rPr>
        <w:t>六、股权风险暴露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（一）股权风险暴露是指商业银行直接或间接持有的股东权益。</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（二）纳入股权风险暴露的金融工具应同时满足如下条件：</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持有该项金融工具获取收益的主要来源是未来资本利得，而不是随时间所产生的收益。</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该项金融工具不可赎回，不属于发行方的债务。</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 对发行方资产或收入具有剩余索取权。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（三）符合下列条件之一的金融工具应划分为股权风险暴露：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与商业银行一级资本具有同样结构的工具。</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 xml:space="preserve">2. 属于发行方债务但符合下列条件之一的金融工具： </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（1）发行方可无限期推迟债务清偿。</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（2）债务须由发行方通过发行固定数量的股票来清偿，或允许按照发行方意愿通过发行固定数量的股票来清偿。</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（3）债务须由发行方通过发行不定数量的股票来清偿，或允许按照发行方意愿通过发行不定数量的股票来清偿，且不定数量股票价值变化与债务价值的变动高度相关。</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4）持有方有权要求以股票方式清偿债务，但以下情形除外：对可交易的工具，商业银行能证明且银保监会也认可该工具的交易更具有发行方的债务特征；对不可交易的工具，商业银行能证明且银保监会也认可该工具应作为债务处理。</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（四）股权风险暴露的信用风险加权资产采用权重法计量。</w:t>
      </w:r>
    </w:p>
    <w:p w:rsidR="00C4692D" w:rsidRDefault="00174843">
      <w:pPr>
        <w:pStyle w:val="3"/>
      </w:pPr>
      <w:r>
        <w:rPr>
          <w:rFonts w:hint="eastAsia"/>
        </w:rPr>
        <w:t>七、其他风险暴露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一）购入应收账款是指销售方将其现在或将来的基于其与买入方订立的商品、产品或劳务销售合同所产生的应收账款，根据契约关系以有追索权或无追索权方式转让给商业银行所形成的资产。购入应收账款可分为合格购入公司应收账款和合格购入零售应收账款。</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（二）合格购入公司应收账款、合格购入零售应收账款均应纳入公司风险暴露，不作为单独一类风险暴露。合格购入公司应收账款应同时满足以下条件：</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销售方与买入方订立的销售合同真实、公平、合法、有效，且销售方能够提供完整的应收账款债权证明。</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销售方与商业银行之间无任何关联关系，该应收账款不是由商业银行直接或间接发起。</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 集团公司内部企业之间、关联企业之间发生的应收账款，不属于合格应收账款。</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4. 商业银行对所有应收账款的收益或按比例分摊的收益拥</w:t>
      </w:r>
      <w:r>
        <w:rPr>
          <w:rFonts w:ascii="仿宋_GB2312" w:eastAsia="仿宋_GB2312" w:hint="eastAsia"/>
          <w:sz w:val="30"/>
          <w:szCs w:val="30"/>
        </w:rPr>
        <w:lastRenderedPageBreak/>
        <w:t>有债权。</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（三）合格购入应收账款纳入内部评级法应满足如下要求：</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1. 视同单笔公司风险暴露。</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2. 评级按贷款处理。</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3. 商业银行应证明稀释风险影响有限。</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若不满足上述要求，合格购入应收账款的信用风险加权资产应采用权重法计量。</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（四）对于包含不同类别风险暴露的应收账款池，如果商业银行无法区分类别，应采用其中风险权重最高类别的风险权重函数计量该应收账款池的风险加权资产。</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（五）资产证券化风险暴露是指</w:t>
      </w:r>
      <w:r>
        <w:rPr>
          <w:rFonts w:ascii="Arial" w:eastAsia="仿宋_GB2312" w:hAnsi="Arial" w:cs="宋体" w:hint="eastAsia"/>
          <w:kern w:val="0"/>
          <w:sz w:val="30"/>
          <w:szCs w:val="30"/>
        </w:rPr>
        <w:t>商业银行因从事资产证券化业务而形成的表内外风险暴露。</w:t>
      </w:r>
      <w:r>
        <w:rPr>
          <w:rFonts w:ascii="仿宋_GB2312" w:eastAsia="仿宋_GB2312" w:hint="eastAsia"/>
          <w:sz w:val="30"/>
          <w:szCs w:val="30"/>
        </w:rPr>
        <w:t>资产证券化风险暴露包括但不限于资产支持证券、住房抵押贷款证券、信用增级、流动性便利、利率或货币互换、信用衍生工具和分档次抵补。</w:t>
      </w:r>
    </w:p>
    <w:p w:rsidR="00C4692D" w:rsidRDefault="00174843">
      <w:pPr>
        <w:spacing w:line="480" w:lineRule="exact"/>
        <w:ind w:firstLineChars="200" w:firstLine="600"/>
        <w:rPr>
          <w:rFonts w:ascii="仿宋_GB2312" w:eastAsia="仿宋_GB2312"/>
          <w:sz w:val="30"/>
          <w:szCs w:val="30"/>
        </w:rPr>
      </w:pPr>
      <w:r>
        <w:rPr>
          <w:rFonts w:ascii="仿宋_GB2312" w:eastAsia="仿宋_GB2312" w:hint="eastAsia"/>
          <w:sz w:val="30"/>
          <w:szCs w:val="30"/>
        </w:rPr>
        <w:t>储备账户如果作为发起机构的资产，应当视同于资产证券化风险暴露。储备账户包括但不限于现金抵押账户和利差账户。</w:t>
      </w:r>
    </w:p>
    <w:p w:rsidR="00C4692D" w:rsidRDefault="00C4692D">
      <w:pPr>
        <w:ind w:firstLineChars="200" w:firstLine="600"/>
        <w:rPr>
          <w:rFonts w:ascii="仿宋_GB2312" w:eastAsia="仿宋_GB2312"/>
          <w:sz w:val="30"/>
          <w:szCs w:val="30"/>
        </w:rPr>
      </w:pPr>
    </w:p>
    <w:sectPr w:rsidR="00C4692D">
      <w:footerReference w:type="even" r:id="rId7"/>
      <w:footerReference w:type="default" r:id="rId8"/>
      <w:footnotePr>
        <w:numFmt w:val="decimalEnclosedCircleChinese"/>
      </w:footnotePr>
      <w:pgSz w:w="11906" w:h="16838"/>
      <w:pgMar w:top="1440" w:right="1803" w:bottom="1440" w:left="180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92D" w:rsidRDefault="00174843">
      <w:r>
        <w:separator/>
      </w:r>
    </w:p>
  </w:endnote>
  <w:endnote w:type="continuationSeparator" w:id="0">
    <w:p w:rsidR="00C4692D" w:rsidRDefault="0017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92D" w:rsidRDefault="00174843">
    <w:pPr>
      <w:pStyle w:val="a6"/>
      <w:framePr w:wrap="around" w:vAnchor="text" w:hAnchor="margin" w:xAlign="right" w:y="1"/>
      <w:rPr>
        <w:rStyle w:val="aa"/>
      </w:rPr>
    </w:pPr>
    <w:r>
      <w:fldChar w:fldCharType="begin"/>
    </w:r>
    <w:r>
      <w:rPr>
        <w:rStyle w:val="aa"/>
      </w:rPr>
      <w:instrText xml:space="preserve">PAGE  </w:instrText>
    </w:r>
    <w:r>
      <w:fldChar w:fldCharType="end"/>
    </w:r>
  </w:p>
  <w:p w:rsidR="00C4692D" w:rsidRDefault="00C4692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2801879"/>
      <w:docPartObj>
        <w:docPartGallery w:val="Page Numbers (Bottom of Page)"/>
        <w:docPartUnique/>
      </w:docPartObj>
    </w:sdtPr>
    <w:sdtEndPr>
      <w:rPr>
        <w:rFonts w:ascii="Calibri" w:hAnsi="Calibri"/>
      </w:rPr>
    </w:sdtEndPr>
    <w:sdtContent>
      <w:p w:rsidR="00C4692D" w:rsidRPr="00A90EBD" w:rsidRDefault="00174843" w:rsidP="00A90EBD">
        <w:pPr>
          <w:pStyle w:val="a6"/>
          <w:jc w:val="center"/>
          <w:rPr>
            <w:rFonts w:ascii="Calibri" w:hAnsi="Calibri"/>
          </w:rPr>
        </w:pPr>
        <w:r w:rsidRPr="00A90EBD">
          <w:rPr>
            <w:rFonts w:ascii="Calibri" w:hAnsi="Calibri"/>
          </w:rPr>
          <w:fldChar w:fldCharType="begin"/>
        </w:r>
        <w:r w:rsidRPr="00A90EBD">
          <w:rPr>
            <w:rFonts w:ascii="Calibri" w:hAnsi="Calibri"/>
          </w:rPr>
          <w:instrText>PAGE   \* MERGEFORMAT</w:instrText>
        </w:r>
        <w:r w:rsidRPr="00A90EBD">
          <w:rPr>
            <w:rFonts w:ascii="Calibri" w:hAnsi="Calibri"/>
          </w:rPr>
          <w:fldChar w:fldCharType="separate"/>
        </w:r>
        <w:r w:rsidR="00A90EBD" w:rsidRPr="00A90EBD">
          <w:rPr>
            <w:rFonts w:ascii="Calibri" w:hAnsi="Calibri"/>
            <w:noProof/>
            <w:lang w:val="zh-CN"/>
          </w:rPr>
          <w:t>1</w:t>
        </w:r>
        <w:r w:rsidRPr="00A90EBD">
          <w:rPr>
            <w:rFonts w:ascii="Calibri"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92D" w:rsidRDefault="00174843">
      <w:r>
        <w:separator/>
      </w:r>
    </w:p>
  </w:footnote>
  <w:footnote w:type="continuationSeparator" w:id="0">
    <w:p w:rsidR="00C4692D" w:rsidRDefault="001748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C34525"/>
    <w:rsid w:val="CFED8A90"/>
    <w:rsid w:val="DDFF6058"/>
    <w:rsid w:val="00002B08"/>
    <w:rsid w:val="00002B12"/>
    <w:rsid w:val="00005093"/>
    <w:rsid w:val="00011516"/>
    <w:rsid w:val="000118F4"/>
    <w:rsid w:val="000127B4"/>
    <w:rsid w:val="00012E1F"/>
    <w:rsid w:val="000143C6"/>
    <w:rsid w:val="000159F5"/>
    <w:rsid w:val="000164A8"/>
    <w:rsid w:val="0001726B"/>
    <w:rsid w:val="00017B90"/>
    <w:rsid w:val="00022450"/>
    <w:rsid w:val="00022E8B"/>
    <w:rsid w:val="000242A9"/>
    <w:rsid w:val="000263B9"/>
    <w:rsid w:val="000320BB"/>
    <w:rsid w:val="00035120"/>
    <w:rsid w:val="000359BB"/>
    <w:rsid w:val="0003600E"/>
    <w:rsid w:val="000402A4"/>
    <w:rsid w:val="00040F15"/>
    <w:rsid w:val="00041010"/>
    <w:rsid w:val="0004228E"/>
    <w:rsid w:val="00043146"/>
    <w:rsid w:val="00043C86"/>
    <w:rsid w:val="00044A9B"/>
    <w:rsid w:val="00045436"/>
    <w:rsid w:val="00045CC7"/>
    <w:rsid w:val="000509CC"/>
    <w:rsid w:val="00052841"/>
    <w:rsid w:val="00053031"/>
    <w:rsid w:val="00053C92"/>
    <w:rsid w:val="00053DD6"/>
    <w:rsid w:val="00061791"/>
    <w:rsid w:val="00061936"/>
    <w:rsid w:val="000624B9"/>
    <w:rsid w:val="00062763"/>
    <w:rsid w:val="00062BE3"/>
    <w:rsid w:val="00062FDC"/>
    <w:rsid w:val="000644D0"/>
    <w:rsid w:val="00064ED4"/>
    <w:rsid w:val="0006642D"/>
    <w:rsid w:val="00066F3E"/>
    <w:rsid w:val="00070415"/>
    <w:rsid w:val="000712DA"/>
    <w:rsid w:val="00072944"/>
    <w:rsid w:val="00073446"/>
    <w:rsid w:val="00076F83"/>
    <w:rsid w:val="00076FDF"/>
    <w:rsid w:val="000777CD"/>
    <w:rsid w:val="000808C3"/>
    <w:rsid w:val="00081256"/>
    <w:rsid w:val="000829CF"/>
    <w:rsid w:val="00082F2C"/>
    <w:rsid w:val="00084598"/>
    <w:rsid w:val="00084EC8"/>
    <w:rsid w:val="00086294"/>
    <w:rsid w:val="00086415"/>
    <w:rsid w:val="000957A5"/>
    <w:rsid w:val="00096B8F"/>
    <w:rsid w:val="000A0C82"/>
    <w:rsid w:val="000A287B"/>
    <w:rsid w:val="000A28D4"/>
    <w:rsid w:val="000A3670"/>
    <w:rsid w:val="000A4262"/>
    <w:rsid w:val="000A4731"/>
    <w:rsid w:val="000A7BE5"/>
    <w:rsid w:val="000A7EB3"/>
    <w:rsid w:val="000B127F"/>
    <w:rsid w:val="000B3CC1"/>
    <w:rsid w:val="000B3E28"/>
    <w:rsid w:val="000B473E"/>
    <w:rsid w:val="000B4C38"/>
    <w:rsid w:val="000B6193"/>
    <w:rsid w:val="000B65A2"/>
    <w:rsid w:val="000B7246"/>
    <w:rsid w:val="000C00F6"/>
    <w:rsid w:val="000C0194"/>
    <w:rsid w:val="000C10CF"/>
    <w:rsid w:val="000C325B"/>
    <w:rsid w:val="000C47DD"/>
    <w:rsid w:val="000C5436"/>
    <w:rsid w:val="000C683D"/>
    <w:rsid w:val="000D01E5"/>
    <w:rsid w:val="000D2A54"/>
    <w:rsid w:val="000D3D57"/>
    <w:rsid w:val="000D70B9"/>
    <w:rsid w:val="000D7758"/>
    <w:rsid w:val="000E2B47"/>
    <w:rsid w:val="000E38E4"/>
    <w:rsid w:val="000E5480"/>
    <w:rsid w:val="000E5C0A"/>
    <w:rsid w:val="000E5C35"/>
    <w:rsid w:val="000E78FF"/>
    <w:rsid w:val="000E792E"/>
    <w:rsid w:val="000F35E6"/>
    <w:rsid w:val="000F37A3"/>
    <w:rsid w:val="000F3DC6"/>
    <w:rsid w:val="000F4EFC"/>
    <w:rsid w:val="000F5306"/>
    <w:rsid w:val="000F6F7A"/>
    <w:rsid w:val="000F73F9"/>
    <w:rsid w:val="00100F45"/>
    <w:rsid w:val="001010C3"/>
    <w:rsid w:val="001020EB"/>
    <w:rsid w:val="00102B8D"/>
    <w:rsid w:val="001038BF"/>
    <w:rsid w:val="00103E77"/>
    <w:rsid w:val="001040E6"/>
    <w:rsid w:val="00106D51"/>
    <w:rsid w:val="00106FB9"/>
    <w:rsid w:val="00110A1C"/>
    <w:rsid w:val="00115E75"/>
    <w:rsid w:val="001205D1"/>
    <w:rsid w:val="001216B2"/>
    <w:rsid w:val="0012274E"/>
    <w:rsid w:val="00123242"/>
    <w:rsid w:val="00125561"/>
    <w:rsid w:val="00125BC9"/>
    <w:rsid w:val="001269AB"/>
    <w:rsid w:val="00131036"/>
    <w:rsid w:val="00135C99"/>
    <w:rsid w:val="00136882"/>
    <w:rsid w:val="001401DE"/>
    <w:rsid w:val="00141311"/>
    <w:rsid w:val="00141DC5"/>
    <w:rsid w:val="00143589"/>
    <w:rsid w:val="00144173"/>
    <w:rsid w:val="001442B7"/>
    <w:rsid w:val="0014641E"/>
    <w:rsid w:val="00150531"/>
    <w:rsid w:val="00150F5F"/>
    <w:rsid w:val="00151452"/>
    <w:rsid w:val="00151C36"/>
    <w:rsid w:val="00151F2B"/>
    <w:rsid w:val="00152873"/>
    <w:rsid w:val="00153A7C"/>
    <w:rsid w:val="0016256B"/>
    <w:rsid w:val="001627F8"/>
    <w:rsid w:val="001642CF"/>
    <w:rsid w:val="0016525B"/>
    <w:rsid w:val="0016584B"/>
    <w:rsid w:val="00166232"/>
    <w:rsid w:val="00167776"/>
    <w:rsid w:val="001700E3"/>
    <w:rsid w:val="001717AC"/>
    <w:rsid w:val="00171D26"/>
    <w:rsid w:val="001738E8"/>
    <w:rsid w:val="00174592"/>
    <w:rsid w:val="00174843"/>
    <w:rsid w:val="00175178"/>
    <w:rsid w:val="00181589"/>
    <w:rsid w:val="00183BA0"/>
    <w:rsid w:val="001868B5"/>
    <w:rsid w:val="00186CA5"/>
    <w:rsid w:val="00186E29"/>
    <w:rsid w:val="0018763D"/>
    <w:rsid w:val="001908CC"/>
    <w:rsid w:val="001923C8"/>
    <w:rsid w:val="00192A5D"/>
    <w:rsid w:val="001936E1"/>
    <w:rsid w:val="00193E8E"/>
    <w:rsid w:val="00195C84"/>
    <w:rsid w:val="00196D59"/>
    <w:rsid w:val="00197851"/>
    <w:rsid w:val="001A0548"/>
    <w:rsid w:val="001A0E9C"/>
    <w:rsid w:val="001A54D4"/>
    <w:rsid w:val="001B0F84"/>
    <w:rsid w:val="001B15EB"/>
    <w:rsid w:val="001B2E8F"/>
    <w:rsid w:val="001B4202"/>
    <w:rsid w:val="001B4730"/>
    <w:rsid w:val="001B4AE5"/>
    <w:rsid w:val="001B6633"/>
    <w:rsid w:val="001B6BDD"/>
    <w:rsid w:val="001B7AFA"/>
    <w:rsid w:val="001C0CB9"/>
    <w:rsid w:val="001C0F53"/>
    <w:rsid w:val="001C1EC9"/>
    <w:rsid w:val="001C38B9"/>
    <w:rsid w:val="001C42B3"/>
    <w:rsid w:val="001C5EB2"/>
    <w:rsid w:val="001D0271"/>
    <w:rsid w:val="001D035F"/>
    <w:rsid w:val="001D0639"/>
    <w:rsid w:val="001D1423"/>
    <w:rsid w:val="001D236A"/>
    <w:rsid w:val="001D409B"/>
    <w:rsid w:val="001D613A"/>
    <w:rsid w:val="001D7DDC"/>
    <w:rsid w:val="001E1C11"/>
    <w:rsid w:val="001E238A"/>
    <w:rsid w:val="001E24CF"/>
    <w:rsid w:val="001E262D"/>
    <w:rsid w:val="001E33E7"/>
    <w:rsid w:val="001F03D4"/>
    <w:rsid w:val="001F05A4"/>
    <w:rsid w:val="001F38E3"/>
    <w:rsid w:val="001F68FD"/>
    <w:rsid w:val="001F78F8"/>
    <w:rsid w:val="002009BF"/>
    <w:rsid w:val="00200F2E"/>
    <w:rsid w:val="00201585"/>
    <w:rsid w:val="002076F3"/>
    <w:rsid w:val="00207D6F"/>
    <w:rsid w:val="002102A9"/>
    <w:rsid w:val="00210A68"/>
    <w:rsid w:val="00211A35"/>
    <w:rsid w:val="00211E65"/>
    <w:rsid w:val="0021275A"/>
    <w:rsid w:val="002136B6"/>
    <w:rsid w:val="002236F5"/>
    <w:rsid w:val="002247D0"/>
    <w:rsid w:val="00224C1E"/>
    <w:rsid w:val="00231842"/>
    <w:rsid w:val="00231AC6"/>
    <w:rsid w:val="00235171"/>
    <w:rsid w:val="00241035"/>
    <w:rsid w:val="00241263"/>
    <w:rsid w:val="002440D1"/>
    <w:rsid w:val="00245ECD"/>
    <w:rsid w:val="00246C96"/>
    <w:rsid w:val="00247B0D"/>
    <w:rsid w:val="0025048D"/>
    <w:rsid w:val="002519E9"/>
    <w:rsid w:val="00252C4B"/>
    <w:rsid w:val="002573D5"/>
    <w:rsid w:val="00257D90"/>
    <w:rsid w:val="00261650"/>
    <w:rsid w:val="00262E86"/>
    <w:rsid w:val="002651DA"/>
    <w:rsid w:val="002651F4"/>
    <w:rsid w:val="002664E9"/>
    <w:rsid w:val="00266F55"/>
    <w:rsid w:val="00267371"/>
    <w:rsid w:val="0026773E"/>
    <w:rsid w:val="002702F8"/>
    <w:rsid w:val="00270EAC"/>
    <w:rsid w:val="00272262"/>
    <w:rsid w:val="00272AFA"/>
    <w:rsid w:val="00273E1C"/>
    <w:rsid w:val="0027591D"/>
    <w:rsid w:val="00275A1C"/>
    <w:rsid w:val="0028120C"/>
    <w:rsid w:val="00282131"/>
    <w:rsid w:val="0028684E"/>
    <w:rsid w:val="00286CD7"/>
    <w:rsid w:val="002908B0"/>
    <w:rsid w:val="00294D1E"/>
    <w:rsid w:val="002959A7"/>
    <w:rsid w:val="002962CA"/>
    <w:rsid w:val="0029731B"/>
    <w:rsid w:val="002A0704"/>
    <w:rsid w:val="002A0AFF"/>
    <w:rsid w:val="002A2CB6"/>
    <w:rsid w:val="002A3410"/>
    <w:rsid w:val="002A3DB1"/>
    <w:rsid w:val="002A425F"/>
    <w:rsid w:val="002A4A6E"/>
    <w:rsid w:val="002B07D9"/>
    <w:rsid w:val="002B0805"/>
    <w:rsid w:val="002B0E9C"/>
    <w:rsid w:val="002B257D"/>
    <w:rsid w:val="002B3E09"/>
    <w:rsid w:val="002B49D4"/>
    <w:rsid w:val="002B7788"/>
    <w:rsid w:val="002C0777"/>
    <w:rsid w:val="002C1CF5"/>
    <w:rsid w:val="002C2644"/>
    <w:rsid w:val="002C2EE6"/>
    <w:rsid w:val="002C39BD"/>
    <w:rsid w:val="002C3B26"/>
    <w:rsid w:val="002C4014"/>
    <w:rsid w:val="002C4E5B"/>
    <w:rsid w:val="002C58C4"/>
    <w:rsid w:val="002C7AF0"/>
    <w:rsid w:val="002C7D41"/>
    <w:rsid w:val="002D02F6"/>
    <w:rsid w:val="002D0F15"/>
    <w:rsid w:val="002D0F7F"/>
    <w:rsid w:val="002D0FDA"/>
    <w:rsid w:val="002D1C2D"/>
    <w:rsid w:val="002D210F"/>
    <w:rsid w:val="002D231E"/>
    <w:rsid w:val="002D4DE1"/>
    <w:rsid w:val="002D4E7B"/>
    <w:rsid w:val="002D4FB8"/>
    <w:rsid w:val="002E0433"/>
    <w:rsid w:val="002E1892"/>
    <w:rsid w:val="002E3F2D"/>
    <w:rsid w:val="002E4F69"/>
    <w:rsid w:val="002E5928"/>
    <w:rsid w:val="002E6329"/>
    <w:rsid w:val="002F05FE"/>
    <w:rsid w:val="002F0FC9"/>
    <w:rsid w:val="002F1C3E"/>
    <w:rsid w:val="002F274B"/>
    <w:rsid w:val="002F3ABE"/>
    <w:rsid w:val="002F43A7"/>
    <w:rsid w:val="002F5C13"/>
    <w:rsid w:val="002F6340"/>
    <w:rsid w:val="002F79F2"/>
    <w:rsid w:val="002F7C47"/>
    <w:rsid w:val="0030022B"/>
    <w:rsid w:val="003013A0"/>
    <w:rsid w:val="00301E64"/>
    <w:rsid w:val="00301EF9"/>
    <w:rsid w:val="00302150"/>
    <w:rsid w:val="003029E8"/>
    <w:rsid w:val="003040BF"/>
    <w:rsid w:val="003042B4"/>
    <w:rsid w:val="003070E0"/>
    <w:rsid w:val="0031016B"/>
    <w:rsid w:val="00310326"/>
    <w:rsid w:val="00312B64"/>
    <w:rsid w:val="003162B6"/>
    <w:rsid w:val="003169C5"/>
    <w:rsid w:val="003175E0"/>
    <w:rsid w:val="00321F74"/>
    <w:rsid w:val="003227F1"/>
    <w:rsid w:val="00324519"/>
    <w:rsid w:val="0032652E"/>
    <w:rsid w:val="00333E3A"/>
    <w:rsid w:val="003342AD"/>
    <w:rsid w:val="003343FD"/>
    <w:rsid w:val="00334799"/>
    <w:rsid w:val="003349C2"/>
    <w:rsid w:val="00334DB1"/>
    <w:rsid w:val="0033659F"/>
    <w:rsid w:val="00336BB9"/>
    <w:rsid w:val="003371E0"/>
    <w:rsid w:val="0033754A"/>
    <w:rsid w:val="0034022E"/>
    <w:rsid w:val="003430A8"/>
    <w:rsid w:val="00343768"/>
    <w:rsid w:val="00343C1D"/>
    <w:rsid w:val="00343DE4"/>
    <w:rsid w:val="0034701C"/>
    <w:rsid w:val="00347423"/>
    <w:rsid w:val="00347B0C"/>
    <w:rsid w:val="00351365"/>
    <w:rsid w:val="0035332C"/>
    <w:rsid w:val="00355C3D"/>
    <w:rsid w:val="00356050"/>
    <w:rsid w:val="003565C6"/>
    <w:rsid w:val="00356A21"/>
    <w:rsid w:val="00356BD4"/>
    <w:rsid w:val="003628BD"/>
    <w:rsid w:val="00366F2F"/>
    <w:rsid w:val="003676C1"/>
    <w:rsid w:val="003700D8"/>
    <w:rsid w:val="00370149"/>
    <w:rsid w:val="00375903"/>
    <w:rsid w:val="00382B4F"/>
    <w:rsid w:val="00385889"/>
    <w:rsid w:val="00385EA2"/>
    <w:rsid w:val="003908D7"/>
    <w:rsid w:val="00391334"/>
    <w:rsid w:val="00392068"/>
    <w:rsid w:val="0039340F"/>
    <w:rsid w:val="00395A47"/>
    <w:rsid w:val="00396903"/>
    <w:rsid w:val="003A15E8"/>
    <w:rsid w:val="003A173E"/>
    <w:rsid w:val="003A19E8"/>
    <w:rsid w:val="003A1CFE"/>
    <w:rsid w:val="003A1E95"/>
    <w:rsid w:val="003A36B8"/>
    <w:rsid w:val="003A5249"/>
    <w:rsid w:val="003A6338"/>
    <w:rsid w:val="003A7626"/>
    <w:rsid w:val="003B04EF"/>
    <w:rsid w:val="003B09F9"/>
    <w:rsid w:val="003B1857"/>
    <w:rsid w:val="003B1AEB"/>
    <w:rsid w:val="003B24CB"/>
    <w:rsid w:val="003B3AB2"/>
    <w:rsid w:val="003B3EC3"/>
    <w:rsid w:val="003B43A2"/>
    <w:rsid w:val="003B5BA5"/>
    <w:rsid w:val="003B600F"/>
    <w:rsid w:val="003B6840"/>
    <w:rsid w:val="003B685D"/>
    <w:rsid w:val="003C07AF"/>
    <w:rsid w:val="003C1269"/>
    <w:rsid w:val="003C2248"/>
    <w:rsid w:val="003C2BF4"/>
    <w:rsid w:val="003C4796"/>
    <w:rsid w:val="003C6EFD"/>
    <w:rsid w:val="003D7148"/>
    <w:rsid w:val="003D77D8"/>
    <w:rsid w:val="003E21AD"/>
    <w:rsid w:val="003E61C6"/>
    <w:rsid w:val="003E6C2C"/>
    <w:rsid w:val="003E711C"/>
    <w:rsid w:val="003F0F6F"/>
    <w:rsid w:val="003F1D5E"/>
    <w:rsid w:val="003F392D"/>
    <w:rsid w:val="003F799E"/>
    <w:rsid w:val="00400C7B"/>
    <w:rsid w:val="0040144D"/>
    <w:rsid w:val="00403CFB"/>
    <w:rsid w:val="0040473C"/>
    <w:rsid w:val="0040531B"/>
    <w:rsid w:val="00407179"/>
    <w:rsid w:val="004100F8"/>
    <w:rsid w:val="0041059F"/>
    <w:rsid w:val="00411FC7"/>
    <w:rsid w:val="00416236"/>
    <w:rsid w:val="00420791"/>
    <w:rsid w:val="00420875"/>
    <w:rsid w:val="004208B3"/>
    <w:rsid w:val="00421068"/>
    <w:rsid w:val="00422908"/>
    <w:rsid w:val="00422EBC"/>
    <w:rsid w:val="00423C89"/>
    <w:rsid w:val="00427C60"/>
    <w:rsid w:val="00427E2B"/>
    <w:rsid w:val="0043141A"/>
    <w:rsid w:val="00431DB8"/>
    <w:rsid w:val="00431F46"/>
    <w:rsid w:val="00433814"/>
    <w:rsid w:val="00440C95"/>
    <w:rsid w:val="0044273C"/>
    <w:rsid w:val="004427A7"/>
    <w:rsid w:val="00443F8F"/>
    <w:rsid w:val="00444A84"/>
    <w:rsid w:val="00444AEB"/>
    <w:rsid w:val="00444DAB"/>
    <w:rsid w:val="0044634D"/>
    <w:rsid w:val="00446624"/>
    <w:rsid w:val="00447937"/>
    <w:rsid w:val="004515AB"/>
    <w:rsid w:val="00451B3F"/>
    <w:rsid w:val="0045333D"/>
    <w:rsid w:val="00455944"/>
    <w:rsid w:val="00457CE0"/>
    <w:rsid w:val="004618AB"/>
    <w:rsid w:val="00461990"/>
    <w:rsid w:val="004633E5"/>
    <w:rsid w:val="004674CF"/>
    <w:rsid w:val="004677E8"/>
    <w:rsid w:val="00470DA5"/>
    <w:rsid w:val="0047283C"/>
    <w:rsid w:val="0047291E"/>
    <w:rsid w:val="004729AD"/>
    <w:rsid w:val="00473543"/>
    <w:rsid w:val="00473BBF"/>
    <w:rsid w:val="004771D6"/>
    <w:rsid w:val="004803B4"/>
    <w:rsid w:val="00480437"/>
    <w:rsid w:val="004829D1"/>
    <w:rsid w:val="00482C54"/>
    <w:rsid w:val="00484E5A"/>
    <w:rsid w:val="00485B18"/>
    <w:rsid w:val="00490089"/>
    <w:rsid w:val="004912BF"/>
    <w:rsid w:val="00495FAE"/>
    <w:rsid w:val="0049631E"/>
    <w:rsid w:val="004976EB"/>
    <w:rsid w:val="004A3E42"/>
    <w:rsid w:val="004A4E3F"/>
    <w:rsid w:val="004A5551"/>
    <w:rsid w:val="004A5A2E"/>
    <w:rsid w:val="004A71EE"/>
    <w:rsid w:val="004A7793"/>
    <w:rsid w:val="004B0B11"/>
    <w:rsid w:val="004B3C4B"/>
    <w:rsid w:val="004B4D0C"/>
    <w:rsid w:val="004B6ADF"/>
    <w:rsid w:val="004C0F63"/>
    <w:rsid w:val="004C37BB"/>
    <w:rsid w:val="004C38F2"/>
    <w:rsid w:val="004C3E78"/>
    <w:rsid w:val="004C426A"/>
    <w:rsid w:val="004C5C85"/>
    <w:rsid w:val="004C6632"/>
    <w:rsid w:val="004D01DC"/>
    <w:rsid w:val="004D13EF"/>
    <w:rsid w:val="004D7822"/>
    <w:rsid w:val="004D793F"/>
    <w:rsid w:val="004E2C2C"/>
    <w:rsid w:val="004F076D"/>
    <w:rsid w:val="004F0BDD"/>
    <w:rsid w:val="004F0F51"/>
    <w:rsid w:val="004F5E47"/>
    <w:rsid w:val="004F6F58"/>
    <w:rsid w:val="005001D4"/>
    <w:rsid w:val="00502374"/>
    <w:rsid w:val="00502FF4"/>
    <w:rsid w:val="00503278"/>
    <w:rsid w:val="0050404A"/>
    <w:rsid w:val="005041DA"/>
    <w:rsid w:val="00505703"/>
    <w:rsid w:val="0050755F"/>
    <w:rsid w:val="005102FA"/>
    <w:rsid w:val="0051092A"/>
    <w:rsid w:val="00511DCB"/>
    <w:rsid w:val="0051207B"/>
    <w:rsid w:val="005128CE"/>
    <w:rsid w:val="00513AB8"/>
    <w:rsid w:val="005145A9"/>
    <w:rsid w:val="00514ADC"/>
    <w:rsid w:val="00515624"/>
    <w:rsid w:val="005168D6"/>
    <w:rsid w:val="00520141"/>
    <w:rsid w:val="00520C07"/>
    <w:rsid w:val="005215A7"/>
    <w:rsid w:val="00521626"/>
    <w:rsid w:val="005216E6"/>
    <w:rsid w:val="00522795"/>
    <w:rsid w:val="00523DB7"/>
    <w:rsid w:val="00525562"/>
    <w:rsid w:val="00527BD0"/>
    <w:rsid w:val="00531349"/>
    <w:rsid w:val="00531E34"/>
    <w:rsid w:val="0053285E"/>
    <w:rsid w:val="005332D9"/>
    <w:rsid w:val="0053374D"/>
    <w:rsid w:val="0053397C"/>
    <w:rsid w:val="005343A6"/>
    <w:rsid w:val="00537CFE"/>
    <w:rsid w:val="005407BC"/>
    <w:rsid w:val="0054186C"/>
    <w:rsid w:val="005429D7"/>
    <w:rsid w:val="00545510"/>
    <w:rsid w:val="005474C0"/>
    <w:rsid w:val="00547597"/>
    <w:rsid w:val="0055146D"/>
    <w:rsid w:val="00553414"/>
    <w:rsid w:val="005566D9"/>
    <w:rsid w:val="00556F00"/>
    <w:rsid w:val="00560940"/>
    <w:rsid w:val="00560FD5"/>
    <w:rsid w:val="00561585"/>
    <w:rsid w:val="00561DAB"/>
    <w:rsid w:val="00563DE3"/>
    <w:rsid w:val="0056462B"/>
    <w:rsid w:val="00565874"/>
    <w:rsid w:val="0056733A"/>
    <w:rsid w:val="00570179"/>
    <w:rsid w:val="00570CCC"/>
    <w:rsid w:val="0057201F"/>
    <w:rsid w:val="0057483F"/>
    <w:rsid w:val="00576150"/>
    <w:rsid w:val="00576631"/>
    <w:rsid w:val="0057730E"/>
    <w:rsid w:val="00582023"/>
    <w:rsid w:val="00582B29"/>
    <w:rsid w:val="00583D6F"/>
    <w:rsid w:val="00583E41"/>
    <w:rsid w:val="00586B6E"/>
    <w:rsid w:val="00587933"/>
    <w:rsid w:val="005912EF"/>
    <w:rsid w:val="0059251F"/>
    <w:rsid w:val="005951BC"/>
    <w:rsid w:val="005952D9"/>
    <w:rsid w:val="00596395"/>
    <w:rsid w:val="005A02CC"/>
    <w:rsid w:val="005A08E9"/>
    <w:rsid w:val="005A0B19"/>
    <w:rsid w:val="005A0ECB"/>
    <w:rsid w:val="005A24DA"/>
    <w:rsid w:val="005A25C4"/>
    <w:rsid w:val="005A4DDA"/>
    <w:rsid w:val="005A55D7"/>
    <w:rsid w:val="005A7A4B"/>
    <w:rsid w:val="005B0EE9"/>
    <w:rsid w:val="005B1BA8"/>
    <w:rsid w:val="005B1C20"/>
    <w:rsid w:val="005B2346"/>
    <w:rsid w:val="005B3750"/>
    <w:rsid w:val="005B4F8F"/>
    <w:rsid w:val="005B503E"/>
    <w:rsid w:val="005B69B0"/>
    <w:rsid w:val="005C0683"/>
    <w:rsid w:val="005C1C18"/>
    <w:rsid w:val="005C2AF8"/>
    <w:rsid w:val="005C44B0"/>
    <w:rsid w:val="005C50FC"/>
    <w:rsid w:val="005C680B"/>
    <w:rsid w:val="005C695D"/>
    <w:rsid w:val="005D1E4D"/>
    <w:rsid w:val="005D3922"/>
    <w:rsid w:val="005D566B"/>
    <w:rsid w:val="005D6000"/>
    <w:rsid w:val="005D6D94"/>
    <w:rsid w:val="005E07FD"/>
    <w:rsid w:val="005E21DF"/>
    <w:rsid w:val="005E2DB3"/>
    <w:rsid w:val="005E390B"/>
    <w:rsid w:val="005E3B1A"/>
    <w:rsid w:val="005E40E5"/>
    <w:rsid w:val="005E4519"/>
    <w:rsid w:val="005E5BBB"/>
    <w:rsid w:val="005E5DAA"/>
    <w:rsid w:val="005E7A04"/>
    <w:rsid w:val="005F418B"/>
    <w:rsid w:val="005F42C6"/>
    <w:rsid w:val="005F66E6"/>
    <w:rsid w:val="00602E29"/>
    <w:rsid w:val="006034D7"/>
    <w:rsid w:val="00606A0B"/>
    <w:rsid w:val="0060702C"/>
    <w:rsid w:val="006078EC"/>
    <w:rsid w:val="0061200E"/>
    <w:rsid w:val="00615AD8"/>
    <w:rsid w:val="00615B07"/>
    <w:rsid w:val="00616317"/>
    <w:rsid w:val="00617A7D"/>
    <w:rsid w:val="006200C1"/>
    <w:rsid w:val="006211E9"/>
    <w:rsid w:val="0062187C"/>
    <w:rsid w:val="00621D8E"/>
    <w:rsid w:val="00622558"/>
    <w:rsid w:val="0062383B"/>
    <w:rsid w:val="006238D8"/>
    <w:rsid w:val="00623BA2"/>
    <w:rsid w:val="00627A13"/>
    <w:rsid w:val="00627D86"/>
    <w:rsid w:val="00630103"/>
    <w:rsid w:val="00630E65"/>
    <w:rsid w:val="00631C75"/>
    <w:rsid w:val="006326CA"/>
    <w:rsid w:val="006329DC"/>
    <w:rsid w:val="00633ED4"/>
    <w:rsid w:val="00635AD5"/>
    <w:rsid w:val="00641D31"/>
    <w:rsid w:val="006433D1"/>
    <w:rsid w:val="00646301"/>
    <w:rsid w:val="006463B0"/>
    <w:rsid w:val="006517ED"/>
    <w:rsid w:val="0065275D"/>
    <w:rsid w:val="00652850"/>
    <w:rsid w:val="00653C0E"/>
    <w:rsid w:val="00654E2E"/>
    <w:rsid w:val="006615D2"/>
    <w:rsid w:val="00662339"/>
    <w:rsid w:val="00665A8B"/>
    <w:rsid w:val="00665DA4"/>
    <w:rsid w:val="00667365"/>
    <w:rsid w:val="00667AE0"/>
    <w:rsid w:val="00672E9F"/>
    <w:rsid w:val="00673DF6"/>
    <w:rsid w:val="00674647"/>
    <w:rsid w:val="00675D5D"/>
    <w:rsid w:val="00675E7E"/>
    <w:rsid w:val="006761C9"/>
    <w:rsid w:val="00677E2A"/>
    <w:rsid w:val="00680AAA"/>
    <w:rsid w:val="00680DE8"/>
    <w:rsid w:val="00681DEC"/>
    <w:rsid w:val="00681E46"/>
    <w:rsid w:val="00683FDB"/>
    <w:rsid w:val="00684855"/>
    <w:rsid w:val="006871A2"/>
    <w:rsid w:val="00687A90"/>
    <w:rsid w:val="00690E66"/>
    <w:rsid w:val="00694CFE"/>
    <w:rsid w:val="00696B2A"/>
    <w:rsid w:val="006A326A"/>
    <w:rsid w:val="006A3EE2"/>
    <w:rsid w:val="006A52BF"/>
    <w:rsid w:val="006A5966"/>
    <w:rsid w:val="006A6DBA"/>
    <w:rsid w:val="006A7D63"/>
    <w:rsid w:val="006B4D76"/>
    <w:rsid w:val="006B5154"/>
    <w:rsid w:val="006B5A5F"/>
    <w:rsid w:val="006C0685"/>
    <w:rsid w:val="006C0878"/>
    <w:rsid w:val="006C143C"/>
    <w:rsid w:val="006C1F1C"/>
    <w:rsid w:val="006D00DB"/>
    <w:rsid w:val="006D09A6"/>
    <w:rsid w:val="006D09C5"/>
    <w:rsid w:val="006D1139"/>
    <w:rsid w:val="006D1362"/>
    <w:rsid w:val="006D1DD2"/>
    <w:rsid w:val="006D22E2"/>
    <w:rsid w:val="006D3ED8"/>
    <w:rsid w:val="006D72B5"/>
    <w:rsid w:val="006D77E6"/>
    <w:rsid w:val="006E0A85"/>
    <w:rsid w:val="006E1C3E"/>
    <w:rsid w:val="006E20C4"/>
    <w:rsid w:val="006E40AF"/>
    <w:rsid w:val="006E44E8"/>
    <w:rsid w:val="006E5A4F"/>
    <w:rsid w:val="006E5FF9"/>
    <w:rsid w:val="006E6BFC"/>
    <w:rsid w:val="006F4B6E"/>
    <w:rsid w:val="006F4DC0"/>
    <w:rsid w:val="006F5C54"/>
    <w:rsid w:val="006F6067"/>
    <w:rsid w:val="006F7070"/>
    <w:rsid w:val="006F7F2B"/>
    <w:rsid w:val="00700884"/>
    <w:rsid w:val="007010D5"/>
    <w:rsid w:val="007030DA"/>
    <w:rsid w:val="007053E6"/>
    <w:rsid w:val="007067D8"/>
    <w:rsid w:val="00707378"/>
    <w:rsid w:val="00707614"/>
    <w:rsid w:val="0071422E"/>
    <w:rsid w:val="0071673A"/>
    <w:rsid w:val="00717F77"/>
    <w:rsid w:val="00721815"/>
    <w:rsid w:val="00721A92"/>
    <w:rsid w:val="007224F8"/>
    <w:rsid w:val="007233C3"/>
    <w:rsid w:val="0072352E"/>
    <w:rsid w:val="0072629F"/>
    <w:rsid w:val="00726B32"/>
    <w:rsid w:val="00730B70"/>
    <w:rsid w:val="00733C25"/>
    <w:rsid w:val="00735822"/>
    <w:rsid w:val="0073790C"/>
    <w:rsid w:val="00740404"/>
    <w:rsid w:val="00740BB7"/>
    <w:rsid w:val="00742379"/>
    <w:rsid w:val="007442FC"/>
    <w:rsid w:val="00745158"/>
    <w:rsid w:val="00745B33"/>
    <w:rsid w:val="00753A4D"/>
    <w:rsid w:val="007544BC"/>
    <w:rsid w:val="00755744"/>
    <w:rsid w:val="0075692E"/>
    <w:rsid w:val="00757C3F"/>
    <w:rsid w:val="00760A59"/>
    <w:rsid w:val="007627F6"/>
    <w:rsid w:val="00764049"/>
    <w:rsid w:val="0076451C"/>
    <w:rsid w:val="0076483A"/>
    <w:rsid w:val="00766290"/>
    <w:rsid w:val="0076715A"/>
    <w:rsid w:val="00770D00"/>
    <w:rsid w:val="00771607"/>
    <w:rsid w:val="007720F7"/>
    <w:rsid w:val="00773FFC"/>
    <w:rsid w:val="00774481"/>
    <w:rsid w:val="00775314"/>
    <w:rsid w:val="00775372"/>
    <w:rsid w:val="007768BF"/>
    <w:rsid w:val="00776F5E"/>
    <w:rsid w:val="00781439"/>
    <w:rsid w:val="007816BB"/>
    <w:rsid w:val="00784509"/>
    <w:rsid w:val="007848C6"/>
    <w:rsid w:val="00786144"/>
    <w:rsid w:val="00790D32"/>
    <w:rsid w:val="00791285"/>
    <w:rsid w:val="00792D5A"/>
    <w:rsid w:val="0079442D"/>
    <w:rsid w:val="0079613C"/>
    <w:rsid w:val="00797054"/>
    <w:rsid w:val="007979A8"/>
    <w:rsid w:val="007A03F1"/>
    <w:rsid w:val="007A0BE3"/>
    <w:rsid w:val="007A1C4C"/>
    <w:rsid w:val="007A64FC"/>
    <w:rsid w:val="007A6A86"/>
    <w:rsid w:val="007A6F88"/>
    <w:rsid w:val="007B1567"/>
    <w:rsid w:val="007B18A8"/>
    <w:rsid w:val="007B3692"/>
    <w:rsid w:val="007B3E2D"/>
    <w:rsid w:val="007B3E32"/>
    <w:rsid w:val="007B5843"/>
    <w:rsid w:val="007C2BBB"/>
    <w:rsid w:val="007C49F6"/>
    <w:rsid w:val="007C674E"/>
    <w:rsid w:val="007C683D"/>
    <w:rsid w:val="007D1053"/>
    <w:rsid w:val="007D1878"/>
    <w:rsid w:val="007D2415"/>
    <w:rsid w:val="007D3230"/>
    <w:rsid w:val="007D3EA5"/>
    <w:rsid w:val="007D62F6"/>
    <w:rsid w:val="007D6C29"/>
    <w:rsid w:val="007E0264"/>
    <w:rsid w:val="007E3DFA"/>
    <w:rsid w:val="007E77C1"/>
    <w:rsid w:val="007F0197"/>
    <w:rsid w:val="007F05AD"/>
    <w:rsid w:val="007F1EAC"/>
    <w:rsid w:val="007F22ED"/>
    <w:rsid w:val="007F26BC"/>
    <w:rsid w:val="007F3967"/>
    <w:rsid w:val="007F3BE6"/>
    <w:rsid w:val="007F456E"/>
    <w:rsid w:val="007F5190"/>
    <w:rsid w:val="007F5349"/>
    <w:rsid w:val="007F6EAC"/>
    <w:rsid w:val="008035AF"/>
    <w:rsid w:val="00803ECE"/>
    <w:rsid w:val="00805995"/>
    <w:rsid w:val="008062E8"/>
    <w:rsid w:val="0081067F"/>
    <w:rsid w:val="0081071B"/>
    <w:rsid w:val="00810BB5"/>
    <w:rsid w:val="00814D13"/>
    <w:rsid w:val="008152D9"/>
    <w:rsid w:val="0082033D"/>
    <w:rsid w:val="008204C0"/>
    <w:rsid w:val="008215D9"/>
    <w:rsid w:val="00821D29"/>
    <w:rsid w:val="0082460C"/>
    <w:rsid w:val="008276E2"/>
    <w:rsid w:val="008302A8"/>
    <w:rsid w:val="008313A6"/>
    <w:rsid w:val="00831BD8"/>
    <w:rsid w:val="00832844"/>
    <w:rsid w:val="0083330E"/>
    <w:rsid w:val="008344F4"/>
    <w:rsid w:val="008348BB"/>
    <w:rsid w:val="00837499"/>
    <w:rsid w:val="00841E3B"/>
    <w:rsid w:val="00843FFA"/>
    <w:rsid w:val="0084569B"/>
    <w:rsid w:val="00845FBE"/>
    <w:rsid w:val="00846BDF"/>
    <w:rsid w:val="008502AB"/>
    <w:rsid w:val="00855482"/>
    <w:rsid w:val="008555E0"/>
    <w:rsid w:val="00857367"/>
    <w:rsid w:val="00857D88"/>
    <w:rsid w:val="00860305"/>
    <w:rsid w:val="00860861"/>
    <w:rsid w:val="008639AD"/>
    <w:rsid w:val="0086406B"/>
    <w:rsid w:val="00872A6D"/>
    <w:rsid w:val="00873B1D"/>
    <w:rsid w:val="00873C2D"/>
    <w:rsid w:val="00873E4A"/>
    <w:rsid w:val="0087544A"/>
    <w:rsid w:val="008756A1"/>
    <w:rsid w:val="008758F1"/>
    <w:rsid w:val="00876063"/>
    <w:rsid w:val="0087606A"/>
    <w:rsid w:val="00876A59"/>
    <w:rsid w:val="00880F6E"/>
    <w:rsid w:val="00884A9B"/>
    <w:rsid w:val="00885805"/>
    <w:rsid w:val="00885AED"/>
    <w:rsid w:val="00890160"/>
    <w:rsid w:val="008902F4"/>
    <w:rsid w:val="00890B14"/>
    <w:rsid w:val="0089304A"/>
    <w:rsid w:val="008932A6"/>
    <w:rsid w:val="0089480F"/>
    <w:rsid w:val="008959E8"/>
    <w:rsid w:val="00896D34"/>
    <w:rsid w:val="008A04A6"/>
    <w:rsid w:val="008B0886"/>
    <w:rsid w:val="008B15B2"/>
    <w:rsid w:val="008B4679"/>
    <w:rsid w:val="008B5386"/>
    <w:rsid w:val="008B72CA"/>
    <w:rsid w:val="008C04CE"/>
    <w:rsid w:val="008C2E0A"/>
    <w:rsid w:val="008C405A"/>
    <w:rsid w:val="008C466A"/>
    <w:rsid w:val="008C5DFE"/>
    <w:rsid w:val="008D08D1"/>
    <w:rsid w:val="008D3272"/>
    <w:rsid w:val="008D4134"/>
    <w:rsid w:val="008D6F58"/>
    <w:rsid w:val="008E026A"/>
    <w:rsid w:val="008E0C26"/>
    <w:rsid w:val="008E10A5"/>
    <w:rsid w:val="008E10C2"/>
    <w:rsid w:val="008E1330"/>
    <w:rsid w:val="008E344B"/>
    <w:rsid w:val="008E35C2"/>
    <w:rsid w:val="008E3E8E"/>
    <w:rsid w:val="008E50AA"/>
    <w:rsid w:val="008E58D5"/>
    <w:rsid w:val="008E59A8"/>
    <w:rsid w:val="008E5AE0"/>
    <w:rsid w:val="008E6B0D"/>
    <w:rsid w:val="008F17CF"/>
    <w:rsid w:val="008F359D"/>
    <w:rsid w:val="008F793F"/>
    <w:rsid w:val="00900EE1"/>
    <w:rsid w:val="00901259"/>
    <w:rsid w:val="009023C8"/>
    <w:rsid w:val="00903056"/>
    <w:rsid w:val="009049AE"/>
    <w:rsid w:val="00906FF3"/>
    <w:rsid w:val="009133D0"/>
    <w:rsid w:val="00914736"/>
    <w:rsid w:val="00914DEE"/>
    <w:rsid w:val="00915562"/>
    <w:rsid w:val="00916965"/>
    <w:rsid w:val="0092112E"/>
    <w:rsid w:val="00921B67"/>
    <w:rsid w:val="00922555"/>
    <w:rsid w:val="00926017"/>
    <w:rsid w:val="0092665B"/>
    <w:rsid w:val="00930451"/>
    <w:rsid w:val="009319DE"/>
    <w:rsid w:val="00931AB4"/>
    <w:rsid w:val="00931FD4"/>
    <w:rsid w:val="00932830"/>
    <w:rsid w:val="00932FD0"/>
    <w:rsid w:val="0093393D"/>
    <w:rsid w:val="009343A2"/>
    <w:rsid w:val="009374B3"/>
    <w:rsid w:val="00937C53"/>
    <w:rsid w:val="00942685"/>
    <w:rsid w:val="00945924"/>
    <w:rsid w:val="0094648C"/>
    <w:rsid w:val="0094714B"/>
    <w:rsid w:val="00951EAD"/>
    <w:rsid w:val="0095270A"/>
    <w:rsid w:val="009541DD"/>
    <w:rsid w:val="00955215"/>
    <w:rsid w:val="009556A1"/>
    <w:rsid w:val="00957366"/>
    <w:rsid w:val="00957735"/>
    <w:rsid w:val="00960462"/>
    <w:rsid w:val="00960DE0"/>
    <w:rsid w:val="00963A91"/>
    <w:rsid w:val="0096603D"/>
    <w:rsid w:val="009665A9"/>
    <w:rsid w:val="009700A9"/>
    <w:rsid w:val="0097137E"/>
    <w:rsid w:val="009716B6"/>
    <w:rsid w:val="00972594"/>
    <w:rsid w:val="00973A5B"/>
    <w:rsid w:val="0097623A"/>
    <w:rsid w:val="009777DB"/>
    <w:rsid w:val="00981839"/>
    <w:rsid w:val="0098312C"/>
    <w:rsid w:val="009908CD"/>
    <w:rsid w:val="009931F7"/>
    <w:rsid w:val="00994892"/>
    <w:rsid w:val="00995A99"/>
    <w:rsid w:val="00996D71"/>
    <w:rsid w:val="00997A04"/>
    <w:rsid w:val="009A0454"/>
    <w:rsid w:val="009A0C2C"/>
    <w:rsid w:val="009A12A2"/>
    <w:rsid w:val="009A22FC"/>
    <w:rsid w:val="009A3134"/>
    <w:rsid w:val="009B0504"/>
    <w:rsid w:val="009B06D7"/>
    <w:rsid w:val="009B28C2"/>
    <w:rsid w:val="009B46DF"/>
    <w:rsid w:val="009B508D"/>
    <w:rsid w:val="009C0666"/>
    <w:rsid w:val="009C0820"/>
    <w:rsid w:val="009C27CA"/>
    <w:rsid w:val="009C2FF0"/>
    <w:rsid w:val="009C46B4"/>
    <w:rsid w:val="009C4BD2"/>
    <w:rsid w:val="009C4F5F"/>
    <w:rsid w:val="009C628C"/>
    <w:rsid w:val="009D19BF"/>
    <w:rsid w:val="009D5A4E"/>
    <w:rsid w:val="009D5B2F"/>
    <w:rsid w:val="009E2B0C"/>
    <w:rsid w:val="009E3A37"/>
    <w:rsid w:val="009E5715"/>
    <w:rsid w:val="009E6316"/>
    <w:rsid w:val="009F04D8"/>
    <w:rsid w:val="009F278E"/>
    <w:rsid w:val="009F4A5B"/>
    <w:rsid w:val="009F4D0E"/>
    <w:rsid w:val="009F53D8"/>
    <w:rsid w:val="009F6ED1"/>
    <w:rsid w:val="009F7042"/>
    <w:rsid w:val="009F7AC2"/>
    <w:rsid w:val="00A01D0E"/>
    <w:rsid w:val="00A0247E"/>
    <w:rsid w:val="00A042E9"/>
    <w:rsid w:val="00A0457F"/>
    <w:rsid w:val="00A0496F"/>
    <w:rsid w:val="00A05E4A"/>
    <w:rsid w:val="00A067A7"/>
    <w:rsid w:val="00A11ABE"/>
    <w:rsid w:val="00A11C70"/>
    <w:rsid w:val="00A15642"/>
    <w:rsid w:val="00A16B82"/>
    <w:rsid w:val="00A16FBD"/>
    <w:rsid w:val="00A17E00"/>
    <w:rsid w:val="00A21D26"/>
    <w:rsid w:val="00A2492C"/>
    <w:rsid w:val="00A2527D"/>
    <w:rsid w:val="00A26384"/>
    <w:rsid w:val="00A26B36"/>
    <w:rsid w:val="00A271B0"/>
    <w:rsid w:val="00A2727F"/>
    <w:rsid w:val="00A27950"/>
    <w:rsid w:val="00A30B23"/>
    <w:rsid w:val="00A31B09"/>
    <w:rsid w:val="00A32E89"/>
    <w:rsid w:val="00A33E93"/>
    <w:rsid w:val="00A343F0"/>
    <w:rsid w:val="00A34626"/>
    <w:rsid w:val="00A375B3"/>
    <w:rsid w:val="00A41078"/>
    <w:rsid w:val="00A41975"/>
    <w:rsid w:val="00A4200F"/>
    <w:rsid w:val="00A44414"/>
    <w:rsid w:val="00A45D7B"/>
    <w:rsid w:val="00A45F97"/>
    <w:rsid w:val="00A51C17"/>
    <w:rsid w:val="00A52571"/>
    <w:rsid w:val="00A54493"/>
    <w:rsid w:val="00A546FB"/>
    <w:rsid w:val="00A54BB5"/>
    <w:rsid w:val="00A6098A"/>
    <w:rsid w:val="00A618A9"/>
    <w:rsid w:val="00A62BFB"/>
    <w:rsid w:val="00A6459A"/>
    <w:rsid w:val="00A66519"/>
    <w:rsid w:val="00A670DA"/>
    <w:rsid w:val="00A67E31"/>
    <w:rsid w:val="00A72551"/>
    <w:rsid w:val="00A725E1"/>
    <w:rsid w:val="00A73A80"/>
    <w:rsid w:val="00A73CD7"/>
    <w:rsid w:val="00A74FD4"/>
    <w:rsid w:val="00A80E8E"/>
    <w:rsid w:val="00A80EE8"/>
    <w:rsid w:val="00A819A2"/>
    <w:rsid w:val="00A831AD"/>
    <w:rsid w:val="00A849A3"/>
    <w:rsid w:val="00A853C6"/>
    <w:rsid w:val="00A86B4C"/>
    <w:rsid w:val="00A86E43"/>
    <w:rsid w:val="00A900A6"/>
    <w:rsid w:val="00A90723"/>
    <w:rsid w:val="00A90EBD"/>
    <w:rsid w:val="00A90ED9"/>
    <w:rsid w:val="00A93598"/>
    <w:rsid w:val="00A935FF"/>
    <w:rsid w:val="00A9373B"/>
    <w:rsid w:val="00A94AB1"/>
    <w:rsid w:val="00A94CB9"/>
    <w:rsid w:val="00A96016"/>
    <w:rsid w:val="00AA13D1"/>
    <w:rsid w:val="00AA1B08"/>
    <w:rsid w:val="00AA2776"/>
    <w:rsid w:val="00AA3F47"/>
    <w:rsid w:val="00AA4AA8"/>
    <w:rsid w:val="00AB0E22"/>
    <w:rsid w:val="00AB12CC"/>
    <w:rsid w:val="00AB1DAF"/>
    <w:rsid w:val="00AB7AED"/>
    <w:rsid w:val="00AC17F0"/>
    <w:rsid w:val="00AC7D32"/>
    <w:rsid w:val="00AC7E74"/>
    <w:rsid w:val="00AD0687"/>
    <w:rsid w:val="00AD39F3"/>
    <w:rsid w:val="00AD450D"/>
    <w:rsid w:val="00AD761B"/>
    <w:rsid w:val="00AE0201"/>
    <w:rsid w:val="00AE12B0"/>
    <w:rsid w:val="00AE2E49"/>
    <w:rsid w:val="00AE3867"/>
    <w:rsid w:val="00AE4A53"/>
    <w:rsid w:val="00AE58A1"/>
    <w:rsid w:val="00AE5DAD"/>
    <w:rsid w:val="00AE62E6"/>
    <w:rsid w:val="00AE6346"/>
    <w:rsid w:val="00AE7352"/>
    <w:rsid w:val="00AF0521"/>
    <w:rsid w:val="00AF0C1C"/>
    <w:rsid w:val="00AF0D65"/>
    <w:rsid w:val="00AF2B29"/>
    <w:rsid w:val="00AF610C"/>
    <w:rsid w:val="00AF7EF3"/>
    <w:rsid w:val="00B0122A"/>
    <w:rsid w:val="00B03762"/>
    <w:rsid w:val="00B03C52"/>
    <w:rsid w:val="00B04C4E"/>
    <w:rsid w:val="00B05D1F"/>
    <w:rsid w:val="00B06F9D"/>
    <w:rsid w:val="00B10302"/>
    <w:rsid w:val="00B14E61"/>
    <w:rsid w:val="00B1626C"/>
    <w:rsid w:val="00B16FD8"/>
    <w:rsid w:val="00B17638"/>
    <w:rsid w:val="00B17EEA"/>
    <w:rsid w:val="00B216E8"/>
    <w:rsid w:val="00B27C50"/>
    <w:rsid w:val="00B30A08"/>
    <w:rsid w:val="00B30E04"/>
    <w:rsid w:val="00B333BC"/>
    <w:rsid w:val="00B35C29"/>
    <w:rsid w:val="00B360A8"/>
    <w:rsid w:val="00B36A70"/>
    <w:rsid w:val="00B36D13"/>
    <w:rsid w:val="00B37038"/>
    <w:rsid w:val="00B41C61"/>
    <w:rsid w:val="00B42A32"/>
    <w:rsid w:val="00B42B02"/>
    <w:rsid w:val="00B42D11"/>
    <w:rsid w:val="00B43A92"/>
    <w:rsid w:val="00B44DDB"/>
    <w:rsid w:val="00B4662B"/>
    <w:rsid w:val="00B4675F"/>
    <w:rsid w:val="00B47224"/>
    <w:rsid w:val="00B47DA6"/>
    <w:rsid w:val="00B50E8E"/>
    <w:rsid w:val="00B542BA"/>
    <w:rsid w:val="00B5699D"/>
    <w:rsid w:val="00B56E88"/>
    <w:rsid w:val="00B618E3"/>
    <w:rsid w:val="00B63C29"/>
    <w:rsid w:val="00B653EC"/>
    <w:rsid w:val="00B65A7A"/>
    <w:rsid w:val="00B70C12"/>
    <w:rsid w:val="00B7257F"/>
    <w:rsid w:val="00B7292D"/>
    <w:rsid w:val="00B736C1"/>
    <w:rsid w:val="00B75E3F"/>
    <w:rsid w:val="00B768EC"/>
    <w:rsid w:val="00B803A7"/>
    <w:rsid w:val="00B80DDF"/>
    <w:rsid w:val="00B81035"/>
    <w:rsid w:val="00B8338E"/>
    <w:rsid w:val="00B84AE5"/>
    <w:rsid w:val="00B84BAF"/>
    <w:rsid w:val="00B861EE"/>
    <w:rsid w:val="00B86DA5"/>
    <w:rsid w:val="00B908C9"/>
    <w:rsid w:val="00B90BA4"/>
    <w:rsid w:val="00B914B6"/>
    <w:rsid w:val="00B92706"/>
    <w:rsid w:val="00B92971"/>
    <w:rsid w:val="00B930B1"/>
    <w:rsid w:val="00B93EBF"/>
    <w:rsid w:val="00B95763"/>
    <w:rsid w:val="00B961EC"/>
    <w:rsid w:val="00B96AD5"/>
    <w:rsid w:val="00BA0BC5"/>
    <w:rsid w:val="00BA20DC"/>
    <w:rsid w:val="00BA3691"/>
    <w:rsid w:val="00BA4365"/>
    <w:rsid w:val="00BA4986"/>
    <w:rsid w:val="00BA4A01"/>
    <w:rsid w:val="00BA6C2E"/>
    <w:rsid w:val="00BB1501"/>
    <w:rsid w:val="00BB2B27"/>
    <w:rsid w:val="00BB315B"/>
    <w:rsid w:val="00BB500F"/>
    <w:rsid w:val="00BB767B"/>
    <w:rsid w:val="00BB7F6B"/>
    <w:rsid w:val="00BC08B4"/>
    <w:rsid w:val="00BC2EBD"/>
    <w:rsid w:val="00BC370E"/>
    <w:rsid w:val="00BC3F7D"/>
    <w:rsid w:val="00BD2D4E"/>
    <w:rsid w:val="00BD6177"/>
    <w:rsid w:val="00BD7AB7"/>
    <w:rsid w:val="00BE0B04"/>
    <w:rsid w:val="00BE2C60"/>
    <w:rsid w:val="00BE2FF3"/>
    <w:rsid w:val="00BE4D92"/>
    <w:rsid w:val="00BE6436"/>
    <w:rsid w:val="00BE64D0"/>
    <w:rsid w:val="00BF0F25"/>
    <w:rsid w:val="00BF2B66"/>
    <w:rsid w:val="00BF306B"/>
    <w:rsid w:val="00BF45A2"/>
    <w:rsid w:val="00BF649B"/>
    <w:rsid w:val="00BF6923"/>
    <w:rsid w:val="00BF7E70"/>
    <w:rsid w:val="00C0228C"/>
    <w:rsid w:val="00C023E0"/>
    <w:rsid w:val="00C02A4F"/>
    <w:rsid w:val="00C03908"/>
    <w:rsid w:val="00C05899"/>
    <w:rsid w:val="00C06BCD"/>
    <w:rsid w:val="00C07C9B"/>
    <w:rsid w:val="00C13AC8"/>
    <w:rsid w:val="00C15766"/>
    <w:rsid w:val="00C23E50"/>
    <w:rsid w:val="00C32F4A"/>
    <w:rsid w:val="00C333B5"/>
    <w:rsid w:val="00C33C15"/>
    <w:rsid w:val="00C3409B"/>
    <w:rsid w:val="00C34525"/>
    <w:rsid w:val="00C35692"/>
    <w:rsid w:val="00C35AF0"/>
    <w:rsid w:val="00C35B3A"/>
    <w:rsid w:val="00C35B4B"/>
    <w:rsid w:val="00C36A51"/>
    <w:rsid w:val="00C3700E"/>
    <w:rsid w:val="00C37B2B"/>
    <w:rsid w:val="00C40EFA"/>
    <w:rsid w:val="00C4165D"/>
    <w:rsid w:val="00C4241A"/>
    <w:rsid w:val="00C42636"/>
    <w:rsid w:val="00C42E93"/>
    <w:rsid w:val="00C43148"/>
    <w:rsid w:val="00C44063"/>
    <w:rsid w:val="00C44665"/>
    <w:rsid w:val="00C44DB7"/>
    <w:rsid w:val="00C45CB8"/>
    <w:rsid w:val="00C45DA7"/>
    <w:rsid w:val="00C4692D"/>
    <w:rsid w:val="00C46E36"/>
    <w:rsid w:val="00C544A1"/>
    <w:rsid w:val="00C576E6"/>
    <w:rsid w:val="00C57E79"/>
    <w:rsid w:val="00C61177"/>
    <w:rsid w:val="00C6185D"/>
    <w:rsid w:val="00C63418"/>
    <w:rsid w:val="00C63496"/>
    <w:rsid w:val="00C64580"/>
    <w:rsid w:val="00C647F5"/>
    <w:rsid w:val="00C67127"/>
    <w:rsid w:val="00C704BE"/>
    <w:rsid w:val="00C70D14"/>
    <w:rsid w:val="00C711E0"/>
    <w:rsid w:val="00C720D9"/>
    <w:rsid w:val="00C734BB"/>
    <w:rsid w:val="00C747A8"/>
    <w:rsid w:val="00C8006D"/>
    <w:rsid w:val="00C81543"/>
    <w:rsid w:val="00C83462"/>
    <w:rsid w:val="00C83F73"/>
    <w:rsid w:val="00C84C51"/>
    <w:rsid w:val="00C87128"/>
    <w:rsid w:val="00C90455"/>
    <w:rsid w:val="00C90C58"/>
    <w:rsid w:val="00C92251"/>
    <w:rsid w:val="00C934F0"/>
    <w:rsid w:val="00C942D3"/>
    <w:rsid w:val="00C95329"/>
    <w:rsid w:val="00C969DD"/>
    <w:rsid w:val="00C975BF"/>
    <w:rsid w:val="00CA25C0"/>
    <w:rsid w:val="00CA31B4"/>
    <w:rsid w:val="00CA5BAE"/>
    <w:rsid w:val="00CB02D3"/>
    <w:rsid w:val="00CB2E6F"/>
    <w:rsid w:val="00CB5ED5"/>
    <w:rsid w:val="00CB755E"/>
    <w:rsid w:val="00CB773F"/>
    <w:rsid w:val="00CC1F80"/>
    <w:rsid w:val="00CC1FD9"/>
    <w:rsid w:val="00CC330A"/>
    <w:rsid w:val="00CC42F7"/>
    <w:rsid w:val="00CC4604"/>
    <w:rsid w:val="00CC4841"/>
    <w:rsid w:val="00CC4A26"/>
    <w:rsid w:val="00CC5281"/>
    <w:rsid w:val="00CC5F9A"/>
    <w:rsid w:val="00CC6541"/>
    <w:rsid w:val="00CC6732"/>
    <w:rsid w:val="00CC7AA4"/>
    <w:rsid w:val="00CC7B8A"/>
    <w:rsid w:val="00CD2871"/>
    <w:rsid w:val="00CD4AF5"/>
    <w:rsid w:val="00CD4BF3"/>
    <w:rsid w:val="00CD5467"/>
    <w:rsid w:val="00CD6B75"/>
    <w:rsid w:val="00CD6B84"/>
    <w:rsid w:val="00CE0681"/>
    <w:rsid w:val="00CE0FE7"/>
    <w:rsid w:val="00CE10C6"/>
    <w:rsid w:val="00CE35D2"/>
    <w:rsid w:val="00CE4E9C"/>
    <w:rsid w:val="00CE7461"/>
    <w:rsid w:val="00CE7A06"/>
    <w:rsid w:val="00CE7A4E"/>
    <w:rsid w:val="00CF10DA"/>
    <w:rsid w:val="00CF2D0D"/>
    <w:rsid w:val="00CF30B6"/>
    <w:rsid w:val="00CF5E4D"/>
    <w:rsid w:val="00D0009B"/>
    <w:rsid w:val="00D0069A"/>
    <w:rsid w:val="00D00D8A"/>
    <w:rsid w:val="00D01331"/>
    <w:rsid w:val="00D025FE"/>
    <w:rsid w:val="00D0388B"/>
    <w:rsid w:val="00D03960"/>
    <w:rsid w:val="00D050C4"/>
    <w:rsid w:val="00D06B1F"/>
    <w:rsid w:val="00D06DAF"/>
    <w:rsid w:val="00D12C8E"/>
    <w:rsid w:val="00D13714"/>
    <w:rsid w:val="00D13CF0"/>
    <w:rsid w:val="00D15507"/>
    <w:rsid w:val="00D1617F"/>
    <w:rsid w:val="00D1663D"/>
    <w:rsid w:val="00D176CE"/>
    <w:rsid w:val="00D21157"/>
    <w:rsid w:val="00D21C4E"/>
    <w:rsid w:val="00D24776"/>
    <w:rsid w:val="00D252A6"/>
    <w:rsid w:val="00D27AE9"/>
    <w:rsid w:val="00D30214"/>
    <w:rsid w:val="00D30476"/>
    <w:rsid w:val="00D32A17"/>
    <w:rsid w:val="00D34692"/>
    <w:rsid w:val="00D347A5"/>
    <w:rsid w:val="00D36469"/>
    <w:rsid w:val="00D379D1"/>
    <w:rsid w:val="00D40E6F"/>
    <w:rsid w:val="00D4326E"/>
    <w:rsid w:val="00D45A94"/>
    <w:rsid w:val="00D45E14"/>
    <w:rsid w:val="00D51CBA"/>
    <w:rsid w:val="00D55F5C"/>
    <w:rsid w:val="00D565B5"/>
    <w:rsid w:val="00D5725E"/>
    <w:rsid w:val="00D6006F"/>
    <w:rsid w:val="00D613AD"/>
    <w:rsid w:val="00D63217"/>
    <w:rsid w:val="00D63F33"/>
    <w:rsid w:val="00D644A7"/>
    <w:rsid w:val="00D65118"/>
    <w:rsid w:val="00D65882"/>
    <w:rsid w:val="00D66B45"/>
    <w:rsid w:val="00D67BE6"/>
    <w:rsid w:val="00D70215"/>
    <w:rsid w:val="00D703AE"/>
    <w:rsid w:val="00D7667D"/>
    <w:rsid w:val="00D7682F"/>
    <w:rsid w:val="00D77C17"/>
    <w:rsid w:val="00D80DCF"/>
    <w:rsid w:val="00D815E3"/>
    <w:rsid w:val="00D822BE"/>
    <w:rsid w:val="00D834E8"/>
    <w:rsid w:val="00D90B6E"/>
    <w:rsid w:val="00D915D8"/>
    <w:rsid w:val="00D91DC4"/>
    <w:rsid w:val="00D92ECC"/>
    <w:rsid w:val="00D945EA"/>
    <w:rsid w:val="00D94C7E"/>
    <w:rsid w:val="00D95B87"/>
    <w:rsid w:val="00D95EC1"/>
    <w:rsid w:val="00D96181"/>
    <w:rsid w:val="00DA2B4E"/>
    <w:rsid w:val="00DA398A"/>
    <w:rsid w:val="00DA48B8"/>
    <w:rsid w:val="00DA546C"/>
    <w:rsid w:val="00DA76B3"/>
    <w:rsid w:val="00DB0400"/>
    <w:rsid w:val="00DB415E"/>
    <w:rsid w:val="00DB5651"/>
    <w:rsid w:val="00DB69EF"/>
    <w:rsid w:val="00DB727D"/>
    <w:rsid w:val="00DC1FEF"/>
    <w:rsid w:val="00DC4EBF"/>
    <w:rsid w:val="00DC542B"/>
    <w:rsid w:val="00DC7091"/>
    <w:rsid w:val="00DD0562"/>
    <w:rsid w:val="00DD1CD6"/>
    <w:rsid w:val="00DD24D1"/>
    <w:rsid w:val="00DD2E52"/>
    <w:rsid w:val="00DD3A10"/>
    <w:rsid w:val="00DD3DAC"/>
    <w:rsid w:val="00DD5C50"/>
    <w:rsid w:val="00DD5DED"/>
    <w:rsid w:val="00DD5FB2"/>
    <w:rsid w:val="00DE0905"/>
    <w:rsid w:val="00DE0EB7"/>
    <w:rsid w:val="00DE1EB3"/>
    <w:rsid w:val="00DE24D2"/>
    <w:rsid w:val="00DE305E"/>
    <w:rsid w:val="00DE3C21"/>
    <w:rsid w:val="00DE4750"/>
    <w:rsid w:val="00DE477C"/>
    <w:rsid w:val="00DE7AC8"/>
    <w:rsid w:val="00DF00E5"/>
    <w:rsid w:val="00DF017E"/>
    <w:rsid w:val="00DF3C2A"/>
    <w:rsid w:val="00DF615F"/>
    <w:rsid w:val="00DF65E2"/>
    <w:rsid w:val="00DF7891"/>
    <w:rsid w:val="00E00283"/>
    <w:rsid w:val="00E00A52"/>
    <w:rsid w:val="00E03923"/>
    <w:rsid w:val="00E03C66"/>
    <w:rsid w:val="00E11548"/>
    <w:rsid w:val="00E11D56"/>
    <w:rsid w:val="00E161B3"/>
    <w:rsid w:val="00E20D46"/>
    <w:rsid w:val="00E21933"/>
    <w:rsid w:val="00E244E1"/>
    <w:rsid w:val="00E24B0B"/>
    <w:rsid w:val="00E2512D"/>
    <w:rsid w:val="00E30651"/>
    <w:rsid w:val="00E32F58"/>
    <w:rsid w:val="00E33373"/>
    <w:rsid w:val="00E33EF1"/>
    <w:rsid w:val="00E35271"/>
    <w:rsid w:val="00E35DC0"/>
    <w:rsid w:val="00E37677"/>
    <w:rsid w:val="00E40533"/>
    <w:rsid w:val="00E4440C"/>
    <w:rsid w:val="00E50389"/>
    <w:rsid w:val="00E521C8"/>
    <w:rsid w:val="00E526F7"/>
    <w:rsid w:val="00E52DCF"/>
    <w:rsid w:val="00E52E60"/>
    <w:rsid w:val="00E550A8"/>
    <w:rsid w:val="00E5538D"/>
    <w:rsid w:val="00E56ED5"/>
    <w:rsid w:val="00E6028A"/>
    <w:rsid w:val="00E61B6E"/>
    <w:rsid w:val="00E622CD"/>
    <w:rsid w:val="00E64DEB"/>
    <w:rsid w:val="00E65AC6"/>
    <w:rsid w:val="00E668A0"/>
    <w:rsid w:val="00E66D0D"/>
    <w:rsid w:val="00E67148"/>
    <w:rsid w:val="00E6789E"/>
    <w:rsid w:val="00E709EF"/>
    <w:rsid w:val="00E72C62"/>
    <w:rsid w:val="00E73A09"/>
    <w:rsid w:val="00E75A59"/>
    <w:rsid w:val="00E80C9F"/>
    <w:rsid w:val="00E8373D"/>
    <w:rsid w:val="00E846BD"/>
    <w:rsid w:val="00E8523B"/>
    <w:rsid w:val="00E91AA9"/>
    <w:rsid w:val="00E928CF"/>
    <w:rsid w:val="00E95F05"/>
    <w:rsid w:val="00E96736"/>
    <w:rsid w:val="00E97C5D"/>
    <w:rsid w:val="00EB0396"/>
    <w:rsid w:val="00EB0712"/>
    <w:rsid w:val="00EB1136"/>
    <w:rsid w:val="00EB2438"/>
    <w:rsid w:val="00EB2849"/>
    <w:rsid w:val="00EB4226"/>
    <w:rsid w:val="00EB5F7E"/>
    <w:rsid w:val="00EB6722"/>
    <w:rsid w:val="00EB6D9E"/>
    <w:rsid w:val="00EB6DD1"/>
    <w:rsid w:val="00EB7344"/>
    <w:rsid w:val="00EC0354"/>
    <w:rsid w:val="00EC109E"/>
    <w:rsid w:val="00EC1B4C"/>
    <w:rsid w:val="00EC20FC"/>
    <w:rsid w:val="00EC25B0"/>
    <w:rsid w:val="00EC25C6"/>
    <w:rsid w:val="00EC34AC"/>
    <w:rsid w:val="00EC4A6D"/>
    <w:rsid w:val="00EC64FB"/>
    <w:rsid w:val="00ED168A"/>
    <w:rsid w:val="00ED174B"/>
    <w:rsid w:val="00ED5F52"/>
    <w:rsid w:val="00ED6959"/>
    <w:rsid w:val="00ED7B00"/>
    <w:rsid w:val="00EE2472"/>
    <w:rsid w:val="00EE2758"/>
    <w:rsid w:val="00EE55C3"/>
    <w:rsid w:val="00EF090A"/>
    <w:rsid w:val="00EF09F1"/>
    <w:rsid w:val="00EF14F8"/>
    <w:rsid w:val="00EF17EE"/>
    <w:rsid w:val="00EF3030"/>
    <w:rsid w:val="00EF3139"/>
    <w:rsid w:val="00EF3CD4"/>
    <w:rsid w:val="00EF7D6B"/>
    <w:rsid w:val="00F017E0"/>
    <w:rsid w:val="00F026D8"/>
    <w:rsid w:val="00F034A1"/>
    <w:rsid w:val="00F04BE0"/>
    <w:rsid w:val="00F04C67"/>
    <w:rsid w:val="00F07B18"/>
    <w:rsid w:val="00F120FB"/>
    <w:rsid w:val="00F12310"/>
    <w:rsid w:val="00F1733F"/>
    <w:rsid w:val="00F17D88"/>
    <w:rsid w:val="00F17E2D"/>
    <w:rsid w:val="00F2011E"/>
    <w:rsid w:val="00F22F74"/>
    <w:rsid w:val="00F22FBE"/>
    <w:rsid w:val="00F24BC4"/>
    <w:rsid w:val="00F25687"/>
    <w:rsid w:val="00F2711F"/>
    <w:rsid w:val="00F27C86"/>
    <w:rsid w:val="00F30724"/>
    <w:rsid w:val="00F30B17"/>
    <w:rsid w:val="00F30D9A"/>
    <w:rsid w:val="00F33E73"/>
    <w:rsid w:val="00F34205"/>
    <w:rsid w:val="00F354F5"/>
    <w:rsid w:val="00F36612"/>
    <w:rsid w:val="00F372B0"/>
    <w:rsid w:val="00F37547"/>
    <w:rsid w:val="00F37F09"/>
    <w:rsid w:val="00F40801"/>
    <w:rsid w:val="00F41437"/>
    <w:rsid w:val="00F41E4B"/>
    <w:rsid w:val="00F42020"/>
    <w:rsid w:val="00F42413"/>
    <w:rsid w:val="00F42B5E"/>
    <w:rsid w:val="00F43177"/>
    <w:rsid w:val="00F436B1"/>
    <w:rsid w:val="00F470A6"/>
    <w:rsid w:val="00F47A04"/>
    <w:rsid w:val="00F47FFE"/>
    <w:rsid w:val="00F50147"/>
    <w:rsid w:val="00F505DF"/>
    <w:rsid w:val="00F52794"/>
    <w:rsid w:val="00F52798"/>
    <w:rsid w:val="00F534CA"/>
    <w:rsid w:val="00F53B53"/>
    <w:rsid w:val="00F54F96"/>
    <w:rsid w:val="00F55240"/>
    <w:rsid w:val="00F55503"/>
    <w:rsid w:val="00F60D8C"/>
    <w:rsid w:val="00F61FC8"/>
    <w:rsid w:val="00F6201C"/>
    <w:rsid w:val="00F625AE"/>
    <w:rsid w:val="00F637B9"/>
    <w:rsid w:val="00F65E7F"/>
    <w:rsid w:val="00F66256"/>
    <w:rsid w:val="00F66295"/>
    <w:rsid w:val="00F66A5A"/>
    <w:rsid w:val="00F66C34"/>
    <w:rsid w:val="00F70825"/>
    <w:rsid w:val="00F72A6B"/>
    <w:rsid w:val="00F74602"/>
    <w:rsid w:val="00F74BFF"/>
    <w:rsid w:val="00F810F9"/>
    <w:rsid w:val="00F825A1"/>
    <w:rsid w:val="00F839F2"/>
    <w:rsid w:val="00F83B7E"/>
    <w:rsid w:val="00F8460F"/>
    <w:rsid w:val="00F860A6"/>
    <w:rsid w:val="00F90702"/>
    <w:rsid w:val="00F917E0"/>
    <w:rsid w:val="00F922F0"/>
    <w:rsid w:val="00F93FF1"/>
    <w:rsid w:val="00F9581C"/>
    <w:rsid w:val="00F96146"/>
    <w:rsid w:val="00F97C43"/>
    <w:rsid w:val="00FA0704"/>
    <w:rsid w:val="00FA2065"/>
    <w:rsid w:val="00FA23DD"/>
    <w:rsid w:val="00FA2EB7"/>
    <w:rsid w:val="00FA300D"/>
    <w:rsid w:val="00FA38A3"/>
    <w:rsid w:val="00FA39D6"/>
    <w:rsid w:val="00FA3C0C"/>
    <w:rsid w:val="00FA47CD"/>
    <w:rsid w:val="00FA62FC"/>
    <w:rsid w:val="00FA6ED3"/>
    <w:rsid w:val="00FB1089"/>
    <w:rsid w:val="00FB2246"/>
    <w:rsid w:val="00FB4D06"/>
    <w:rsid w:val="00FB7BD5"/>
    <w:rsid w:val="00FC108A"/>
    <w:rsid w:val="00FC1238"/>
    <w:rsid w:val="00FC13E9"/>
    <w:rsid w:val="00FC7E92"/>
    <w:rsid w:val="00FD395A"/>
    <w:rsid w:val="00FD4C7E"/>
    <w:rsid w:val="00FD5B9F"/>
    <w:rsid w:val="00FD688E"/>
    <w:rsid w:val="00FD7ACE"/>
    <w:rsid w:val="00FE092B"/>
    <w:rsid w:val="00FE0C49"/>
    <w:rsid w:val="00FE75A5"/>
    <w:rsid w:val="00FF072A"/>
    <w:rsid w:val="00FF1D10"/>
    <w:rsid w:val="00FF217B"/>
    <w:rsid w:val="00FF4EE0"/>
    <w:rsid w:val="00FF6F9D"/>
    <w:rsid w:val="011A7A5D"/>
    <w:rsid w:val="01361E7F"/>
    <w:rsid w:val="0160258C"/>
    <w:rsid w:val="01730670"/>
    <w:rsid w:val="01A65FF6"/>
    <w:rsid w:val="0209574B"/>
    <w:rsid w:val="0274049B"/>
    <w:rsid w:val="02DB1A8C"/>
    <w:rsid w:val="031A582E"/>
    <w:rsid w:val="03492CD0"/>
    <w:rsid w:val="035B6FFF"/>
    <w:rsid w:val="03D17B77"/>
    <w:rsid w:val="03F15C0C"/>
    <w:rsid w:val="044A0521"/>
    <w:rsid w:val="046430CE"/>
    <w:rsid w:val="04694ED2"/>
    <w:rsid w:val="04A419EE"/>
    <w:rsid w:val="04E00E1C"/>
    <w:rsid w:val="04FB5628"/>
    <w:rsid w:val="050A1605"/>
    <w:rsid w:val="05A918BA"/>
    <w:rsid w:val="05AC66DE"/>
    <w:rsid w:val="06060C03"/>
    <w:rsid w:val="061F4E2D"/>
    <w:rsid w:val="062437C1"/>
    <w:rsid w:val="06337152"/>
    <w:rsid w:val="0639361E"/>
    <w:rsid w:val="065B741D"/>
    <w:rsid w:val="06C01BD2"/>
    <w:rsid w:val="06EF36B1"/>
    <w:rsid w:val="07201CEE"/>
    <w:rsid w:val="074630C9"/>
    <w:rsid w:val="075C1AE5"/>
    <w:rsid w:val="07AD07A4"/>
    <w:rsid w:val="07D53003"/>
    <w:rsid w:val="082C0B99"/>
    <w:rsid w:val="085E2315"/>
    <w:rsid w:val="08F31410"/>
    <w:rsid w:val="08F97583"/>
    <w:rsid w:val="0AD649EC"/>
    <w:rsid w:val="0AEF2456"/>
    <w:rsid w:val="0B04071E"/>
    <w:rsid w:val="0B5928E3"/>
    <w:rsid w:val="0B8E1685"/>
    <w:rsid w:val="0BC86EC0"/>
    <w:rsid w:val="0C461CD9"/>
    <w:rsid w:val="0C9E59EC"/>
    <w:rsid w:val="0CD056D7"/>
    <w:rsid w:val="0CD87AE2"/>
    <w:rsid w:val="0D4304A0"/>
    <w:rsid w:val="0D654C32"/>
    <w:rsid w:val="0D751EC9"/>
    <w:rsid w:val="0E12799C"/>
    <w:rsid w:val="0E495A35"/>
    <w:rsid w:val="0EEA47FB"/>
    <w:rsid w:val="0F622579"/>
    <w:rsid w:val="0F7E548B"/>
    <w:rsid w:val="0FFD412A"/>
    <w:rsid w:val="100618BC"/>
    <w:rsid w:val="10242C10"/>
    <w:rsid w:val="104C56BC"/>
    <w:rsid w:val="10521533"/>
    <w:rsid w:val="10770E9C"/>
    <w:rsid w:val="10E310AD"/>
    <w:rsid w:val="10F67F9B"/>
    <w:rsid w:val="10FF4B76"/>
    <w:rsid w:val="11B549C7"/>
    <w:rsid w:val="12065C38"/>
    <w:rsid w:val="12073030"/>
    <w:rsid w:val="125C1A77"/>
    <w:rsid w:val="12CF701E"/>
    <w:rsid w:val="12D73722"/>
    <w:rsid w:val="133200E7"/>
    <w:rsid w:val="135F03B8"/>
    <w:rsid w:val="136E3E47"/>
    <w:rsid w:val="138B3C5D"/>
    <w:rsid w:val="13A40A83"/>
    <w:rsid w:val="141B48FC"/>
    <w:rsid w:val="14684771"/>
    <w:rsid w:val="15B077FC"/>
    <w:rsid w:val="15B240EF"/>
    <w:rsid w:val="16147B80"/>
    <w:rsid w:val="16757FF1"/>
    <w:rsid w:val="16A570F7"/>
    <w:rsid w:val="16A7031A"/>
    <w:rsid w:val="16B90DAA"/>
    <w:rsid w:val="16E733B1"/>
    <w:rsid w:val="17503AB9"/>
    <w:rsid w:val="178D4C7B"/>
    <w:rsid w:val="179F6806"/>
    <w:rsid w:val="17DA2FF2"/>
    <w:rsid w:val="18327DC8"/>
    <w:rsid w:val="18650475"/>
    <w:rsid w:val="18706ECD"/>
    <w:rsid w:val="1894263F"/>
    <w:rsid w:val="18A452C4"/>
    <w:rsid w:val="18BF1178"/>
    <w:rsid w:val="193E422E"/>
    <w:rsid w:val="196E7898"/>
    <w:rsid w:val="198C0288"/>
    <w:rsid w:val="19F8331A"/>
    <w:rsid w:val="1A552981"/>
    <w:rsid w:val="1AD745BF"/>
    <w:rsid w:val="1AF40646"/>
    <w:rsid w:val="1B111FE2"/>
    <w:rsid w:val="1B455605"/>
    <w:rsid w:val="1B5A5D03"/>
    <w:rsid w:val="1BA04175"/>
    <w:rsid w:val="1C06017D"/>
    <w:rsid w:val="1C2A14B4"/>
    <w:rsid w:val="1C6819C8"/>
    <w:rsid w:val="1D4B1771"/>
    <w:rsid w:val="1DA438FD"/>
    <w:rsid w:val="1DBF1BD2"/>
    <w:rsid w:val="1E4F5B29"/>
    <w:rsid w:val="1EBA25B9"/>
    <w:rsid w:val="1EC035F3"/>
    <w:rsid w:val="1F08273D"/>
    <w:rsid w:val="1F4718C6"/>
    <w:rsid w:val="1F5C7CA9"/>
    <w:rsid w:val="20135D46"/>
    <w:rsid w:val="20F9084C"/>
    <w:rsid w:val="211F63AB"/>
    <w:rsid w:val="21306FAE"/>
    <w:rsid w:val="213154EF"/>
    <w:rsid w:val="213C3083"/>
    <w:rsid w:val="21417D6E"/>
    <w:rsid w:val="217D44A2"/>
    <w:rsid w:val="21F30C7E"/>
    <w:rsid w:val="221D6CD2"/>
    <w:rsid w:val="22221363"/>
    <w:rsid w:val="22642D81"/>
    <w:rsid w:val="22A60007"/>
    <w:rsid w:val="2359043D"/>
    <w:rsid w:val="23F83E24"/>
    <w:rsid w:val="24055293"/>
    <w:rsid w:val="2456550E"/>
    <w:rsid w:val="24EB0122"/>
    <w:rsid w:val="256B4687"/>
    <w:rsid w:val="25741A74"/>
    <w:rsid w:val="26A9441E"/>
    <w:rsid w:val="274A4314"/>
    <w:rsid w:val="27672A0F"/>
    <w:rsid w:val="28081D34"/>
    <w:rsid w:val="284A0387"/>
    <w:rsid w:val="286C20A7"/>
    <w:rsid w:val="28B3095D"/>
    <w:rsid w:val="28DC64B4"/>
    <w:rsid w:val="29160FB0"/>
    <w:rsid w:val="292C6381"/>
    <w:rsid w:val="29EF1C10"/>
    <w:rsid w:val="2A48212D"/>
    <w:rsid w:val="2A54292A"/>
    <w:rsid w:val="2A8F246F"/>
    <w:rsid w:val="2B0D3223"/>
    <w:rsid w:val="2B4951A6"/>
    <w:rsid w:val="2B5D3216"/>
    <w:rsid w:val="2B9364FC"/>
    <w:rsid w:val="2BBE2C89"/>
    <w:rsid w:val="2C002793"/>
    <w:rsid w:val="2C6C3918"/>
    <w:rsid w:val="2CAE4244"/>
    <w:rsid w:val="2CDE36B8"/>
    <w:rsid w:val="2CF444AB"/>
    <w:rsid w:val="2D042383"/>
    <w:rsid w:val="2D075ACB"/>
    <w:rsid w:val="2DCF758D"/>
    <w:rsid w:val="2E1613A8"/>
    <w:rsid w:val="2E266669"/>
    <w:rsid w:val="2E423520"/>
    <w:rsid w:val="2E4B49AE"/>
    <w:rsid w:val="2E4C0656"/>
    <w:rsid w:val="2E610AEB"/>
    <w:rsid w:val="2E67196B"/>
    <w:rsid w:val="2F2B4D2D"/>
    <w:rsid w:val="2F51473A"/>
    <w:rsid w:val="2F7D54FB"/>
    <w:rsid w:val="2FAE3803"/>
    <w:rsid w:val="2FF90F3C"/>
    <w:rsid w:val="30182A4F"/>
    <w:rsid w:val="30492740"/>
    <w:rsid w:val="30A47CB6"/>
    <w:rsid w:val="31440F8C"/>
    <w:rsid w:val="314B55CC"/>
    <w:rsid w:val="31866088"/>
    <w:rsid w:val="318F4907"/>
    <w:rsid w:val="32477000"/>
    <w:rsid w:val="329715D0"/>
    <w:rsid w:val="32F47544"/>
    <w:rsid w:val="33282B57"/>
    <w:rsid w:val="336D28AF"/>
    <w:rsid w:val="33C237A2"/>
    <w:rsid w:val="344D24BB"/>
    <w:rsid w:val="34527168"/>
    <w:rsid w:val="349615ED"/>
    <w:rsid w:val="350A4A05"/>
    <w:rsid w:val="35F03601"/>
    <w:rsid w:val="36251981"/>
    <w:rsid w:val="365E1127"/>
    <w:rsid w:val="36805387"/>
    <w:rsid w:val="36846BE3"/>
    <w:rsid w:val="36D42837"/>
    <w:rsid w:val="37812E8C"/>
    <w:rsid w:val="37B15958"/>
    <w:rsid w:val="382E6C85"/>
    <w:rsid w:val="386C2DA8"/>
    <w:rsid w:val="387312F3"/>
    <w:rsid w:val="38AB0DC7"/>
    <w:rsid w:val="38F854DD"/>
    <w:rsid w:val="390174F7"/>
    <w:rsid w:val="3B121E08"/>
    <w:rsid w:val="3B217D73"/>
    <w:rsid w:val="3B537FE2"/>
    <w:rsid w:val="3B7242D8"/>
    <w:rsid w:val="3BE84956"/>
    <w:rsid w:val="3BE97308"/>
    <w:rsid w:val="3C1F4EF6"/>
    <w:rsid w:val="3CA43D56"/>
    <w:rsid w:val="3CAA6C76"/>
    <w:rsid w:val="3CD020FF"/>
    <w:rsid w:val="3CE963EE"/>
    <w:rsid w:val="3CF3290E"/>
    <w:rsid w:val="3D551F0E"/>
    <w:rsid w:val="3D90313B"/>
    <w:rsid w:val="3E384D8C"/>
    <w:rsid w:val="3EFE7F13"/>
    <w:rsid w:val="3F803041"/>
    <w:rsid w:val="40B15340"/>
    <w:rsid w:val="40FA43C7"/>
    <w:rsid w:val="410A70F7"/>
    <w:rsid w:val="41294740"/>
    <w:rsid w:val="4136471D"/>
    <w:rsid w:val="41616B4C"/>
    <w:rsid w:val="4188720B"/>
    <w:rsid w:val="418E38E2"/>
    <w:rsid w:val="43235F4F"/>
    <w:rsid w:val="433D01B8"/>
    <w:rsid w:val="439053BF"/>
    <w:rsid w:val="44256C1E"/>
    <w:rsid w:val="44524810"/>
    <w:rsid w:val="449A676A"/>
    <w:rsid w:val="44E11CA1"/>
    <w:rsid w:val="45EB6C9E"/>
    <w:rsid w:val="46310F82"/>
    <w:rsid w:val="46511915"/>
    <w:rsid w:val="46786E09"/>
    <w:rsid w:val="46797D99"/>
    <w:rsid w:val="46C30F1E"/>
    <w:rsid w:val="48EB1A72"/>
    <w:rsid w:val="495A3E4E"/>
    <w:rsid w:val="497B0088"/>
    <w:rsid w:val="49C270BC"/>
    <w:rsid w:val="49CD1610"/>
    <w:rsid w:val="4A1B4DE5"/>
    <w:rsid w:val="4A320146"/>
    <w:rsid w:val="4ACD2B9A"/>
    <w:rsid w:val="4BA25BD4"/>
    <w:rsid w:val="4C210756"/>
    <w:rsid w:val="4C5C46D0"/>
    <w:rsid w:val="4DF1629F"/>
    <w:rsid w:val="4DFD468B"/>
    <w:rsid w:val="4E340F4C"/>
    <w:rsid w:val="4E4928AB"/>
    <w:rsid w:val="4E655932"/>
    <w:rsid w:val="4E712126"/>
    <w:rsid w:val="4E7C128F"/>
    <w:rsid w:val="4EB41585"/>
    <w:rsid w:val="4EBA5F34"/>
    <w:rsid w:val="4F80373E"/>
    <w:rsid w:val="4F984940"/>
    <w:rsid w:val="4FA441AD"/>
    <w:rsid w:val="4FB06EA0"/>
    <w:rsid w:val="4FDD7637"/>
    <w:rsid w:val="505517A1"/>
    <w:rsid w:val="50E266C8"/>
    <w:rsid w:val="511D1FFB"/>
    <w:rsid w:val="51791B06"/>
    <w:rsid w:val="517F547E"/>
    <w:rsid w:val="52580BE7"/>
    <w:rsid w:val="52861DD8"/>
    <w:rsid w:val="52C23DE9"/>
    <w:rsid w:val="52E21EAE"/>
    <w:rsid w:val="53AF1889"/>
    <w:rsid w:val="53CF04B5"/>
    <w:rsid w:val="54185775"/>
    <w:rsid w:val="54A61BE2"/>
    <w:rsid w:val="54FB0C34"/>
    <w:rsid w:val="55141D0D"/>
    <w:rsid w:val="55235DDE"/>
    <w:rsid w:val="55363F22"/>
    <w:rsid w:val="561B53BB"/>
    <w:rsid w:val="563F3492"/>
    <w:rsid w:val="56524B60"/>
    <w:rsid w:val="565F2642"/>
    <w:rsid w:val="56E24164"/>
    <w:rsid w:val="56F15A85"/>
    <w:rsid w:val="56FE7FF9"/>
    <w:rsid w:val="57003F22"/>
    <w:rsid w:val="58FA4543"/>
    <w:rsid w:val="59235E80"/>
    <w:rsid w:val="5926108A"/>
    <w:rsid w:val="592B79EB"/>
    <w:rsid w:val="596E3C99"/>
    <w:rsid w:val="599B319B"/>
    <w:rsid w:val="59C94630"/>
    <w:rsid w:val="59E20CA4"/>
    <w:rsid w:val="5A0870BF"/>
    <w:rsid w:val="5A0C2BEE"/>
    <w:rsid w:val="5AD61054"/>
    <w:rsid w:val="5ADB44D2"/>
    <w:rsid w:val="5B627E37"/>
    <w:rsid w:val="5BC02B30"/>
    <w:rsid w:val="5C6373E6"/>
    <w:rsid w:val="5CD859C5"/>
    <w:rsid w:val="5E1C5D82"/>
    <w:rsid w:val="5E31376A"/>
    <w:rsid w:val="5E396789"/>
    <w:rsid w:val="5E4B7708"/>
    <w:rsid w:val="5E9F690C"/>
    <w:rsid w:val="5EAE64A1"/>
    <w:rsid w:val="5F3A2426"/>
    <w:rsid w:val="5F715665"/>
    <w:rsid w:val="5F8B324B"/>
    <w:rsid w:val="5F8B3B99"/>
    <w:rsid w:val="5F9F6B28"/>
    <w:rsid w:val="5FD94EF3"/>
    <w:rsid w:val="601F7145"/>
    <w:rsid w:val="60521B72"/>
    <w:rsid w:val="60830FDC"/>
    <w:rsid w:val="60DC56FD"/>
    <w:rsid w:val="61FF2F6F"/>
    <w:rsid w:val="62131DE4"/>
    <w:rsid w:val="6255300E"/>
    <w:rsid w:val="62834ADA"/>
    <w:rsid w:val="62BC751D"/>
    <w:rsid w:val="62D423E8"/>
    <w:rsid w:val="634549EB"/>
    <w:rsid w:val="63571959"/>
    <w:rsid w:val="636E267D"/>
    <w:rsid w:val="63866C92"/>
    <w:rsid w:val="63BD7971"/>
    <w:rsid w:val="64B4455A"/>
    <w:rsid w:val="650E6742"/>
    <w:rsid w:val="659063C1"/>
    <w:rsid w:val="65986C95"/>
    <w:rsid w:val="66751579"/>
    <w:rsid w:val="67222077"/>
    <w:rsid w:val="675734D7"/>
    <w:rsid w:val="676169F1"/>
    <w:rsid w:val="67EC304F"/>
    <w:rsid w:val="67F72E6A"/>
    <w:rsid w:val="68BF034E"/>
    <w:rsid w:val="68C15E0C"/>
    <w:rsid w:val="696617FA"/>
    <w:rsid w:val="69A2641E"/>
    <w:rsid w:val="69AA4D90"/>
    <w:rsid w:val="69AC74A0"/>
    <w:rsid w:val="6A7D3DD9"/>
    <w:rsid w:val="6AA23F8D"/>
    <w:rsid w:val="6AB81B6B"/>
    <w:rsid w:val="6ABD34A9"/>
    <w:rsid w:val="6ADF5698"/>
    <w:rsid w:val="6C0B7A41"/>
    <w:rsid w:val="6D8447E5"/>
    <w:rsid w:val="6DBB012F"/>
    <w:rsid w:val="6DE30D6C"/>
    <w:rsid w:val="6E3B7B7B"/>
    <w:rsid w:val="6E591FDD"/>
    <w:rsid w:val="6FA271AD"/>
    <w:rsid w:val="6FA5633D"/>
    <w:rsid w:val="6FF518B1"/>
    <w:rsid w:val="700001B4"/>
    <w:rsid w:val="70191E35"/>
    <w:rsid w:val="704D3CAE"/>
    <w:rsid w:val="706F2899"/>
    <w:rsid w:val="70EB3348"/>
    <w:rsid w:val="710A3F0D"/>
    <w:rsid w:val="71326BD7"/>
    <w:rsid w:val="713D3FA8"/>
    <w:rsid w:val="714C50E6"/>
    <w:rsid w:val="71742DF2"/>
    <w:rsid w:val="71F37C18"/>
    <w:rsid w:val="723C71DD"/>
    <w:rsid w:val="7240245D"/>
    <w:rsid w:val="724B54C8"/>
    <w:rsid w:val="72D8588A"/>
    <w:rsid w:val="735B669E"/>
    <w:rsid w:val="73CE04B9"/>
    <w:rsid w:val="74914886"/>
    <w:rsid w:val="757266FA"/>
    <w:rsid w:val="75CB345E"/>
    <w:rsid w:val="76A56583"/>
    <w:rsid w:val="76A62F59"/>
    <w:rsid w:val="76FF5C9A"/>
    <w:rsid w:val="77135145"/>
    <w:rsid w:val="773A3765"/>
    <w:rsid w:val="78062362"/>
    <w:rsid w:val="780B6549"/>
    <w:rsid w:val="78172A0B"/>
    <w:rsid w:val="78675B4B"/>
    <w:rsid w:val="78CE4383"/>
    <w:rsid w:val="799E52A4"/>
    <w:rsid w:val="79FCFA40"/>
    <w:rsid w:val="7A2877D3"/>
    <w:rsid w:val="7A5A25AD"/>
    <w:rsid w:val="7AB83B51"/>
    <w:rsid w:val="7ACA3E00"/>
    <w:rsid w:val="7AD006E5"/>
    <w:rsid w:val="7B983FC0"/>
    <w:rsid w:val="7BCE793E"/>
    <w:rsid w:val="7BDE7EB2"/>
    <w:rsid w:val="7BEB7061"/>
    <w:rsid w:val="7CC1007F"/>
    <w:rsid w:val="7CF24C2C"/>
    <w:rsid w:val="7DAF08B4"/>
    <w:rsid w:val="7E221CC8"/>
    <w:rsid w:val="7E2B4203"/>
    <w:rsid w:val="7E6B29F6"/>
    <w:rsid w:val="7EE6028B"/>
    <w:rsid w:val="7F8A3184"/>
    <w:rsid w:val="7FC14EB2"/>
    <w:rsid w:val="7FCF71C0"/>
    <w:rsid w:val="7FDB7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unhideWhenUsed="0"/>
    <w:lsdException w:name="caption" w:uiPriority="35" w:qFormat="1"/>
    <w:lsdException w:name="annotation reference" w:uiPriority="0" w:unhideWhenUsed="0"/>
    <w:lsdException w:name="page number" w:semiHidden="0" w:uiPriority="0" w:unhideWhenUsed="0"/>
    <w:lsdException w:name="Title" w:semiHidden="0" w:uiPriority="0" w:unhideWhenUsed="0" w:qFormat="1"/>
    <w:lsdException w:name="Default Paragraph Font" w:uiPriority="0" w:unhideWhenUsed="0"/>
    <w:lsdException w:name="Body Text" w:semiHidden="0"/>
    <w:lsdException w:name="Subtitle" w:semiHidden="0" w:uiPriority="11" w:unhideWhenUsed="0" w:qFormat="1"/>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uiPriority="0" w:unhideWhenUsed="0"/>
    <w:lsdException w:name="annotation subject" w:uiPriority="0" w:unhideWhenUsed="0"/>
    <w:lsdException w:name="Balloon Text" w:uiPriority="0" w:unhideWhenUsed="0"/>
    <w:lsdException w:name="Table Grid" w:semiHidden="0" w:uiPriority="5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widowControl/>
      <w:spacing w:before="100" w:beforeAutospacing="1" w:after="100" w:afterAutospacing="1" w:line="480" w:lineRule="exact"/>
      <w:jc w:val="center"/>
      <w:outlineLvl w:val="0"/>
    </w:pPr>
    <w:rPr>
      <w:rFonts w:ascii="黑体" w:eastAsia="黑体"/>
      <w:bCs/>
      <w:sz w:val="44"/>
      <w:szCs w:val="44"/>
    </w:rPr>
  </w:style>
  <w:style w:type="paragraph" w:styleId="3">
    <w:name w:val="heading 3"/>
    <w:basedOn w:val="2"/>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Pr>
      <w:rFonts w:ascii="黑体" w:eastAsia="黑体"/>
      <w:bCs/>
      <w:kern w:val="2"/>
      <w:sz w:val="44"/>
      <w:szCs w:val="44"/>
    </w:rPr>
  </w:style>
  <w:style w:type="paragraph" w:styleId="2">
    <w:name w:val="toc 2"/>
    <w:basedOn w:val="a"/>
    <w:next w:val="a"/>
    <w:uiPriority w:val="39"/>
    <w:unhideWhenUsed/>
    <w:pPr>
      <w:ind w:leftChars="200" w:left="420"/>
    </w:pPr>
  </w:style>
  <w:style w:type="character" w:customStyle="1" w:styleId="3Char">
    <w:name w:val="标题 3 Char"/>
    <w:link w:val="3"/>
    <w:qFormat/>
    <w:rPr>
      <w:rFonts w:ascii="黑体" w:eastAsia="黑体" w:hAnsi="黑体"/>
      <w:smallCaps/>
      <w:kern w:val="2"/>
      <w:sz w:val="30"/>
      <w:szCs w:val="30"/>
    </w:rPr>
  </w:style>
  <w:style w:type="paragraph" w:styleId="a3">
    <w:name w:val="annotation text"/>
    <w:basedOn w:val="a"/>
    <w:semiHidden/>
    <w:pPr>
      <w:jc w:val="left"/>
    </w:pPr>
  </w:style>
  <w:style w:type="paragraph" w:styleId="a4">
    <w:name w:val="Body Text"/>
    <w:basedOn w:val="a"/>
    <w:link w:val="Char"/>
    <w:uiPriority w:val="99"/>
    <w:unhideWhenUsed/>
    <w:pPr>
      <w:spacing w:after="120"/>
    </w:pPr>
  </w:style>
  <w:style w:type="character" w:customStyle="1" w:styleId="Char">
    <w:name w:val="正文文本 Char"/>
    <w:link w:val="a4"/>
    <w:uiPriority w:val="99"/>
    <w:semiHidden/>
    <w:rPr>
      <w:kern w:val="2"/>
      <w:sz w:val="21"/>
      <w:szCs w:val="24"/>
    </w:rPr>
  </w:style>
  <w:style w:type="paragraph" w:styleId="20">
    <w:name w:val="Body Text Indent 2"/>
    <w:basedOn w:val="a"/>
    <w:pPr>
      <w:spacing w:line="480" w:lineRule="exact"/>
      <w:ind w:firstLineChars="200" w:firstLine="560"/>
    </w:pPr>
    <w:rPr>
      <w:rFonts w:ascii="仿宋_GB2312" w:eastAsia="仿宋_GB2312"/>
      <w:sz w:val="28"/>
    </w:rPr>
  </w:style>
  <w:style w:type="paragraph" w:styleId="a5">
    <w:name w:val="Balloon Text"/>
    <w:basedOn w:val="a"/>
    <w:semiHidden/>
    <w:rPr>
      <w:sz w:val="18"/>
      <w:szCs w:val="18"/>
    </w:rPr>
  </w:style>
  <w:style w:type="paragraph" w:styleId="a6">
    <w:name w:val="footer"/>
    <w:basedOn w:val="a"/>
    <w:link w:val="Char0"/>
    <w:uiPriority w:val="99"/>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Pr>
      <w:kern w:val="2"/>
      <w:sz w:val="18"/>
      <w:szCs w:val="18"/>
    </w:rPr>
  </w:style>
  <w:style w:type="paragraph" w:styleId="30">
    <w:name w:val="Body Text Indent 3"/>
    <w:basedOn w:val="a"/>
    <w:pPr>
      <w:spacing w:after="120"/>
      <w:ind w:leftChars="200" w:left="420"/>
    </w:pPr>
    <w:rPr>
      <w:sz w:val="16"/>
      <w:szCs w:val="16"/>
    </w:rPr>
  </w:style>
  <w:style w:type="paragraph" w:styleId="a8">
    <w:name w:val="Title"/>
    <w:basedOn w:val="a4"/>
    <w:next w:val="a"/>
    <w:link w:val="Char2"/>
    <w:qFormat/>
    <w:pPr>
      <w:jc w:val="center"/>
    </w:pPr>
    <w:rPr>
      <w:rFonts w:ascii="仿宋_GB2312" w:eastAsia="仿宋_GB2312" w:hAnsi="仿宋"/>
    </w:rPr>
  </w:style>
  <w:style w:type="character" w:customStyle="1" w:styleId="Char2">
    <w:name w:val="标题 Char"/>
    <w:link w:val="a8"/>
    <w:qFormat/>
    <w:rPr>
      <w:rFonts w:ascii="仿宋_GB2312" w:eastAsia="仿宋_GB2312" w:hAnsi="仿宋"/>
      <w:kern w:val="2"/>
      <w:sz w:val="21"/>
      <w:szCs w:val="24"/>
    </w:rPr>
  </w:style>
  <w:style w:type="paragraph" w:styleId="a9">
    <w:name w:val="annotation subject"/>
    <w:basedOn w:val="a3"/>
    <w:next w:val="a3"/>
    <w:semiHidden/>
    <w:rPr>
      <w:b/>
      <w:bCs/>
    </w:rPr>
  </w:style>
  <w:style w:type="character" w:styleId="aa">
    <w:name w:val="page number"/>
  </w:style>
  <w:style w:type="character" w:styleId="ab">
    <w:name w:val="annotation reference"/>
    <w:semiHidden/>
    <w:rPr>
      <w:sz w:val="21"/>
      <w:szCs w:val="21"/>
    </w:rPr>
  </w:style>
  <w:style w:type="character" w:customStyle="1" w:styleId="longtext">
    <w:name w:val="long_text"/>
  </w:style>
  <w:style w:type="character" w:customStyle="1" w:styleId="Char0">
    <w:name w:val="页脚 Char"/>
    <w:basedOn w:val="a0"/>
    <w:link w:val="a6"/>
    <w:uiPriority w:val="99"/>
    <w:rsid w:val="0017484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unhideWhenUsed="0"/>
    <w:lsdException w:name="caption" w:uiPriority="35" w:qFormat="1"/>
    <w:lsdException w:name="annotation reference" w:uiPriority="0" w:unhideWhenUsed="0"/>
    <w:lsdException w:name="page number" w:semiHidden="0" w:uiPriority="0" w:unhideWhenUsed="0"/>
    <w:lsdException w:name="Title" w:semiHidden="0" w:uiPriority="0" w:unhideWhenUsed="0" w:qFormat="1"/>
    <w:lsdException w:name="Default Paragraph Font" w:uiPriority="0" w:unhideWhenUsed="0"/>
    <w:lsdException w:name="Body Text" w:semiHidden="0"/>
    <w:lsdException w:name="Subtitle" w:semiHidden="0" w:uiPriority="11" w:unhideWhenUsed="0" w:qFormat="1"/>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uiPriority="0" w:unhideWhenUsed="0"/>
    <w:lsdException w:name="annotation subject" w:uiPriority="0" w:unhideWhenUsed="0"/>
    <w:lsdException w:name="Balloon Text" w:uiPriority="0" w:unhideWhenUsed="0"/>
    <w:lsdException w:name="Table Grid" w:semiHidden="0" w:uiPriority="5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widowControl/>
      <w:spacing w:before="100" w:beforeAutospacing="1" w:after="100" w:afterAutospacing="1" w:line="480" w:lineRule="exact"/>
      <w:jc w:val="center"/>
      <w:outlineLvl w:val="0"/>
    </w:pPr>
    <w:rPr>
      <w:rFonts w:ascii="黑体" w:eastAsia="黑体"/>
      <w:bCs/>
      <w:sz w:val="44"/>
      <w:szCs w:val="44"/>
    </w:rPr>
  </w:style>
  <w:style w:type="paragraph" w:styleId="3">
    <w:name w:val="heading 3"/>
    <w:basedOn w:val="2"/>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Pr>
      <w:rFonts w:ascii="黑体" w:eastAsia="黑体"/>
      <w:bCs/>
      <w:kern w:val="2"/>
      <w:sz w:val="44"/>
      <w:szCs w:val="44"/>
    </w:rPr>
  </w:style>
  <w:style w:type="paragraph" w:styleId="2">
    <w:name w:val="toc 2"/>
    <w:basedOn w:val="a"/>
    <w:next w:val="a"/>
    <w:uiPriority w:val="39"/>
    <w:unhideWhenUsed/>
    <w:pPr>
      <w:ind w:leftChars="200" w:left="420"/>
    </w:pPr>
  </w:style>
  <w:style w:type="character" w:customStyle="1" w:styleId="3Char">
    <w:name w:val="标题 3 Char"/>
    <w:link w:val="3"/>
    <w:qFormat/>
    <w:rPr>
      <w:rFonts w:ascii="黑体" w:eastAsia="黑体" w:hAnsi="黑体"/>
      <w:smallCaps/>
      <w:kern w:val="2"/>
      <w:sz w:val="30"/>
      <w:szCs w:val="30"/>
    </w:rPr>
  </w:style>
  <w:style w:type="paragraph" w:styleId="a3">
    <w:name w:val="annotation text"/>
    <w:basedOn w:val="a"/>
    <w:semiHidden/>
    <w:pPr>
      <w:jc w:val="left"/>
    </w:pPr>
  </w:style>
  <w:style w:type="paragraph" w:styleId="a4">
    <w:name w:val="Body Text"/>
    <w:basedOn w:val="a"/>
    <w:link w:val="Char"/>
    <w:uiPriority w:val="99"/>
    <w:unhideWhenUsed/>
    <w:pPr>
      <w:spacing w:after="120"/>
    </w:pPr>
  </w:style>
  <w:style w:type="character" w:customStyle="1" w:styleId="Char">
    <w:name w:val="正文文本 Char"/>
    <w:link w:val="a4"/>
    <w:uiPriority w:val="99"/>
    <w:semiHidden/>
    <w:rPr>
      <w:kern w:val="2"/>
      <w:sz w:val="21"/>
      <w:szCs w:val="24"/>
    </w:rPr>
  </w:style>
  <w:style w:type="paragraph" w:styleId="20">
    <w:name w:val="Body Text Indent 2"/>
    <w:basedOn w:val="a"/>
    <w:pPr>
      <w:spacing w:line="480" w:lineRule="exact"/>
      <w:ind w:firstLineChars="200" w:firstLine="560"/>
    </w:pPr>
    <w:rPr>
      <w:rFonts w:ascii="仿宋_GB2312" w:eastAsia="仿宋_GB2312"/>
      <w:sz w:val="28"/>
    </w:rPr>
  </w:style>
  <w:style w:type="paragraph" w:styleId="a5">
    <w:name w:val="Balloon Text"/>
    <w:basedOn w:val="a"/>
    <w:semiHidden/>
    <w:rPr>
      <w:sz w:val="18"/>
      <w:szCs w:val="18"/>
    </w:rPr>
  </w:style>
  <w:style w:type="paragraph" w:styleId="a6">
    <w:name w:val="footer"/>
    <w:basedOn w:val="a"/>
    <w:link w:val="Char0"/>
    <w:uiPriority w:val="99"/>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Pr>
      <w:kern w:val="2"/>
      <w:sz w:val="18"/>
      <w:szCs w:val="18"/>
    </w:rPr>
  </w:style>
  <w:style w:type="paragraph" w:styleId="30">
    <w:name w:val="Body Text Indent 3"/>
    <w:basedOn w:val="a"/>
    <w:pPr>
      <w:spacing w:after="120"/>
      <w:ind w:leftChars="200" w:left="420"/>
    </w:pPr>
    <w:rPr>
      <w:sz w:val="16"/>
      <w:szCs w:val="16"/>
    </w:rPr>
  </w:style>
  <w:style w:type="paragraph" w:styleId="a8">
    <w:name w:val="Title"/>
    <w:basedOn w:val="a4"/>
    <w:next w:val="a"/>
    <w:link w:val="Char2"/>
    <w:qFormat/>
    <w:pPr>
      <w:jc w:val="center"/>
    </w:pPr>
    <w:rPr>
      <w:rFonts w:ascii="仿宋_GB2312" w:eastAsia="仿宋_GB2312" w:hAnsi="仿宋"/>
    </w:rPr>
  </w:style>
  <w:style w:type="character" w:customStyle="1" w:styleId="Char2">
    <w:name w:val="标题 Char"/>
    <w:link w:val="a8"/>
    <w:qFormat/>
    <w:rPr>
      <w:rFonts w:ascii="仿宋_GB2312" w:eastAsia="仿宋_GB2312" w:hAnsi="仿宋"/>
      <w:kern w:val="2"/>
      <w:sz w:val="21"/>
      <w:szCs w:val="24"/>
    </w:rPr>
  </w:style>
  <w:style w:type="paragraph" w:styleId="a9">
    <w:name w:val="annotation subject"/>
    <w:basedOn w:val="a3"/>
    <w:next w:val="a3"/>
    <w:semiHidden/>
    <w:rPr>
      <w:b/>
      <w:bCs/>
    </w:rPr>
  </w:style>
  <w:style w:type="character" w:styleId="aa">
    <w:name w:val="page number"/>
  </w:style>
  <w:style w:type="character" w:styleId="ab">
    <w:name w:val="annotation reference"/>
    <w:semiHidden/>
    <w:rPr>
      <w:sz w:val="21"/>
      <w:szCs w:val="21"/>
    </w:rPr>
  </w:style>
  <w:style w:type="character" w:customStyle="1" w:styleId="longtext">
    <w:name w:val="long_text"/>
  </w:style>
  <w:style w:type="character" w:customStyle="1" w:styleId="Char0">
    <w:name w:val="页脚 Char"/>
    <w:basedOn w:val="a0"/>
    <w:link w:val="a6"/>
    <w:uiPriority w:val="99"/>
    <w:rsid w:val="0017484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3878</Words>
  <Characters>161</Characters>
  <Application>Microsoft Office Word</Application>
  <DocSecurity>0</DocSecurity>
  <Lines>1</Lines>
  <Paragraphs>8</Paragraphs>
  <ScaleCrop>false</ScaleCrop>
  <Company>boc</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第四章 信用风险资本计量</dc:title>
  <dc:creator>项目管理/新协议办/风险管理总部/总行/BOC</dc:creator>
  <cp:lastModifiedBy>梁爽</cp:lastModifiedBy>
  <cp:revision>3</cp:revision>
  <dcterms:created xsi:type="dcterms:W3CDTF">2023-02-17T07:14:00Z</dcterms:created>
  <dcterms:modified xsi:type="dcterms:W3CDTF">2023-02-17T07:53:00Z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22088F29CC8F43EB94CB5168A95BFC63</vt:lpwstr>
  </property>
</Properties>
</file>