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395" w:rsidRPr="008A295A" w:rsidRDefault="00BA4395" w:rsidP="008A295A">
      <w:pPr>
        <w:pStyle w:val="a9"/>
        <w:jc w:val="left"/>
        <w:rPr>
          <w:rFonts w:ascii="楷体_GB2312" w:eastAsia="楷体_GB2312"/>
          <w:sz w:val="32"/>
          <w:szCs w:val="30"/>
        </w:rPr>
      </w:pPr>
      <w:bookmarkStart w:id="0" w:name="_GoBack"/>
      <w:bookmarkEnd w:id="0"/>
      <w:r w:rsidRPr="008A295A">
        <w:rPr>
          <w:rFonts w:ascii="楷体_GB2312" w:eastAsia="楷体_GB2312" w:hint="eastAsia"/>
          <w:sz w:val="32"/>
          <w:szCs w:val="30"/>
        </w:rPr>
        <w:t>附件6：</w:t>
      </w:r>
    </w:p>
    <w:p w:rsidR="00BA4395" w:rsidRPr="008A295A" w:rsidRDefault="00BA4395" w:rsidP="00DB6F0E">
      <w:pPr>
        <w:pStyle w:val="1"/>
        <w:ind w:firstLineChars="0" w:firstLine="0"/>
        <w:jc w:val="center"/>
      </w:pPr>
      <w:r w:rsidRPr="008A295A">
        <w:rPr>
          <w:rFonts w:hint="eastAsia"/>
        </w:rPr>
        <w:t>信用风险内部评级</w:t>
      </w:r>
      <w:proofErr w:type="gramStart"/>
      <w:r w:rsidRPr="008A295A">
        <w:rPr>
          <w:rFonts w:hint="eastAsia"/>
        </w:rPr>
        <w:t>法风险</w:t>
      </w:r>
      <w:proofErr w:type="gramEnd"/>
      <w:r w:rsidRPr="008A295A">
        <w:rPr>
          <w:rFonts w:hint="eastAsia"/>
        </w:rPr>
        <w:t>加权资产计量规则</w:t>
      </w:r>
    </w:p>
    <w:p w:rsidR="00BA4395" w:rsidRDefault="00BA4395">
      <w:pPr>
        <w:spacing w:line="480" w:lineRule="exact"/>
        <w:ind w:firstLine="600"/>
        <w:rPr>
          <w:rFonts w:ascii="黑体" w:eastAsia="黑体"/>
          <w:bCs/>
          <w:sz w:val="30"/>
          <w:szCs w:val="30"/>
        </w:rPr>
      </w:pPr>
    </w:p>
    <w:p w:rsidR="00BA4395" w:rsidRDefault="00BA4395">
      <w:pPr>
        <w:spacing w:line="48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商业银行采用内部评级法的，应当按照以下规则计量主权、金融机构、公司和零售风险暴露的信用风险加权资产。</w:t>
      </w:r>
    </w:p>
    <w:p w:rsidR="00BA4395" w:rsidRDefault="00BA4395">
      <w:pPr>
        <w:spacing w:line="480" w:lineRule="exact"/>
        <w:rPr>
          <w:rFonts w:ascii="仿宋_GB2312" w:eastAsia="仿宋_GB2312"/>
          <w:sz w:val="30"/>
          <w:szCs w:val="30"/>
        </w:rPr>
      </w:pPr>
    </w:p>
    <w:p w:rsidR="00BA4395" w:rsidRPr="008A295A" w:rsidRDefault="00BA4395" w:rsidP="008A295A">
      <w:pPr>
        <w:pStyle w:val="2"/>
      </w:pPr>
      <w:r w:rsidRPr="008A295A">
        <w:rPr>
          <w:rFonts w:hint="eastAsia"/>
        </w:rPr>
        <w:t>一、未违约风险暴露的风险加权资产的计量</w:t>
      </w:r>
    </w:p>
    <w:p w:rsidR="00BA4395" w:rsidRPr="008A295A" w:rsidRDefault="00BA4395" w:rsidP="00DB6F0E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8A295A">
        <w:rPr>
          <w:rFonts w:ascii="楷体_GB2312" w:eastAsia="楷体_GB2312" w:hint="eastAsia"/>
          <w:sz w:val="30"/>
          <w:szCs w:val="30"/>
        </w:rPr>
        <w:t>（一）计算信用风险暴露的相关性</w:t>
      </w:r>
      <w:r w:rsidRPr="008A295A">
        <w:rPr>
          <w:rFonts w:ascii="楷体_GB2312" w:eastAsia="楷体_GB2312"/>
          <w:sz w:val="30"/>
          <w:szCs w:val="30"/>
        </w:rPr>
        <w:t>（R）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 主权风险暴露、专业贷款、一般公司风险暴露</w:t>
      </w:r>
    </w:p>
    <w:p w:rsidR="00BA4395" w:rsidRDefault="00BA4395">
      <w:pPr>
        <w:spacing w:line="720" w:lineRule="atLeast"/>
        <w:ind w:firstLineChars="200" w:firstLine="72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/>
          <w:position w:val="-60"/>
          <w:sz w:val="36"/>
          <w:szCs w:val="36"/>
        </w:rPr>
        <w:object w:dxaOrig="536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282.35pt;height:65.95pt;mso-position-horizontal-relative:page;mso-position-vertical-relative:page" o:ole="">
            <v:imagedata r:id="rId7" o:title=""/>
          </v:shape>
          <o:OLEObject Type="Embed" ProgID="Equation.3" ShapeID="对象 1" DrawAspect="Content" ObjectID="_1738154430" r:id="rId8"/>
        </w:objec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 金融机构风险暴露</w:t>
      </w:r>
    </w:p>
    <w:p w:rsidR="00BA4395" w:rsidRDefault="00BA4395">
      <w:pPr>
        <w:spacing w:line="960" w:lineRule="atLeast"/>
        <w:ind w:firstLineChars="200" w:firstLine="600"/>
        <w:rPr>
          <w:rFonts w:ascii="仿宋_GB2312" w:eastAsia="仿宋_GB2312"/>
          <w:sz w:val="30"/>
          <w:szCs w:val="30"/>
          <w:lang w:val="pt-BR"/>
        </w:rPr>
      </w:pPr>
      <w:r>
        <w:rPr>
          <w:rFonts w:ascii="仿宋_GB2312" w:eastAsia="仿宋_GB2312"/>
          <w:position w:val="-62"/>
          <w:sz w:val="30"/>
          <w:szCs w:val="30"/>
          <w:lang w:val="pt-BR"/>
        </w:rPr>
        <w:object w:dxaOrig="6600" w:dyaOrig="1359">
          <v:shape id="对象 2" o:spid="_x0000_i1026" type="#_x0000_t75" style="width:329.85pt;height:67.85pt;mso-position-horizontal-relative:page;mso-position-vertical-relative:page" o:ole="">
            <v:imagedata r:id="rId9" o:title=""/>
          </v:shape>
          <o:OLEObject Type="Embed" ProgID="Equation.3" ShapeID="对象 2" DrawAspect="Content" ObjectID="_1738154431" r:id="rId10"/>
        </w:objec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其中，除全球系统重要性银行、我国系统重要性银行、其他国家或地区系统重要性银行之外的银行类金融机构风险暴露：</w:t>
      </w:r>
    </w:p>
    <w:p w:rsidR="00BA4395" w:rsidRDefault="00BA4395">
      <w:pPr>
        <w:spacing w:line="720" w:lineRule="atLeast"/>
        <w:ind w:firstLineChars="200" w:firstLine="72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/>
          <w:position w:val="-60"/>
          <w:sz w:val="36"/>
          <w:szCs w:val="36"/>
        </w:rPr>
        <w:object w:dxaOrig="5539" w:dyaOrig="1320">
          <v:shape id="对象 3" o:spid="_x0000_i1027" type="#_x0000_t75" style="width:291.75pt;height:65.95pt;mso-position-horizontal-relative:page;mso-position-vertical-relative:page" o:ole="">
            <v:imagedata r:id="rId11" o:title=""/>
          </v:shape>
          <o:OLEObject Type="Embed" ProgID="Equation.3" ShapeID="对象 3" DrawAspect="Content" ObjectID="_1738154432" r:id="rId12"/>
        </w:objec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 中小企业风险暴露</w:t>
      </w:r>
    </w:p>
    <w:p w:rsidR="00BA4395" w:rsidRDefault="00BA4395">
      <w:pPr>
        <w:spacing w:line="640" w:lineRule="atLeas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position w:val="-58"/>
          <w:sz w:val="30"/>
          <w:szCs w:val="30"/>
        </w:rPr>
        <w:object w:dxaOrig="6940" w:dyaOrig="1279">
          <v:shape id="对象 4" o:spid="_x0000_i1028" type="#_x0000_t75" style="width:347.2pt;height:64.1pt;mso-position-horizontal-relative:page;mso-position-vertical-relative:page" o:ole="">
            <v:imagedata r:id="rId13" o:title=""/>
          </v:shape>
          <o:OLEObject Type="Embed" ProgID="Equation.3" ShapeID="对象 4" DrawAspect="Content" ObjectID="_1738154433" r:id="rId14"/>
        </w:objec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S为中小企业近3年营业收入的算术平均值（单位为千万元人民币），低于3</w:t>
      </w:r>
      <w:proofErr w:type="gramStart"/>
      <w:r>
        <w:rPr>
          <w:rFonts w:ascii="仿宋_GB2312" w:eastAsia="仿宋_GB2312" w:hint="eastAsia"/>
          <w:sz w:val="30"/>
          <w:szCs w:val="30"/>
        </w:rPr>
        <w:t>千万</w:t>
      </w:r>
      <w:proofErr w:type="gramEnd"/>
      <w:r>
        <w:rPr>
          <w:rFonts w:ascii="仿宋_GB2312" w:eastAsia="仿宋_GB2312" w:hint="eastAsia"/>
          <w:sz w:val="30"/>
          <w:szCs w:val="30"/>
        </w:rPr>
        <w:t>元人民币的按照3</w:t>
      </w:r>
      <w:proofErr w:type="gramStart"/>
      <w:r>
        <w:rPr>
          <w:rFonts w:ascii="仿宋_GB2312" w:eastAsia="仿宋_GB2312" w:hint="eastAsia"/>
          <w:sz w:val="30"/>
          <w:szCs w:val="30"/>
        </w:rPr>
        <w:t>千万</w:t>
      </w:r>
      <w:proofErr w:type="gramEnd"/>
      <w:r>
        <w:rPr>
          <w:rFonts w:ascii="仿宋_GB2312" w:eastAsia="仿宋_GB2312" w:hint="eastAsia"/>
          <w:sz w:val="30"/>
          <w:szCs w:val="30"/>
        </w:rPr>
        <w:t>元人民币来处理。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 零售风险暴露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个人住房抵押贷款，R</w:t>
      </w:r>
      <w:r>
        <w:rPr>
          <w:rFonts w:ascii="仿宋_GB2312" w:eastAsia="仿宋_GB2312" w:hint="eastAsia"/>
          <w:sz w:val="30"/>
          <w:szCs w:val="30"/>
          <w:vertAlign w:val="subscript"/>
        </w:rPr>
        <w:t>r1</w:t>
      </w:r>
      <w:r>
        <w:rPr>
          <w:rFonts w:ascii="仿宋_GB2312" w:eastAsia="仿宋_GB2312" w:hint="eastAsia"/>
          <w:sz w:val="30"/>
          <w:szCs w:val="30"/>
        </w:rPr>
        <w:t>=0.15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合格循环零售风险暴露，R</w:t>
      </w:r>
      <w:r>
        <w:rPr>
          <w:rFonts w:ascii="仿宋_GB2312" w:eastAsia="仿宋_GB2312" w:hint="eastAsia"/>
          <w:sz w:val="30"/>
          <w:szCs w:val="30"/>
          <w:vertAlign w:val="subscript"/>
        </w:rPr>
        <w:t>r2</w:t>
      </w:r>
      <w:r>
        <w:rPr>
          <w:rFonts w:ascii="仿宋_GB2312" w:eastAsia="仿宋_GB2312" w:hint="eastAsia"/>
          <w:sz w:val="30"/>
          <w:szCs w:val="30"/>
        </w:rPr>
        <w:t>＝0.04</w:t>
      </w:r>
    </w:p>
    <w:p w:rsidR="00BA4395" w:rsidRDefault="00BA4395">
      <w:pPr>
        <w:spacing w:line="480" w:lineRule="exact"/>
        <w:ind w:firstLineChars="200" w:firstLine="600"/>
        <w:rPr>
          <w:rFonts w:ascii="Calibri" w:eastAsia="仿宋_GB2312" w:hAnsi="Calibri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其他零售风险暴露，</w:t>
      </w:r>
    </w:p>
    <w:p w:rsidR="00BA4395" w:rsidRDefault="00BA4395">
      <w:pPr>
        <w:spacing w:line="240" w:lineRule="atLeas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position w:val="-58"/>
          <w:sz w:val="30"/>
          <w:szCs w:val="30"/>
        </w:rPr>
        <w:object w:dxaOrig="4660" w:dyaOrig="1279">
          <v:shape id="对象 5" o:spid="_x0000_i1029" type="#_x0000_t75" style="width:232.95pt;height:64.1pt;mso-position-horizontal-relative:page;mso-position-vertical-relative:page" o:ole="">
            <v:imagedata r:id="rId15" o:title=""/>
          </v:shape>
          <o:OLEObject Type="Embed" ProgID="Equation.3" ShapeID="对象 5" DrawAspect="Content" ObjectID="_1738154434" r:id="rId16"/>
        </w:object>
      </w:r>
    </w:p>
    <w:p w:rsidR="00BA4395" w:rsidRPr="00CE7F43" w:rsidRDefault="00BA4395" w:rsidP="00CE7F43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CE7F43">
        <w:rPr>
          <w:rFonts w:ascii="楷体_GB2312" w:eastAsia="楷体_GB2312" w:hint="eastAsia"/>
          <w:sz w:val="30"/>
          <w:szCs w:val="30"/>
        </w:rPr>
        <w:t>（二） 计算期限调整因子（b）</w:t>
      </w:r>
    </w:p>
    <w:p w:rsidR="00BA4395" w:rsidRDefault="00BA4395">
      <w:pPr>
        <w:spacing w:afterLines="100" w:after="312" w:line="480" w:lineRule="exact"/>
        <w:ind w:firstLine="567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position w:val="-10"/>
          <w:sz w:val="30"/>
          <w:szCs w:val="30"/>
        </w:rPr>
        <w:object w:dxaOrig="3300" w:dyaOrig="379">
          <v:shape id="对象 6" o:spid="_x0000_i1030" type="#_x0000_t75" style="width:165.1pt;height:18.85pt;mso-position-horizontal-relative:page;mso-position-vertical-relative:page" o:ole="">
            <v:imagedata r:id="rId17" o:title=""/>
          </v:shape>
          <o:OLEObject Type="Embed" ProgID="Equation.3" ShapeID="对象 6" DrawAspect="Content" ObjectID="_1738154435" r:id="rId18"/>
        </w:object>
      </w:r>
    </w:p>
    <w:p w:rsidR="00BA4395" w:rsidRPr="00CE7F43" w:rsidRDefault="00BA4395" w:rsidP="00CE7F43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CE7F43">
        <w:rPr>
          <w:rFonts w:ascii="楷体_GB2312" w:eastAsia="楷体_GB2312" w:hint="eastAsia"/>
          <w:sz w:val="30"/>
          <w:szCs w:val="30"/>
        </w:rPr>
        <w:t>（三）计算信用风险暴露的资本要求（K）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 非零售风险暴露</w:t>
      </w:r>
    </w:p>
    <w:p w:rsidR="00BA4395" w:rsidRDefault="00BA4395">
      <w:pPr>
        <w:spacing w:line="240" w:lineRule="atLeas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position w:val="-70"/>
          <w:sz w:val="30"/>
          <w:szCs w:val="30"/>
        </w:rPr>
        <w:object w:dxaOrig="6780" w:dyaOrig="1520">
          <v:shape id="对象 7" o:spid="_x0000_i1031" type="#_x0000_t75" style="width:338.9pt;height:76.15pt;mso-position-horizontal-relative:page;mso-position-vertical-relative:page" o:ole="">
            <v:imagedata r:id="rId19" o:title=""/>
          </v:shape>
          <o:OLEObject Type="Embed" ProgID="Equation.3" ShapeID="对象 7" DrawAspect="Content" ObjectID="_1738154436" r:id="rId20"/>
        </w:object>
      </w:r>
      <w:r>
        <w:rPr>
          <w:rFonts w:ascii="仿宋_GB2312" w:eastAsia="仿宋_GB2312" w:hint="eastAsia"/>
          <w:sz w:val="30"/>
          <w:szCs w:val="30"/>
        </w:rPr>
        <w:t xml:space="preserve">   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 零售风险暴露</w:t>
      </w:r>
    </w:p>
    <w:p w:rsidR="00BA4395" w:rsidRDefault="00BA4395">
      <w:pPr>
        <w:spacing w:line="240" w:lineRule="atLeas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position w:val="-34"/>
          <w:sz w:val="30"/>
          <w:szCs w:val="30"/>
        </w:rPr>
        <w:object w:dxaOrig="6420" w:dyaOrig="799">
          <v:shape id="对象 8" o:spid="_x0000_i1032" type="#_x0000_t75" style="width:321.15pt;height:39.95pt;mso-position-horizontal-relative:page;mso-position-vertical-relative:page" o:ole="">
            <v:imagedata r:id="rId21" o:title=""/>
          </v:shape>
          <o:OLEObject Type="Embed" ProgID="Equation.3" ShapeID="对象 8" DrawAspect="Content" ObjectID="_1738154437" r:id="rId22"/>
        </w:object>
      </w:r>
    </w:p>
    <w:p w:rsidR="00BA4395" w:rsidRPr="00CE7F43" w:rsidRDefault="00BA4395" w:rsidP="00CE7F43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CE7F43">
        <w:rPr>
          <w:rFonts w:ascii="楷体_GB2312" w:eastAsia="楷体_GB2312" w:hint="eastAsia"/>
          <w:sz w:val="30"/>
          <w:szCs w:val="30"/>
        </w:rPr>
        <w:t>（四）计算信用风险暴露的风险加权资产（RWA）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RWA = K×12.5×EAD</w:t>
      </w:r>
    </w:p>
    <w:p w:rsidR="00BA4395" w:rsidRDefault="00BA4395" w:rsidP="00BA4395">
      <w:pPr>
        <w:pStyle w:val="2"/>
        <w:rPr>
          <w:rFonts w:ascii="仿宋_GB2312" w:eastAsia="仿宋_GB2312"/>
          <w:b/>
        </w:rPr>
      </w:pPr>
      <w:r>
        <w:rPr>
          <w:rFonts w:hint="eastAsia"/>
        </w:rPr>
        <w:lastRenderedPageBreak/>
        <w:t>二、已违约风险暴露的风险加权资产的计量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K＝</w:t>
      </w:r>
      <w:r>
        <w:rPr>
          <w:rFonts w:ascii="仿宋_GB2312" w:eastAsia="仿宋_GB2312" w:hint="eastAsia"/>
          <w:sz w:val="30"/>
          <w:szCs w:val="30"/>
        </w:rPr>
        <w:tab/>
        <w:t>Max[0,（LGD－BEEL）]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RWA = K×12.5×EAD</w:t>
      </w:r>
    </w:p>
    <w:p w:rsidR="00BA4395" w:rsidRDefault="00BA4395">
      <w:pPr>
        <w:spacing w:line="4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此处，BEEL是</w:t>
      </w:r>
      <w:proofErr w:type="gramStart"/>
      <w:r>
        <w:rPr>
          <w:rFonts w:ascii="仿宋_GB2312" w:eastAsia="仿宋_GB2312" w:hint="eastAsia"/>
          <w:sz w:val="30"/>
          <w:szCs w:val="30"/>
        </w:rPr>
        <w:t>指考虑</w:t>
      </w:r>
      <w:proofErr w:type="gramEnd"/>
      <w:r>
        <w:rPr>
          <w:rFonts w:ascii="仿宋_GB2312" w:eastAsia="仿宋_GB2312" w:hint="eastAsia"/>
          <w:sz w:val="30"/>
          <w:szCs w:val="30"/>
        </w:rPr>
        <w:t>当前经济环境、法律地位等条件下对已违约风险暴露的预期损失率的最佳估计值。</w:t>
      </w:r>
    </w:p>
    <w:p w:rsidR="00BA4395" w:rsidRDefault="00BA4395">
      <w:pPr>
        <w:spacing w:line="480" w:lineRule="exact"/>
        <w:ind w:firstLine="600"/>
        <w:rPr>
          <w:rFonts w:ascii="仿宋_GB2312" w:eastAsia="仿宋_GB2312"/>
        </w:rPr>
      </w:pPr>
    </w:p>
    <w:sectPr w:rsidR="00BA4395">
      <w:footerReference w:type="default" r:id="rId23"/>
      <w:pgSz w:w="11906" w:h="16838"/>
      <w:pgMar w:top="2268" w:right="1701" w:bottom="170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395" w:rsidRDefault="00BA4395">
      <w:r>
        <w:separator/>
      </w:r>
    </w:p>
  </w:endnote>
  <w:endnote w:type="continuationSeparator" w:id="0">
    <w:p w:rsidR="00BA4395" w:rsidRDefault="00BA4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5581806"/>
      <w:docPartObj>
        <w:docPartGallery w:val="Page Numbers (Bottom of Page)"/>
        <w:docPartUnique/>
      </w:docPartObj>
    </w:sdtPr>
    <w:sdtEndPr/>
    <w:sdtContent>
      <w:p w:rsidR="00BA4395" w:rsidRDefault="00325EC7" w:rsidP="00325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6D8" w:rsidRPr="004B06D8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395" w:rsidRDefault="00BA4395">
      <w:r>
        <w:separator/>
      </w:r>
    </w:p>
  </w:footnote>
  <w:footnote w:type="continuationSeparator" w:id="0">
    <w:p w:rsidR="00BA4395" w:rsidRDefault="00BA4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kZTUwZDg4OGNlMmFiY2NmMGY3MjY4MWFhMmM1YjIifQ=="/>
  </w:docVars>
  <w:rsids>
    <w:rsidRoot w:val="00895CF7"/>
    <w:rsid w:val="00002A6D"/>
    <w:rsid w:val="0004522A"/>
    <w:rsid w:val="00051F33"/>
    <w:rsid w:val="00076671"/>
    <w:rsid w:val="000802A0"/>
    <w:rsid w:val="00080DCA"/>
    <w:rsid w:val="000824E8"/>
    <w:rsid w:val="00087877"/>
    <w:rsid w:val="0009619D"/>
    <w:rsid w:val="00096455"/>
    <w:rsid w:val="000A2A35"/>
    <w:rsid w:val="000C171C"/>
    <w:rsid w:val="000C1C82"/>
    <w:rsid w:val="000D1458"/>
    <w:rsid w:val="000D365E"/>
    <w:rsid w:val="000D6679"/>
    <w:rsid w:val="00100D09"/>
    <w:rsid w:val="00107FAB"/>
    <w:rsid w:val="00126FC9"/>
    <w:rsid w:val="00141ACC"/>
    <w:rsid w:val="00151300"/>
    <w:rsid w:val="001630D8"/>
    <w:rsid w:val="00163E02"/>
    <w:rsid w:val="001641D4"/>
    <w:rsid w:val="00172567"/>
    <w:rsid w:val="00184C9E"/>
    <w:rsid w:val="001A3B08"/>
    <w:rsid w:val="001A3DFC"/>
    <w:rsid w:val="001C1A7B"/>
    <w:rsid w:val="001E0311"/>
    <w:rsid w:val="001E6FAC"/>
    <w:rsid w:val="00221553"/>
    <w:rsid w:val="00225413"/>
    <w:rsid w:val="0023076D"/>
    <w:rsid w:val="00236D38"/>
    <w:rsid w:val="002419D5"/>
    <w:rsid w:val="002512E1"/>
    <w:rsid w:val="002520A7"/>
    <w:rsid w:val="00252835"/>
    <w:rsid w:val="0027638C"/>
    <w:rsid w:val="00283E1A"/>
    <w:rsid w:val="00286F17"/>
    <w:rsid w:val="002A7E95"/>
    <w:rsid w:val="002C4BB4"/>
    <w:rsid w:val="002E15D8"/>
    <w:rsid w:val="002E5A24"/>
    <w:rsid w:val="002F0B08"/>
    <w:rsid w:val="002F4932"/>
    <w:rsid w:val="002F6390"/>
    <w:rsid w:val="00310064"/>
    <w:rsid w:val="00325EC7"/>
    <w:rsid w:val="00342138"/>
    <w:rsid w:val="00345AFF"/>
    <w:rsid w:val="003838E1"/>
    <w:rsid w:val="003A1CA8"/>
    <w:rsid w:val="003A1FBD"/>
    <w:rsid w:val="003A4B66"/>
    <w:rsid w:val="003A7D52"/>
    <w:rsid w:val="003B01B1"/>
    <w:rsid w:val="00406608"/>
    <w:rsid w:val="00416E79"/>
    <w:rsid w:val="0043099F"/>
    <w:rsid w:val="00440B57"/>
    <w:rsid w:val="0046663B"/>
    <w:rsid w:val="004A62C7"/>
    <w:rsid w:val="004B06D8"/>
    <w:rsid w:val="004F4A72"/>
    <w:rsid w:val="004F6326"/>
    <w:rsid w:val="00500FA2"/>
    <w:rsid w:val="00517D61"/>
    <w:rsid w:val="005418CB"/>
    <w:rsid w:val="00542760"/>
    <w:rsid w:val="005511C1"/>
    <w:rsid w:val="00553BD9"/>
    <w:rsid w:val="0056271F"/>
    <w:rsid w:val="005679A5"/>
    <w:rsid w:val="0057534B"/>
    <w:rsid w:val="005D274B"/>
    <w:rsid w:val="005F027A"/>
    <w:rsid w:val="00602F92"/>
    <w:rsid w:val="006114BE"/>
    <w:rsid w:val="00616F62"/>
    <w:rsid w:val="00617C2B"/>
    <w:rsid w:val="00623A82"/>
    <w:rsid w:val="006429E1"/>
    <w:rsid w:val="00653C98"/>
    <w:rsid w:val="006549D2"/>
    <w:rsid w:val="00664D95"/>
    <w:rsid w:val="006715E9"/>
    <w:rsid w:val="00696E88"/>
    <w:rsid w:val="006A18C7"/>
    <w:rsid w:val="006B29CE"/>
    <w:rsid w:val="006E18CF"/>
    <w:rsid w:val="006E5242"/>
    <w:rsid w:val="006F7164"/>
    <w:rsid w:val="007044AD"/>
    <w:rsid w:val="00712695"/>
    <w:rsid w:val="00714D7C"/>
    <w:rsid w:val="007309E2"/>
    <w:rsid w:val="0073238D"/>
    <w:rsid w:val="0073360F"/>
    <w:rsid w:val="0074560E"/>
    <w:rsid w:val="00750DCB"/>
    <w:rsid w:val="00752B8B"/>
    <w:rsid w:val="00794852"/>
    <w:rsid w:val="00832184"/>
    <w:rsid w:val="0087298A"/>
    <w:rsid w:val="008746AE"/>
    <w:rsid w:val="0089016D"/>
    <w:rsid w:val="00895CF7"/>
    <w:rsid w:val="008A1355"/>
    <w:rsid w:val="008A295A"/>
    <w:rsid w:val="008C1CCF"/>
    <w:rsid w:val="008C6EBF"/>
    <w:rsid w:val="008E43FB"/>
    <w:rsid w:val="00940540"/>
    <w:rsid w:val="009551F5"/>
    <w:rsid w:val="00971FBC"/>
    <w:rsid w:val="0097647A"/>
    <w:rsid w:val="00990380"/>
    <w:rsid w:val="00995C2A"/>
    <w:rsid w:val="009E1314"/>
    <w:rsid w:val="009F48BF"/>
    <w:rsid w:val="00A06EB4"/>
    <w:rsid w:val="00A0746C"/>
    <w:rsid w:val="00A15E45"/>
    <w:rsid w:val="00A27EC2"/>
    <w:rsid w:val="00A416C3"/>
    <w:rsid w:val="00A42B25"/>
    <w:rsid w:val="00A5416F"/>
    <w:rsid w:val="00A750DA"/>
    <w:rsid w:val="00A85E37"/>
    <w:rsid w:val="00A950F7"/>
    <w:rsid w:val="00AA73D2"/>
    <w:rsid w:val="00AC0A21"/>
    <w:rsid w:val="00AD0C33"/>
    <w:rsid w:val="00AD0DC3"/>
    <w:rsid w:val="00B038D0"/>
    <w:rsid w:val="00B37822"/>
    <w:rsid w:val="00B461CE"/>
    <w:rsid w:val="00B51C38"/>
    <w:rsid w:val="00B60F32"/>
    <w:rsid w:val="00B64CB1"/>
    <w:rsid w:val="00B71D2E"/>
    <w:rsid w:val="00B74499"/>
    <w:rsid w:val="00B9337A"/>
    <w:rsid w:val="00BA4395"/>
    <w:rsid w:val="00BA7C78"/>
    <w:rsid w:val="00BB50A6"/>
    <w:rsid w:val="00BB52F7"/>
    <w:rsid w:val="00BB7521"/>
    <w:rsid w:val="00BD050A"/>
    <w:rsid w:val="00BD2BF9"/>
    <w:rsid w:val="00BD4C57"/>
    <w:rsid w:val="00BE1275"/>
    <w:rsid w:val="00BE270F"/>
    <w:rsid w:val="00BE4611"/>
    <w:rsid w:val="00C079B8"/>
    <w:rsid w:val="00C30F8E"/>
    <w:rsid w:val="00C34589"/>
    <w:rsid w:val="00C35189"/>
    <w:rsid w:val="00C4761F"/>
    <w:rsid w:val="00C5052E"/>
    <w:rsid w:val="00C5161C"/>
    <w:rsid w:val="00C54ED0"/>
    <w:rsid w:val="00C615C5"/>
    <w:rsid w:val="00C70B23"/>
    <w:rsid w:val="00C7154C"/>
    <w:rsid w:val="00CA52C9"/>
    <w:rsid w:val="00CE1FEC"/>
    <w:rsid w:val="00CE7F43"/>
    <w:rsid w:val="00CF0D01"/>
    <w:rsid w:val="00D0795C"/>
    <w:rsid w:val="00D15995"/>
    <w:rsid w:val="00D2408B"/>
    <w:rsid w:val="00D30C6A"/>
    <w:rsid w:val="00D32948"/>
    <w:rsid w:val="00D34068"/>
    <w:rsid w:val="00D34FEA"/>
    <w:rsid w:val="00D358D2"/>
    <w:rsid w:val="00D363FC"/>
    <w:rsid w:val="00D54D93"/>
    <w:rsid w:val="00D63AF5"/>
    <w:rsid w:val="00D7383A"/>
    <w:rsid w:val="00D86EB2"/>
    <w:rsid w:val="00D8716D"/>
    <w:rsid w:val="00D91E25"/>
    <w:rsid w:val="00DA3302"/>
    <w:rsid w:val="00DA691A"/>
    <w:rsid w:val="00DB6F0E"/>
    <w:rsid w:val="00DC7AC1"/>
    <w:rsid w:val="00DD18E2"/>
    <w:rsid w:val="00DE4BE1"/>
    <w:rsid w:val="00E05DBB"/>
    <w:rsid w:val="00E07901"/>
    <w:rsid w:val="00E100E6"/>
    <w:rsid w:val="00E218F1"/>
    <w:rsid w:val="00E46D42"/>
    <w:rsid w:val="00E470AD"/>
    <w:rsid w:val="00E70EF5"/>
    <w:rsid w:val="00E71250"/>
    <w:rsid w:val="00E9204F"/>
    <w:rsid w:val="00EA4165"/>
    <w:rsid w:val="00EB0CA8"/>
    <w:rsid w:val="00EC15F7"/>
    <w:rsid w:val="00ED3AA7"/>
    <w:rsid w:val="00EE67DD"/>
    <w:rsid w:val="00EF7F39"/>
    <w:rsid w:val="00F01D3F"/>
    <w:rsid w:val="00F17CD6"/>
    <w:rsid w:val="00F41EE3"/>
    <w:rsid w:val="00F5115E"/>
    <w:rsid w:val="00F90224"/>
    <w:rsid w:val="00F94B57"/>
    <w:rsid w:val="00F977B6"/>
    <w:rsid w:val="00FA3618"/>
    <w:rsid w:val="00FB041D"/>
    <w:rsid w:val="00FB7105"/>
    <w:rsid w:val="00FE0DE4"/>
    <w:rsid w:val="00FE6361"/>
    <w:rsid w:val="024354B2"/>
    <w:rsid w:val="02BF67C8"/>
    <w:rsid w:val="03E12E21"/>
    <w:rsid w:val="041307AA"/>
    <w:rsid w:val="061E5C62"/>
    <w:rsid w:val="08C705CD"/>
    <w:rsid w:val="09585994"/>
    <w:rsid w:val="0B977ACB"/>
    <w:rsid w:val="0BD92059"/>
    <w:rsid w:val="0C7019F5"/>
    <w:rsid w:val="0CB67A88"/>
    <w:rsid w:val="0FCF39FD"/>
    <w:rsid w:val="112C4225"/>
    <w:rsid w:val="130D604D"/>
    <w:rsid w:val="14C51E42"/>
    <w:rsid w:val="182C69D3"/>
    <w:rsid w:val="1C2737F4"/>
    <w:rsid w:val="1EBA5EF9"/>
    <w:rsid w:val="21652D8C"/>
    <w:rsid w:val="23702FF2"/>
    <w:rsid w:val="24295FA2"/>
    <w:rsid w:val="24ED5511"/>
    <w:rsid w:val="30AD6689"/>
    <w:rsid w:val="326A3947"/>
    <w:rsid w:val="33A11F28"/>
    <w:rsid w:val="33B0570A"/>
    <w:rsid w:val="343C651C"/>
    <w:rsid w:val="35752A9B"/>
    <w:rsid w:val="36992F28"/>
    <w:rsid w:val="37324DAA"/>
    <w:rsid w:val="39975968"/>
    <w:rsid w:val="3EB25806"/>
    <w:rsid w:val="3F6F778C"/>
    <w:rsid w:val="432C2358"/>
    <w:rsid w:val="449B5B43"/>
    <w:rsid w:val="479714FB"/>
    <w:rsid w:val="4AC528E2"/>
    <w:rsid w:val="4BEA0FF6"/>
    <w:rsid w:val="4CA75BCB"/>
    <w:rsid w:val="4D5257AF"/>
    <w:rsid w:val="4FE00D94"/>
    <w:rsid w:val="518C102A"/>
    <w:rsid w:val="52F80755"/>
    <w:rsid w:val="532E47B7"/>
    <w:rsid w:val="5BC90A80"/>
    <w:rsid w:val="5D595B43"/>
    <w:rsid w:val="5E7775E8"/>
    <w:rsid w:val="623450A9"/>
    <w:rsid w:val="62DD4740"/>
    <w:rsid w:val="65C27AD0"/>
    <w:rsid w:val="66360D85"/>
    <w:rsid w:val="67E25CBA"/>
    <w:rsid w:val="6D535431"/>
    <w:rsid w:val="6FB46D6A"/>
    <w:rsid w:val="71656807"/>
    <w:rsid w:val="730E3929"/>
    <w:rsid w:val="74C657B9"/>
    <w:rsid w:val="79B04FFB"/>
    <w:rsid w:val="7D06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link w:val="1Char"/>
    <w:qFormat/>
    <w:rsid w:val="008A295A"/>
    <w:pPr>
      <w:outlineLvl w:val="0"/>
    </w:pPr>
    <w:rPr>
      <w:sz w:val="44"/>
    </w:rPr>
  </w:style>
  <w:style w:type="paragraph" w:styleId="2">
    <w:name w:val="heading 2"/>
    <w:basedOn w:val="3"/>
    <w:next w:val="a"/>
    <w:link w:val="2Char"/>
    <w:qFormat/>
    <w:rsid w:val="008A295A"/>
    <w:pPr>
      <w:outlineLvl w:val="1"/>
    </w:pPr>
  </w:style>
  <w:style w:type="paragraph" w:styleId="3">
    <w:name w:val="heading 3"/>
    <w:basedOn w:val="20"/>
    <w:next w:val="a"/>
    <w:link w:val="3Char"/>
    <w:qFormat/>
    <w:rsid w:val="008A295A"/>
    <w:pPr>
      <w:ind w:leftChars="0" w:left="0" w:firstLineChars="200" w:firstLine="600"/>
      <w:jc w:val="left"/>
      <w:outlineLvl w:val="2"/>
    </w:pPr>
    <w:rPr>
      <w:rFonts w:ascii="黑体" w:eastAsia="黑体" w:hAnsi="黑体"/>
      <w:smallCaps/>
      <w:sz w:val="30"/>
      <w:szCs w:val="30"/>
    </w:rPr>
  </w:style>
  <w:style w:type="paragraph" w:styleId="4">
    <w:name w:val="heading 4"/>
    <w:basedOn w:val="3"/>
    <w:next w:val="a"/>
    <w:link w:val="4Char"/>
    <w:qFormat/>
    <w:rsid w:val="008A295A"/>
    <w:pPr>
      <w:outlineLvl w:val="3"/>
    </w:pPr>
    <w:rPr>
      <w:rFonts w:ascii="楷体_GB2312" w:eastAsia="楷体_GB2312" w:hAnsi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jc w:val="left"/>
    </w:pPr>
  </w:style>
  <w:style w:type="character" w:customStyle="1" w:styleId="Char">
    <w:name w:val="批注文字 Char"/>
    <w:link w:val="a3"/>
    <w:semiHidden/>
    <w:rPr>
      <w:kern w:val="2"/>
      <w:sz w:val="21"/>
      <w:szCs w:val="24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6"/>
    <w:rPr>
      <w:kern w:val="2"/>
      <w:sz w:val="18"/>
      <w:szCs w:val="18"/>
    </w:rPr>
  </w:style>
  <w:style w:type="paragraph" w:styleId="a7">
    <w:name w:val="annotation subject"/>
    <w:basedOn w:val="a3"/>
    <w:next w:val="a3"/>
    <w:link w:val="Char2"/>
    <w:rPr>
      <w:b/>
      <w:bCs/>
    </w:rPr>
  </w:style>
  <w:style w:type="character" w:customStyle="1" w:styleId="Char2">
    <w:name w:val="批注主题 Char"/>
    <w:link w:val="a7"/>
  </w:style>
  <w:style w:type="character" w:styleId="a8">
    <w:name w:val="annotation reference"/>
    <w:semiHidden/>
    <w:rPr>
      <w:sz w:val="21"/>
      <w:szCs w:val="21"/>
    </w:rPr>
  </w:style>
  <w:style w:type="paragraph" w:styleId="a9">
    <w:name w:val="Title"/>
    <w:basedOn w:val="aa"/>
    <w:next w:val="a"/>
    <w:link w:val="Char3"/>
    <w:qFormat/>
    <w:rsid w:val="008A295A"/>
    <w:pPr>
      <w:jc w:val="center"/>
    </w:pPr>
    <w:rPr>
      <w:rFonts w:ascii="仿宋_GB2312" w:eastAsia="仿宋_GB2312" w:hAnsi="仿宋"/>
    </w:rPr>
  </w:style>
  <w:style w:type="character" w:customStyle="1" w:styleId="Char3">
    <w:name w:val="标题 Char"/>
    <w:link w:val="a9"/>
    <w:qFormat/>
    <w:rsid w:val="008A295A"/>
    <w:rPr>
      <w:rFonts w:ascii="仿宋_GB2312" w:eastAsia="仿宋_GB2312" w:hAnsi="仿宋"/>
      <w:kern w:val="2"/>
      <w:sz w:val="21"/>
      <w:szCs w:val="24"/>
    </w:rPr>
  </w:style>
  <w:style w:type="paragraph" w:styleId="aa">
    <w:name w:val="Body Text"/>
    <w:basedOn w:val="a"/>
    <w:link w:val="Char4"/>
    <w:rsid w:val="008A295A"/>
    <w:pPr>
      <w:spacing w:after="120"/>
    </w:pPr>
  </w:style>
  <w:style w:type="character" w:customStyle="1" w:styleId="Char4">
    <w:name w:val="正文文本 Char"/>
    <w:link w:val="aa"/>
    <w:rsid w:val="008A295A"/>
    <w:rPr>
      <w:kern w:val="2"/>
      <w:sz w:val="21"/>
      <w:szCs w:val="24"/>
    </w:rPr>
  </w:style>
  <w:style w:type="character" w:customStyle="1" w:styleId="2Char">
    <w:name w:val="标题 2 Char"/>
    <w:link w:val="2"/>
    <w:qFormat/>
    <w:rsid w:val="008A295A"/>
    <w:rPr>
      <w:rFonts w:ascii="黑体" w:eastAsia="黑体" w:hAnsi="黑体"/>
      <w:smallCaps/>
      <w:kern w:val="2"/>
      <w:sz w:val="30"/>
      <w:szCs w:val="30"/>
    </w:rPr>
  </w:style>
  <w:style w:type="paragraph" w:styleId="10">
    <w:name w:val="toc 1"/>
    <w:basedOn w:val="a"/>
    <w:next w:val="a"/>
    <w:autoRedefine/>
    <w:rsid w:val="008A295A"/>
  </w:style>
  <w:style w:type="character" w:customStyle="1" w:styleId="3Char">
    <w:name w:val="标题 3 Char"/>
    <w:link w:val="3"/>
    <w:qFormat/>
    <w:rsid w:val="008A295A"/>
    <w:rPr>
      <w:rFonts w:ascii="黑体" w:eastAsia="黑体" w:hAnsi="黑体"/>
      <w:smallCaps/>
      <w:kern w:val="2"/>
      <w:sz w:val="30"/>
      <w:szCs w:val="30"/>
    </w:rPr>
  </w:style>
  <w:style w:type="paragraph" w:styleId="20">
    <w:name w:val="toc 2"/>
    <w:basedOn w:val="a"/>
    <w:next w:val="a"/>
    <w:autoRedefine/>
    <w:rsid w:val="008A295A"/>
    <w:pPr>
      <w:ind w:leftChars="200" w:left="420"/>
    </w:pPr>
  </w:style>
  <w:style w:type="character" w:customStyle="1" w:styleId="1Char">
    <w:name w:val="标题 1 Char"/>
    <w:link w:val="1"/>
    <w:rsid w:val="008A295A"/>
    <w:rPr>
      <w:rFonts w:ascii="黑体" w:eastAsia="黑体" w:hAnsi="黑体"/>
      <w:bCs/>
      <w:caps/>
      <w:kern w:val="2"/>
      <w:sz w:val="44"/>
      <w:szCs w:val="32"/>
    </w:rPr>
  </w:style>
  <w:style w:type="character" w:customStyle="1" w:styleId="4Char">
    <w:name w:val="标题 4 Char"/>
    <w:link w:val="4"/>
    <w:qFormat/>
    <w:rsid w:val="008A295A"/>
    <w:rPr>
      <w:rFonts w:ascii="楷体_GB2312" w:eastAsia="楷体_GB2312" w:hAnsi="楷体"/>
      <w:smallCaps/>
      <w:kern w:val="2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link w:val="1Char"/>
    <w:qFormat/>
    <w:rsid w:val="008A295A"/>
    <w:pPr>
      <w:outlineLvl w:val="0"/>
    </w:pPr>
    <w:rPr>
      <w:sz w:val="44"/>
    </w:rPr>
  </w:style>
  <w:style w:type="paragraph" w:styleId="2">
    <w:name w:val="heading 2"/>
    <w:basedOn w:val="3"/>
    <w:next w:val="a"/>
    <w:link w:val="2Char"/>
    <w:qFormat/>
    <w:rsid w:val="008A295A"/>
    <w:pPr>
      <w:outlineLvl w:val="1"/>
    </w:pPr>
  </w:style>
  <w:style w:type="paragraph" w:styleId="3">
    <w:name w:val="heading 3"/>
    <w:basedOn w:val="20"/>
    <w:next w:val="a"/>
    <w:link w:val="3Char"/>
    <w:qFormat/>
    <w:rsid w:val="008A295A"/>
    <w:pPr>
      <w:ind w:leftChars="0" w:left="0" w:firstLineChars="200" w:firstLine="600"/>
      <w:jc w:val="left"/>
      <w:outlineLvl w:val="2"/>
    </w:pPr>
    <w:rPr>
      <w:rFonts w:ascii="黑体" w:eastAsia="黑体" w:hAnsi="黑体"/>
      <w:smallCaps/>
      <w:sz w:val="30"/>
      <w:szCs w:val="30"/>
    </w:rPr>
  </w:style>
  <w:style w:type="paragraph" w:styleId="4">
    <w:name w:val="heading 4"/>
    <w:basedOn w:val="3"/>
    <w:next w:val="a"/>
    <w:link w:val="4Char"/>
    <w:qFormat/>
    <w:rsid w:val="008A295A"/>
    <w:pPr>
      <w:outlineLvl w:val="3"/>
    </w:pPr>
    <w:rPr>
      <w:rFonts w:ascii="楷体_GB2312" w:eastAsia="楷体_GB2312" w:hAnsi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jc w:val="left"/>
    </w:pPr>
  </w:style>
  <w:style w:type="character" w:customStyle="1" w:styleId="Char">
    <w:name w:val="批注文字 Char"/>
    <w:link w:val="a3"/>
    <w:semiHidden/>
    <w:rPr>
      <w:kern w:val="2"/>
      <w:sz w:val="21"/>
      <w:szCs w:val="24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6"/>
    <w:rPr>
      <w:kern w:val="2"/>
      <w:sz w:val="18"/>
      <w:szCs w:val="18"/>
    </w:rPr>
  </w:style>
  <w:style w:type="paragraph" w:styleId="a7">
    <w:name w:val="annotation subject"/>
    <w:basedOn w:val="a3"/>
    <w:next w:val="a3"/>
    <w:link w:val="Char2"/>
    <w:rPr>
      <w:b/>
      <w:bCs/>
    </w:rPr>
  </w:style>
  <w:style w:type="character" w:customStyle="1" w:styleId="Char2">
    <w:name w:val="批注主题 Char"/>
    <w:link w:val="a7"/>
  </w:style>
  <w:style w:type="character" w:styleId="a8">
    <w:name w:val="annotation reference"/>
    <w:semiHidden/>
    <w:rPr>
      <w:sz w:val="21"/>
      <w:szCs w:val="21"/>
    </w:rPr>
  </w:style>
  <w:style w:type="paragraph" w:styleId="a9">
    <w:name w:val="Title"/>
    <w:basedOn w:val="aa"/>
    <w:next w:val="a"/>
    <w:link w:val="Char3"/>
    <w:qFormat/>
    <w:rsid w:val="008A295A"/>
    <w:pPr>
      <w:jc w:val="center"/>
    </w:pPr>
    <w:rPr>
      <w:rFonts w:ascii="仿宋_GB2312" w:eastAsia="仿宋_GB2312" w:hAnsi="仿宋"/>
    </w:rPr>
  </w:style>
  <w:style w:type="character" w:customStyle="1" w:styleId="Char3">
    <w:name w:val="标题 Char"/>
    <w:link w:val="a9"/>
    <w:qFormat/>
    <w:rsid w:val="008A295A"/>
    <w:rPr>
      <w:rFonts w:ascii="仿宋_GB2312" w:eastAsia="仿宋_GB2312" w:hAnsi="仿宋"/>
      <w:kern w:val="2"/>
      <w:sz w:val="21"/>
      <w:szCs w:val="24"/>
    </w:rPr>
  </w:style>
  <w:style w:type="paragraph" w:styleId="aa">
    <w:name w:val="Body Text"/>
    <w:basedOn w:val="a"/>
    <w:link w:val="Char4"/>
    <w:rsid w:val="008A295A"/>
    <w:pPr>
      <w:spacing w:after="120"/>
    </w:pPr>
  </w:style>
  <w:style w:type="character" w:customStyle="1" w:styleId="Char4">
    <w:name w:val="正文文本 Char"/>
    <w:link w:val="aa"/>
    <w:rsid w:val="008A295A"/>
    <w:rPr>
      <w:kern w:val="2"/>
      <w:sz w:val="21"/>
      <w:szCs w:val="24"/>
    </w:rPr>
  </w:style>
  <w:style w:type="character" w:customStyle="1" w:styleId="2Char">
    <w:name w:val="标题 2 Char"/>
    <w:link w:val="2"/>
    <w:qFormat/>
    <w:rsid w:val="008A295A"/>
    <w:rPr>
      <w:rFonts w:ascii="黑体" w:eastAsia="黑体" w:hAnsi="黑体"/>
      <w:smallCaps/>
      <w:kern w:val="2"/>
      <w:sz w:val="30"/>
      <w:szCs w:val="30"/>
    </w:rPr>
  </w:style>
  <w:style w:type="paragraph" w:styleId="10">
    <w:name w:val="toc 1"/>
    <w:basedOn w:val="a"/>
    <w:next w:val="a"/>
    <w:autoRedefine/>
    <w:rsid w:val="008A295A"/>
  </w:style>
  <w:style w:type="character" w:customStyle="1" w:styleId="3Char">
    <w:name w:val="标题 3 Char"/>
    <w:link w:val="3"/>
    <w:qFormat/>
    <w:rsid w:val="008A295A"/>
    <w:rPr>
      <w:rFonts w:ascii="黑体" w:eastAsia="黑体" w:hAnsi="黑体"/>
      <w:smallCaps/>
      <w:kern w:val="2"/>
      <w:sz w:val="30"/>
      <w:szCs w:val="30"/>
    </w:rPr>
  </w:style>
  <w:style w:type="paragraph" w:styleId="20">
    <w:name w:val="toc 2"/>
    <w:basedOn w:val="a"/>
    <w:next w:val="a"/>
    <w:autoRedefine/>
    <w:rsid w:val="008A295A"/>
    <w:pPr>
      <w:ind w:leftChars="200" w:left="420"/>
    </w:pPr>
  </w:style>
  <w:style w:type="character" w:customStyle="1" w:styleId="1Char">
    <w:name w:val="标题 1 Char"/>
    <w:link w:val="1"/>
    <w:rsid w:val="008A295A"/>
    <w:rPr>
      <w:rFonts w:ascii="黑体" w:eastAsia="黑体" w:hAnsi="黑体"/>
      <w:bCs/>
      <w:caps/>
      <w:kern w:val="2"/>
      <w:sz w:val="44"/>
      <w:szCs w:val="32"/>
    </w:rPr>
  </w:style>
  <w:style w:type="character" w:customStyle="1" w:styleId="4Char">
    <w:name w:val="标题 4 Char"/>
    <w:link w:val="4"/>
    <w:qFormat/>
    <w:rsid w:val="008A295A"/>
    <w:rPr>
      <w:rFonts w:ascii="楷体_GB2312" w:eastAsia="楷体_GB2312" w:hAnsi="楷体"/>
      <w:smallCaps/>
      <w:kern w:val="2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91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274</Characters>
  <Application>Microsoft Office Word</Application>
  <DocSecurity>0</DocSecurity>
  <Lines>2</Lines>
  <Paragraphs>1</Paragraphs>
  <ScaleCrop>false</ScaleCrop>
  <Company>cbrc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第一条</dc:title>
  <dc:creator>user</dc:creator>
  <cp:lastModifiedBy>梁爽</cp:lastModifiedBy>
  <cp:revision>3</cp:revision>
  <cp:lastPrinted>2012-02-12T03:22:00Z</cp:lastPrinted>
  <dcterms:created xsi:type="dcterms:W3CDTF">2023-02-17T07:13:00Z</dcterms:created>
  <dcterms:modified xsi:type="dcterms:W3CDTF">2023-02-17T07:54:00Z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5C1FDD0B12A444BDA6E94D508B2A4D6F</vt:lpwstr>
  </property>
</Properties>
</file>