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100" w:rsidRDefault="00174B88">
      <w:pPr>
        <w:pStyle w:val="a7"/>
        <w:jc w:val="left"/>
        <w:rPr>
          <w:rFonts w:ascii="楷体_GB2312" w:eastAsia="楷体_GB2312"/>
          <w:sz w:val="32"/>
          <w:szCs w:val="30"/>
        </w:rPr>
      </w:pPr>
      <w:bookmarkStart w:id="0" w:name="_GoBack"/>
      <w:bookmarkEnd w:id="0"/>
      <w:r>
        <w:rPr>
          <w:rFonts w:ascii="楷体_GB2312" w:eastAsia="楷体_GB2312" w:hint="eastAsia"/>
          <w:sz w:val="32"/>
          <w:szCs w:val="30"/>
        </w:rPr>
        <w:t>附件7:</w:t>
      </w:r>
    </w:p>
    <w:p w:rsidR="00AA4100" w:rsidRDefault="00174B88">
      <w:pPr>
        <w:pStyle w:val="1"/>
      </w:pPr>
      <w:r>
        <w:rPr>
          <w:rFonts w:hint="eastAsia"/>
        </w:rPr>
        <w:t>信用风险内部评级</w:t>
      </w:r>
      <w:proofErr w:type="gramStart"/>
      <w:r>
        <w:rPr>
          <w:rFonts w:hint="eastAsia"/>
        </w:rPr>
        <w:t>法风险</w:t>
      </w:r>
      <w:proofErr w:type="gramEnd"/>
      <w:r>
        <w:rPr>
          <w:rFonts w:hint="eastAsia"/>
        </w:rPr>
        <w:t>缓释监管要求</w:t>
      </w:r>
    </w:p>
    <w:p w:rsidR="00AA4100" w:rsidRPr="00F3765D" w:rsidRDefault="00AA4100">
      <w:pPr>
        <w:jc w:val="center"/>
        <w:rPr>
          <w:rFonts w:ascii="仿宋_GB2312" w:eastAsia="仿宋_GB2312" w:hAnsi="黑体" w:cs="黑体"/>
          <w:b/>
          <w:sz w:val="36"/>
          <w:szCs w:val="36"/>
        </w:rPr>
      </w:pPr>
    </w:p>
    <w:p w:rsidR="00AA4100" w:rsidRDefault="00174B88">
      <w:pPr>
        <w:pStyle w:val="2"/>
      </w:pPr>
      <w:r>
        <w:rPr>
          <w:rFonts w:hint="eastAsia"/>
        </w:rPr>
        <w:t>一、总体要求</w:t>
      </w:r>
    </w:p>
    <w:p w:rsidR="00AA4100" w:rsidRDefault="00174B88">
      <w:pPr>
        <w:spacing w:line="480" w:lineRule="exact"/>
        <w:ind w:firstLineChars="200" w:firstLine="600"/>
        <w:rPr>
          <w:rFonts w:ascii="仿宋_GB2312" w:eastAsia="仿宋_GB2312" w:hAnsi="Times New Roman" w:cs="Times New Roman"/>
          <w:sz w:val="30"/>
          <w:szCs w:val="30"/>
        </w:rPr>
      </w:pPr>
      <w:r>
        <w:rPr>
          <w:rFonts w:ascii="仿宋_GB2312" w:eastAsia="仿宋_GB2312" w:hAnsi="Times New Roman" w:cs="Times New Roman" w:hint="eastAsia"/>
          <w:sz w:val="30"/>
          <w:szCs w:val="30"/>
        </w:rPr>
        <w:t>（一）信用风险缓释是指商业银行运用合格的抵质押品、净额结算、保证和信用衍生工具等方式转移或降低信用风险。商业银行采用内部评级法计量信用风险监管资本，信用风险缓释功能体现为违约概率、违约损失率或违约风险暴露的下降。</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（二）信用风险缓释应遵循以下原则：</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1．合法性原则。信用风险缓释工具应符合国家法律规定，确保可实施。</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2．有效性原则。信用风险缓释工具应手续完备，确有代偿能力并易于实现。</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3．审慎性原则。商业银行应考虑使用信用风险缓释工具可能带来的风险因素，保守估计信用风险缓释作用。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4．一致性原则。商业银行认定保证或信用衍生工具的信用风险缓释作用时，应对保证或信用衍生工具覆盖部分风险暴露使用与保证人或信用保护提供方直接风险暴露一致的计量方式。</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5．独立性原则。信用风险缓释工具、因风险缓释带来的剩余风险与债务人风险之间不应具有实质的正相关性。</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（三）信用风险缓释管理的一般要求：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1．商业银行应进行有效的法律审查，确保认可和使用信用风险缓释工具时依据明确可执行的法律文件，且相关法律文件对交易各方均有约束力。</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 xml:space="preserve">2．商业银行应在相关协议中明确约定信用风险缓释覆盖的范围。 </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3．商业银行不能重复考虑信用风险缓释的作用。信用风险</w:t>
      </w:r>
      <w:r>
        <w:rPr>
          <w:rFonts w:ascii="仿宋_GB2312" w:eastAsia="仿宋_GB2312" w:hAnsi="仿宋" w:cs="仿宋" w:hint="eastAsia"/>
          <w:sz w:val="30"/>
          <w:szCs w:val="30"/>
        </w:rPr>
        <w:lastRenderedPageBreak/>
        <w:t>缓释作用只能在债务人评级、债项评级或违约风险暴露估计中反映一次。</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4．商业银行应保守地估计信用风险缓释工具与债务人风险之间的相关性，并综合考虑币种错配、期限错配等风险因素。</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5．商业银行应制定明确的内部管理制度、审查和操作流程，并建立相应的信息系统，确保信用风险缓释工具的作用有效发挥。</w:t>
      </w:r>
    </w:p>
    <w:p w:rsidR="00AA4100" w:rsidRDefault="00174B88">
      <w:pPr>
        <w:pStyle w:val="2"/>
      </w:pPr>
      <w:r>
        <w:rPr>
          <w:rFonts w:hint="eastAsia"/>
        </w:rPr>
        <w:t>二、合格抵质押品</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（一）合格抵质押品包括金融质押品、应收账款、商用房地产和居住用房地产以及其他抵质押品。</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商业银行采用初级内部评级法，应在本</w:t>
      </w:r>
      <w:proofErr w:type="gramStart"/>
      <w:r>
        <w:rPr>
          <w:rFonts w:ascii="仿宋_GB2312" w:eastAsia="仿宋_GB2312" w:hAnsi="仿宋" w:cs="仿宋" w:hint="eastAsia"/>
          <w:sz w:val="30"/>
          <w:szCs w:val="30"/>
        </w:rPr>
        <w:t>附件第六部分规定</w:t>
      </w:r>
      <w:proofErr w:type="gramEnd"/>
      <w:r>
        <w:rPr>
          <w:rFonts w:ascii="仿宋_GB2312" w:eastAsia="仿宋_GB2312" w:hAnsi="仿宋" w:cs="仿宋" w:hint="eastAsia"/>
          <w:sz w:val="30"/>
          <w:szCs w:val="30"/>
        </w:rPr>
        <w:t>范围认定合格抵质押品，并应同时满足本部分（二）和（三）中的有关要求。商业银行采用高级内部评级法，可在符合本部分（二）和（三）要求的前提下自行认定抵质押品，但应有历史数据证明抵质押品的风险缓释作用。</w:t>
      </w:r>
    </w:p>
    <w:p w:rsidR="00AA4100" w:rsidRDefault="00174B88">
      <w:pPr>
        <w:spacing w:line="480" w:lineRule="exact"/>
        <w:ind w:firstLineChars="200" w:firstLine="600"/>
        <w:rPr>
          <w:rFonts w:ascii="仿宋_GB2312" w:eastAsia="仿宋_GB2312" w:hAnsi="仿宋" w:cs="仿宋"/>
          <w:b/>
          <w:sz w:val="30"/>
          <w:szCs w:val="30"/>
        </w:rPr>
      </w:pPr>
      <w:proofErr w:type="gramStart"/>
      <w:r>
        <w:rPr>
          <w:rFonts w:ascii="仿宋_GB2312" w:eastAsia="仿宋_GB2312" w:hAnsi="仿宋" w:cs="仿宋" w:hint="eastAsia"/>
          <w:sz w:val="30"/>
          <w:szCs w:val="30"/>
        </w:rPr>
        <w:t>再资产</w:t>
      </w:r>
      <w:proofErr w:type="gramEnd"/>
      <w:r>
        <w:rPr>
          <w:rFonts w:ascii="仿宋_GB2312" w:eastAsia="仿宋_GB2312" w:hAnsi="仿宋" w:cs="仿宋" w:hint="eastAsia"/>
          <w:sz w:val="30"/>
          <w:szCs w:val="30"/>
        </w:rPr>
        <w:t>证券化不属于合格的金融质押品。</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（二）合格抵质押品的认定要求：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1．抵质押品应是《中华人民共和国民法典》等法律法规规定可以接受的财产或权利。</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2．权属清晰，</w:t>
      </w:r>
      <w:proofErr w:type="gramStart"/>
      <w:r>
        <w:rPr>
          <w:rFonts w:ascii="仿宋_GB2312" w:eastAsia="仿宋_GB2312" w:hAnsi="仿宋" w:cs="仿宋" w:hint="eastAsia"/>
          <w:sz w:val="30"/>
          <w:szCs w:val="30"/>
        </w:rPr>
        <w:t>且抵质押</w:t>
      </w:r>
      <w:proofErr w:type="gramEnd"/>
      <w:r>
        <w:rPr>
          <w:rFonts w:ascii="仿宋_GB2312" w:eastAsia="仿宋_GB2312" w:hAnsi="仿宋" w:cs="仿宋" w:hint="eastAsia"/>
          <w:sz w:val="30"/>
          <w:szCs w:val="30"/>
        </w:rPr>
        <w:t>品设定具有相应的法律文件。</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3．满足抵质押品可执行的必要条件，须经国家有关主管部门批准或者办理登记的，应按规定办理相应手续。</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4．存在有效处置抵</w:t>
      </w:r>
      <w:proofErr w:type="gramStart"/>
      <w:r>
        <w:rPr>
          <w:rFonts w:ascii="仿宋_GB2312" w:eastAsia="仿宋_GB2312" w:hAnsi="仿宋" w:cs="仿宋" w:hint="eastAsia"/>
          <w:sz w:val="30"/>
          <w:szCs w:val="30"/>
        </w:rPr>
        <w:t>质押品且流动性</w:t>
      </w:r>
      <w:proofErr w:type="gramEnd"/>
      <w:r>
        <w:rPr>
          <w:rFonts w:ascii="仿宋_GB2312" w:eastAsia="仿宋_GB2312" w:hAnsi="仿宋" w:cs="仿宋" w:hint="eastAsia"/>
          <w:sz w:val="30"/>
          <w:szCs w:val="30"/>
        </w:rPr>
        <w:t>强的市场，并且可以得到合理的抵质押品的市场价格。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5．在债务人违约、无力偿还、破产或发生其他借款合同约定的信用事件时，商业银行能够及时地对债务人的抵质押品进行清算或处置。</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（三）商业银行应建立相应的抵质押品管理体系，包括健全完善的制度、估值方法、管理流程以及相应的信息系统：</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lastRenderedPageBreak/>
        <w:t>1．商业银行应建立抵质押品管理制度，明确合格抵质押品的种类、抵质押率、抵质押品估值的方法及频率、对抵质押品监测以及抵质押品清收处置等相关要求。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抵质押品价值评估应坚持客观、独立和审慎的原则，评估价值不能超过当前合理的市场价值。商业银行应建立抵质押品评估价值的审定程序，并根据抵质押品的价值波动特性确定重新估值的方式和频率，市场波动大时应重新估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3．商业银行应建立抵质押品的调查和审查流程，确保抵质押真实、合法、有效，并建立及时、有效的清收抵质押品的程序。</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商业银行应对抵质押品定期监测，并督促出质人或抵押人按照抵质押合同的约定履行各项义务。对抵质押品的收益评估应反映优先于银行受偿的抵质押权的范围及影响，并进行持续监测。商业银行应确保抵押品足额保险，并防止抵押人采用非合理方式使用抵押品导致其价值减少。</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5．如果抵质押品被托管方持有，商业银行应确保托管方将抵质押品与其自有资产分离，并对托管资产实物与账目进行有效动态管理。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6．商业银行应当建立抵质押品管理的信息系统，对抵质押品的名称、数量、质量、所在地、权属状况等基本信息，抵质押品的估值方法、频率、时间，抵质押</w:t>
      </w:r>
      <w:proofErr w:type="gramStart"/>
      <w:r>
        <w:rPr>
          <w:rFonts w:ascii="仿宋_GB2312" w:eastAsia="仿宋_GB2312" w:hAnsi="仿宋" w:cs="仿宋" w:hint="eastAsia"/>
          <w:sz w:val="30"/>
          <w:szCs w:val="30"/>
        </w:rPr>
        <w:t>品与债项</w:t>
      </w:r>
      <w:proofErr w:type="gramEnd"/>
      <w:r>
        <w:rPr>
          <w:rFonts w:ascii="仿宋_GB2312" w:eastAsia="仿宋_GB2312" w:hAnsi="仿宋" w:cs="仿宋" w:hint="eastAsia"/>
          <w:sz w:val="30"/>
          <w:szCs w:val="30"/>
        </w:rPr>
        <w:t>的关联关系，以及抵质押品的处置清收信息等进行记录和管理。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7. 商业银行认定商用房地产和居住用房地产为合格信用风险缓释工具，除满足前述1至6的要求外，还应满足以下管理要求：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（1）满足债务人与抵押品之间的独立性原则。债务人的风险不应依赖于抵押品的表现，而应取决于债务人从其他来源偿还债务的能力，债务人还款来源</w:t>
      </w:r>
      <w:proofErr w:type="gramStart"/>
      <w:r>
        <w:rPr>
          <w:rFonts w:ascii="仿宋_GB2312" w:eastAsia="仿宋_GB2312" w:hAnsi="仿宋" w:cs="仿宋" w:hint="eastAsia"/>
          <w:sz w:val="30"/>
          <w:szCs w:val="30"/>
        </w:rPr>
        <w:t>不</w:t>
      </w:r>
      <w:proofErr w:type="gramEnd"/>
      <w:r>
        <w:rPr>
          <w:rFonts w:ascii="仿宋_GB2312" w:eastAsia="仿宋_GB2312" w:hAnsi="仿宋" w:cs="仿宋" w:hint="eastAsia"/>
          <w:sz w:val="30"/>
          <w:szCs w:val="30"/>
        </w:rPr>
        <w:t>主要依赖于抵押品产生的现金流；抵押品的价值</w:t>
      </w:r>
      <w:proofErr w:type="gramStart"/>
      <w:r>
        <w:rPr>
          <w:rFonts w:ascii="仿宋_GB2312" w:eastAsia="仿宋_GB2312" w:hAnsi="仿宋" w:cs="仿宋" w:hint="eastAsia"/>
          <w:sz w:val="30"/>
          <w:szCs w:val="30"/>
        </w:rPr>
        <w:t>不</w:t>
      </w:r>
      <w:proofErr w:type="gramEnd"/>
      <w:r>
        <w:rPr>
          <w:rFonts w:ascii="仿宋_GB2312" w:eastAsia="仿宋_GB2312" w:hAnsi="仿宋" w:cs="仿宋" w:hint="eastAsia"/>
          <w:sz w:val="30"/>
          <w:szCs w:val="30"/>
        </w:rPr>
        <w:t>主要取决于债务人的表现。专业贷款中的产生收入房地产不能作为公司风险暴露的合格抵押品。</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（2）商业银行应对作为抵押品的商用房地产和居住用房地产</w:t>
      </w:r>
      <w:proofErr w:type="gramStart"/>
      <w:r>
        <w:rPr>
          <w:rFonts w:ascii="仿宋_GB2312" w:eastAsia="仿宋_GB2312" w:hAnsi="仿宋" w:cs="仿宋" w:hint="eastAsia"/>
          <w:sz w:val="30"/>
          <w:szCs w:val="30"/>
        </w:rPr>
        <w:t>拥有第</w:t>
      </w:r>
      <w:proofErr w:type="gramEnd"/>
      <w:r>
        <w:rPr>
          <w:rFonts w:ascii="仿宋_GB2312" w:eastAsia="仿宋_GB2312" w:hAnsi="仿宋" w:cs="仿宋" w:hint="eastAsia"/>
          <w:sz w:val="30"/>
          <w:szCs w:val="30"/>
        </w:rPr>
        <w:t>一顺位抵押权。</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（3）商业银行应至少每年对商用房地产和居住用房地产进行一次重新估值。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（4）商业银行接受的商用房地产和居住用房地产类别及取得该类抵押品的信贷政策（至少包括抵押率），应明确记录。</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（5）商业银行应采取措施确保作为抵押品的房地产有足额保险，以防其物质损害或折旧。</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（6）商业银行应持续监控抵押品项下的其他优先偿付义务（如纳税）对处置该抵押品的影响。</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（7）商业银行应有</w:t>
      </w:r>
      <w:proofErr w:type="gramStart"/>
      <w:r>
        <w:rPr>
          <w:rFonts w:ascii="仿宋_GB2312" w:eastAsia="仿宋_GB2312" w:hAnsi="仿宋" w:cs="仿宋" w:hint="eastAsia"/>
          <w:sz w:val="30"/>
          <w:szCs w:val="30"/>
        </w:rPr>
        <w:t>效</w:t>
      </w:r>
      <w:proofErr w:type="gramEnd"/>
      <w:r>
        <w:rPr>
          <w:rFonts w:ascii="仿宋_GB2312" w:eastAsia="仿宋_GB2312" w:hAnsi="仿宋" w:cs="仿宋" w:hint="eastAsia"/>
          <w:sz w:val="30"/>
          <w:szCs w:val="30"/>
        </w:rPr>
        <w:t>监控抵押品可能面临的环保风险（如作为抵押品的房地产存放了有毒材料）。</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8．商业银行认定应收账款为合格信用风险缓释工具，除满足前述1至6的要求外，还应满足如下管理要求：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（1）确定应收账款价值时应当减去坏账准备。</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（2）应收账款作为质押品的法律机制健全，确保商业银行对质押品的收益有清晰的权利。</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（3）商业银行应采取必要的措施，以满足质押品可执行的条件（如质押</w:t>
      </w:r>
      <w:proofErr w:type="gramStart"/>
      <w:r>
        <w:rPr>
          <w:rFonts w:ascii="仿宋_GB2312" w:eastAsia="仿宋_GB2312" w:hAnsi="仿宋" w:cs="仿宋" w:hint="eastAsia"/>
          <w:sz w:val="30"/>
          <w:szCs w:val="30"/>
        </w:rPr>
        <w:t>品登记</w:t>
      </w:r>
      <w:proofErr w:type="gramEnd"/>
      <w:r>
        <w:rPr>
          <w:rFonts w:ascii="仿宋_GB2312" w:eastAsia="仿宋_GB2312" w:hAnsi="仿宋" w:cs="仿宋" w:hint="eastAsia"/>
          <w:sz w:val="30"/>
          <w:szCs w:val="30"/>
        </w:rPr>
        <w:t>的规定），并确保商业银行对质押</w:t>
      </w:r>
      <w:proofErr w:type="gramStart"/>
      <w:r>
        <w:rPr>
          <w:rFonts w:ascii="仿宋_GB2312" w:eastAsia="仿宋_GB2312" w:hAnsi="仿宋" w:cs="仿宋" w:hint="eastAsia"/>
          <w:sz w:val="30"/>
          <w:szCs w:val="30"/>
        </w:rPr>
        <w:t>品拥有第</w:t>
      </w:r>
      <w:proofErr w:type="gramEnd"/>
      <w:r>
        <w:rPr>
          <w:rFonts w:ascii="仿宋_GB2312" w:eastAsia="仿宋_GB2312" w:hAnsi="仿宋" w:cs="仿宋" w:hint="eastAsia"/>
          <w:sz w:val="30"/>
          <w:szCs w:val="30"/>
        </w:rPr>
        <w:t>一顺位质押权。</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商业银行应确保质押交易依据明确可执行的法律文件，且法律文件对各相关方均有约束力。商业银行应进行充分的法律审查，并有充分的依据得出上述结论。必要时，商业银行应进行进一步审查，以确保法律文件持续可执行。</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商业银行应书面规定清晰、健全的应收账款清收程序，确保应收账款及时清收。清收程序应确保充分考虑了判定借款人违约并及时清收质押品的各类法律情形。如果借款人发生财务困难或违约，商业银行应有权不经过应收账款债务人同意，出售或转让该质押的应收账款。</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商业银行应建立应收账款信用风险的认定过程，包括定期分析借款人经营状况、财务状况、行业状况（如经济周期的影响）以及借款人上下游客户类别等。商业银行通过借款人确定应收账款风险时，应检查借款人信用政策的合理性和可信度。</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（7）应收账款质押贷款的质押率应反映所有适当的因素，包括清收成本、应收账款池内的集中度以及商业银行总风险暴露中的潜在集中度风险等。</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8）对于应收账款带来的当前以及潜在风险，特别是对于数目不多但金额较大的应收账款，商业银行应建立连续、适当的监控制度，包括账龄报告、贸易单据的控制情况、对质押品的定期审计、账户的确认、对付款账户收益的控制情况、集中度限额的执行情况、对稀释风险的分析（借款人对应收账款债务人提供的、能导致的应收账款价值减少的信用），以及对借款人和应收账款债务人的定期财务分析。商业银行还应定期检查贷款合约的履行情况、环境方面的限制及其他法律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（9）应收账款应保持分散，不得与借款人高度相关。若相关性较高时，如应收账款债务人的生存依赖于借款人或借款人与应收账款债务人属于同一行业，设定</w:t>
      </w:r>
      <w:proofErr w:type="gramStart"/>
      <w:r>
        <w:rPr>
          <w:rFonts w:ascii="仿宋_GB2312" w:eastAsia="仿宋_GB2312" w:hAnsi="仿宋" w:cs="仿宋" w:hint="eastAsia"/>
          <w:sz w:val="30"/>
          <w:szCs w:val="30"/>
        </w:rPr>
        <w:t>质押品池的</w:t>
      </w:r>
      <w:proofErr w:type="gramEnd"/>
      <w:r>
        <w:rPr>
          <w:rFonts w:ascii="仿宋_GB2312" w:eastAsia="仿宋_GB2312" w:hAnsi="仿宋" w:cs="仿宋" w:hint="eastAsia"/>
          <w:sz w:val="30"/>
          <w:szCs w:val="30"/>
        </w:rPr>
        <w:t>总</w:t>
      </w:r>
      <w:proofErr w:type="gramStart"/>
      <w:r>
        <w:rPr>
          <w:rFonts w:ascii="仿宋_GB2312" w:eastAsia="仿宋_GB2312" w:hAnsi="仿宋" w:cs="仿宋" w:hint="eastAsia"/>
          <w:sz w:val="30"/>
          <w:szCs w:val="30"/>
        </w:rPr>
        <w:t>体质押率时</w:t>
      </w:r>
      <w:proofErr w:type="gramEnd"/>
      <w:r>
        <w:rPr>
          <w:rFonts w:ascii="仿宋_GB2312" w:eastAsia="仿宋_GB2312" w:hAnsi="仿宋" w:cs="仿宋" w:hint="eastAsia"/>
          <w:sz w:val="30"/>
          <w:szCs w:val="30"/>
        </w:rPr>
        <w:t>，应考虑潜在的风险。借款人附属公司（包括子公司及其员工）作为债务人的应收账款不得作为合格的风险缓释工具。</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（10）商业银行应建立经济困难时期应收账款清收的书面程序。通常情况下即使商业银行通过借款人进行清收，也应具备相应的措施。</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9．商业银行认定存货为合格信用风险缓释工具，除满足前述1至6的要求外，还要建立如下程序监测存货风险：</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（1）确保保管存货的仓储公司或现货交易市场等具有合法的主体资格、良好的商业信誉、完善的管理制度、专业的管理设备和技术、合格的管理人员以及高效的进出</w:t>
      </w:r>
      <w:proofErr w:type="gramStart"/>
      <w:r>
        <w:rPr>
          <w:rFonts w:ascii="仿宋_GB2312" w:eastAsia="仿宋_GB2312" w:hAnsi="仿宋" w:cs="仿宋" w:hint="eastAsia"/>
          <w:sz w:val="30"/>
          <w:szCs w:val="30"/>
        </w:rPr>
        <w:t>库信息</w:t>
      </w:r>
      <w:proofErr w:type="gramEnd"/>
      <w:r>
        <w:rPr>
          <w:rFonts w:ascii="仿宋_GB2312" w:eastAsia="仿宋_GB2312" w:hAnsi="仿宋" w:cs="仿宋" w:hint="eastAsia"/>
          <w:sz w:val="30"/>
          <w:szCs w:val="30"/>
        </w:rPr>
        <w:t>传递系统。</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（2）充分分析市场供求关系和市场前景，确定存货的市场价值。存货价值评估应采用历史成本和市场价值孰低法。对于滞销、积压、降价销售产品，应根据其可收回净收益确定评估值。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（3）对存货应定期进行实物检查。</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10. 商业银行认定其他抵质押品为合格信用风险缓释工具，应向银保监会证明存在流动性强的市场,能够及时、经济、有效地处置抵质押品。银行应定期评估该条件,当有信息表明市场发生重大变化时,也应进行评估。商业银行还应向银保监会证明存在已建立的、公开可得的抵质押品市场价格，且</w:t>
      </w:r>
      <w:proofErr w:type="gramStart"/>
      <w:r>
        <w:rPr>
          <w:rFonts w:ascii="仿宋_GB2312" w:eastAsia="仿宋_GB2312" w:hAnsi="仿宋" w:cs="仿宋" w:hint="eastAsia"/>
          <w:sz w:val="30"/>
          <w:szCs w:val="30"/>
        </w:rPr>
        <w:t>其抵质押品变</w:t>
      </w:r>
      <w:proofErr w:type="gramEnd"/>
      <w:r>
        <w:rPr>
          <w:rFonts w:ascii="仿宋_GB2312" w:eastAsia="仿宋_GB2312" w:hAnsi="仿宋" w:cs="仿宋" w:hint="eastAsia"/>
          <w:sz w:val="30"/>
          <w:szCs w:val="30"/>
        </w:rPr>
        <w:t>现时所获得的价格没有明显偏离市场价格。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除满足上述要求以及前述1至6的要求外，其他实物抵押品的认定还应满足下列要求：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 xml:space="preserve">（1）只允许对抵押品的第一顺位抵押权，以保证商业银行对抵押品已实现的收益拥有超过其他所有债权人的优先权。 </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（2）贷款协议应包括对抵押品的详细描述，并明确银行有权对抵押品进行检查和重新估值。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（3）商业银行可接受的实物抵押品的种类以及各类实物抵押品贷款的抵押率应符合相应的政策规定，且在内部信贷政策和程序中明确记录，并且可供检查和审计。</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商业银行应根据以下情况提出适当的抵押品管理要求：贷款金额、及时变现抵押品的能力、客观地确定价格或市场价值的能力、及时估值的频率（包括专业人员的评估或估值）和抵押品价值的波动情况等。定期重</w:t>
      </w:r>
      <w:proofErr w:type="gramStart"/>
      <w:r>
        <w:rPr>
          <w:rFonts w:ascii="仿宋_GB2312" w:eastAsia="仿宋_GB2312" w:hAnsi="仿宋" w:cs="仿宋" w:hint="eastAsia"/>
          <w:sz w:val="30"/>
          <w:szCs w:val="30"/>
        </w:rPr>
        <w:t>估过程</w:t>
      </w:r>
      <w:proofErr w:type="gramEnd"/>
      <w:r>
        <w:rPr>
          <w:rFonts w:ascii="仿宋_GB2312" w:eastAsia="仿宋_GB2312" w:hAnsi="仿宋" w:cs="仿宋" w:hint="eastAsia"/>
          <w:sz w:val="30"/>
          <w:szCs w:val="30"/>
        </w:rPr>
        <w:t>应特别关注“受流行趋势影响较大”的抵押品，以保证估值能按照流行趋势的变化、新款推出的时间、过时情况及抵押品实物的损害或折旧状况而适当的向下调整。</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（5）对其他抵押品应定期进行实物检查。</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11．以通用担保协议或其他形式开展的浮动抵押，若已注册登记的抵质押</w:t>
      </w:r>
      <w:proofErr w:type="gramStart"/>
      <w:r>
        <w:rPr>
          <w:rFonts w:ascii="仿宋_GB2312" w:eastAsia="仿宋_GB2312" w:hAnsi="仿宋" w:cs="仿宋" w:hint="eastAsia"/>
          <w:sz w:val="30"/>
          <w:szCs w:val="30"/>
        </w:rPr>
        <w:t>品同时</w:t>
      </w:r>
      <w:proofErr w:type="gramEnd"/>
      <w:r>
        <w:rPr>
          <w:rFonts w:ascii="仿宋_GB2312" w:eastAsia="仿宋_GB2312" w:hAnsi="仿宋" w:cs="仿宋" w:hint="eastAsia"/>
          <w:sz w:val="30"/>
          <w:szCs w:val="30"/>
        </w:rPr>
        <w:t>包含初级内部评级法下不合格抵质押品和合格抵质押品，商业银行应仅认定合格抵质押品的信用风险缓释作用。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12．商业银行认定租赁资产为合格信用风险缓释工具，应充分考虑租赁资产的残值风险。残值风险是指设备的公允价值下降并低于租赁初始对残值的估值，而导致银行面临潜在损失的风险。若商业银行不承担租赁残值风险，在满足前述1至6、7、10的要求的基础上，还应满足以下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（1）商业银行作为出租人应具有稳健的风险管理能力，全面掌握租赁资产的位置、用途、使用年限以及报废计划等信息。</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（2）租赁资产的法律机制健全，确保商业银行作为出租人拥有对租赁资产的合法所有权且能够及时行权。</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（3）实物资产折旧率和</w:t>
      </w:r>
      <w:proofErr w:type="gramStart"/>
      <w:r>
        <w:rPr>
          <w:rFonts w:ascii="仿宋_GB2312" w:eastAsia="仿宋_GB2312" w:hAnsi="仿宋" w:cs="仿宋" w:hint="eastAsia"/>
          <w:sz w:val="30"/>
          <w:szCs w:val="30"/>
        </w:rPr>
        <w:t>租赁款摊还</w:t>
      </w:r>
      <w:proofErr w:type="gramEnd"/>
      <w:r>
        <w:rPr>
          <w:rFonts w:ascii="仿宋_GB2312" w:eastAsia="仿宋_GB2312" w:hAnsi="仿宋" w:cs="仿宋" w:hint="eastAsia"/>
          <w:sz w:val="30"/>
          <w:szCs w:val="30"/>
        </w:rPr>
        <w:t>率之间的差异不应过大，以至高估租赁资产的风险缓释作用。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四）商业银行应投入充足的资源，确保场外衍生工具和证券融资交易对手的保证金协议得到有效执行。是否有效执行的衡量标准是发出补充保证金要求的及时性、准确性以及补交保证金的及时性。商业银行应具备相应的抵质押品管理政策，并控制、监测和报告以下方面：</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1．保证金协议带来的风险暴露（如作为质押品的证券的波动性和流动性情况）。</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2．特定质押品类别的集中度风险。</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3．质押品（包括现金和非现金）的再使用情况，包括再使用交易对手提交的质押</w:t>
      </w:r>
      <w:proofErr w:type="gramStart"/>
      <w:r>
        <w:rPr>
          <w:rFonts w:ascii="仿宋_GB2312" w:eastAsia="仿宋_GB2312" w:hAnsi="仿宋" w:cs="仿宋" w:hint="eastAsia"/>
          <w:sz w:val="30"/>
          <w:szCs w:val="30"/>
        </w:rPr>
        <w:t>品导致</w:t>
      </w:r>
      <w:proofErr w:type="gramEnd"/>
      <w:r>
        <w:rPr>
          <w:rFonts w:ascii="仿宋_GB2312" w:eastAsia="仿宋_GB2312" w:hAnsi="仿宋" w:cs="仿宋" w:hint="eastAsia"/>
          <w:sz w:val="30"/>
          <w:szCs w:val="30"/>
        </w:rPr>
        <w:t>的潜在流动性短缺风险。</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4．因将质押品质押给交易对手而放弃的权利。</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（五）采用初级内部评级法的商业银行，抵质押品的信用风险缓释作用体现为违约损失率的调整。在使用单种抵质押品时，调整后的违约损失率为:</w:t>
      </w:r>
    </w:p>
    <w:p w:rsidR="00AA4100" w:rsidRDefault="00174B88" w:rsidP="000227F5">
      <w:pPr>
        <w:jc w:val="center"/>
        <w:rPr>
          <w:rFonts w:ascii="仿宋_GB2312" w:eastAsia="仿宋_GB2312" w:hAnsi="仿宋" w:cs="仿宋"/>
          <w:sz w:val="30"/>
          <w:szCs w:val="30"/>
        </w:rPr>
      </w:pPr>
      <w:r>
        <w:rPr>
          <w:rFonts w:ascii="仿宋_GB2312" w:eastAsia="仿宋_GB2312" w:hAnsi="仿宋" w:cs="仿宋" w:hint="eastAsia"/>
          <w:position w:val="-30"/>
          <w:sz w:val="30"/>
          <w:szCs w:val="30"/>
        </w:rPr>
        <w:object w:dxaOrig="5154" w:dyaOrig="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85pt;height:33.6pt" o:ole="">
            <v:imagedata r:id="rId9" o:title=""/>
          </v:shape>
          <o:OLEObject Type="Embed" ProgID="Equation.3" ShapeID="_x0000_i1025" DrawAspect="Content" ObjectID="_1738154500" r:id="rId10"/>
        </w:object>
      </w:r>
    </w:p>
    <w:p w:rsidR="00AA4100" w:rsidRDefault="00174B88">
      <w:pPr>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w:t>
      </w:r>
      <w:r>
        <w:rPr>
          <w:rFonts w:ascii="仿宋_GB2312" w:eastAsia="仿宋_GB2312" w:hint="eastAsia"/>
          <w:noProof/>
        </w:rPr>
        <w:drawing>
          <wp:inline distT="0" distB="0" distL="114300" distR="114300" wp14:anchorId="708194F5" wp14:editId="363C6ADF">
            <wp:extent cx="390525" cy="228600"/>
            <wp:effectExtent l="0" t="0" r="0" b="0"/>
            <wp:docPr id="16"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8"/>
                    <pic:cNvPicPr>
                      <a:picLocks noChangeAspect="1"/>
                    </pic:cNvPicPr>
                  </pic:nvPicPr>
                  <pic:blipFill>
                    <a:blip r:embed="rId11"/>
                    <a:stretch>
                      <a:fillRect/>
                    </a:stretch>
                  </pic:blipFill>
                  <pic:spPr>
                    <a:xfrm>
                      <a:off x="0" y="0"/>
                      <a:ext cx="390525" cy="228600"/>
                    </a:xfrm>
                    <a:prstGeom prst="rect">
                      <a:avLst/>
                    </a:prstGeom>
                    <a:noFill/>
                    <a:ln>
                      <a:noFill/>
                    </a:ln>
                  </pic:spPr>
                </pic:pic>
              </a:graphicData>
            </a:graphic>
          </wp:inline>
        </w:drawing>
      </w:r>
      <w:r>
        <w:rPr>
          <w:rFonts w:ascii="仿宋_GB2312" w:eastAsia="仿宋_GB2312" w:hAnsi="仿宋" w:cs="仿宋" w:hint="eastAsia"/>
          <w:sz w:val="30"/>
          <w:szCs w:val="30"/>
        </w:rPr>
        <w:t>是抵质押品覆盖部分的违约损失率。</w:t>
      </w:r>
    </w:p>
    <w:p w:rsidR="00AA4100" w:rsidRDefault="00174B88">
      <w:pPr>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2.</w:t>
      </w:r>
      <w:r>
        <w:rPr>
          <w:rFonts w:ascii="仿宋_GB2312" w:eastAsia="仿宋_GB2312" w:hint="eastAsia"/>
          <w:noProof/>
        </w:rPr>
        <w:drawing>
          <wp:inline distT="0" distB="0" distL="114300" distR="114300" wp14:anchorId="46DCCE32" wp14:editId="1FDF1E32">
            <wp:extent cx="142875" cy="161925"/>
            <wp:effectExtent l="0" t="0" r="8255" b="0"/>
            <wp:docPr id="26"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3"/>
                    <pic:cNvPicPr>
                      <a:picLocks noChangeAspect="1"/>
                    </pic:cNvPicPr>
                  </pic:nvPicPr>
                  <pic:blipFill>
                    <a:blip r:embed="rId12"/>
                    <a:stretch>
                      <a:fillRect/>
                    </a:stretch>
                  </pic:blipFill>
                  <pic:spPr>
                    <a:xfrm>
                      <a:off x="0" y="0"/>
                      <a:ext cx="142875" cy="161925"/>
                    </a:xfrm>
                    <a:prstGeom prst="rect">
                      <a:avLst/>
                    </a:prstGeom>
                    <a:noFill/>
                    <a:ln>
                      <a:noFill/>
                    </a:ln>
                  </pic:spPr>
                </pic:pic>
              </a:graphicData>
            </a:graphic>
          </wp:inline>
        </w:drawing>
      </w:r>
      <w:r>
        <w:rPr>
          <w:rFonts w:ascii="仿宋_GB2312" w:eastAsia="仿宋_GB2312" w:hAnsi="仿宋" w:cs="仿宋" w:hint="eastAsia"/>
          <w:sz w:val="30"/>
          <w:szCs w:val="30"/>
        </w:rPr>
        <w:t>是风险暴露的当前值。</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w:t>
      </w:r>
      <w:r>
        <w:rPr>
          <w:rFonts w:ascii="仿宋_GB2312" w:eastAsia="仿宋_GB2312" w:hint="eastAsia"/>
          <w:noProof/>
        </w:rPr>
        <w:drawing>
          <wp:inline distT="0" distB="0" distL="114300" distR="114300" wp14:anchorId="4D962953" wp14:editId="14BC21BB">
            <wp:extent cx="209550" cy="228600"/>
            <wp:effectExtent l="0" t="0" r="0" b="0"/>
            <wp:docPr id="2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9"/>
                    <pic:cNvPicPr>
                      <a:picLocks noChangeAspect="1"/>
                    </pic:cNvPicPr>
                  </pic:nvPicPr>
                  <pic:blipFill>
                    <a:blip r:embed="rId13"/>
                    <a:stretch>
                      <a:fillRect/>
                    </a:stretch>
                  </pic:blipFill>
                  <pic:spPr>
                    <a:xfrm>
                      <a:off x="0" y="0"/>
                      <a:ext cx="209550" cy="228600"/>
                    </a:xfrm>
                    <a:prstGeom prst="rect">
                      <a:avLst/>
                    </a:prstGeom>
                    <a:noFill/>
                    <a:ln>
                      <a:noFill/>
                    </a:ln>
                  </pic:spPr>
                </pic:pic>
              </a:graphicData>
            </a:graphic>
          </wp:inline>
        </w:drawing>
      </w:r>
      <w:r>
        <w:rPr>
          <w:rFonts w:ascii="仿宋_GB2312" w:eastAsia="仿宋_GB2312" w:hAnsi="仿宋" w:cs="仿宋" w:hint="eastAsia"/>
          <w:sz w:val="30"/>
          <w:szCs w:val="30"/>
        </w:rPr>
        <w:t>是风险暴露折扣系数，商业银行借出证券，应使用</w:t>
      </w:r>
      <w:r>
        <w:rPr>
          <w:rFonts w:ascii="仿宋_GB2312" w:eastAsia="仿宋_GB2312" w:hint="eastAsia"/>
          <w:noProof/>
        </w:rPr>
        <w:drawing>
          <wp:inline distT="0" distB="0" distL="114300" distR="114300" wp14:anchorId="1066CED7" wp14:editId="5319C1A8">
            <wp:extent cx="209550" cy="228600"/>
            <wp:effectExtent l="0" t="0" r="0" b="0"/>
            <wp:docPr id="2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80"/>
                    <pic:cNvPicPr>
                      <a:picLocks noChangeAspect="1"/>
                    </pic:cNvPicPr>
                  </pic:nvPicPr>
                  <pic:blipFill>
                    <a:blip r:embed="rId13"/>
                    <a:stretch>
                      <a:fillRect/>
                    </a:stretch>
                  </pic:blipFill>
                  <pic:spPr>
                    <a:xfrm>
                      <a:off x="0" y="0"/>
                      <a:ext cx="209550" cy="228600"/>
                    </a:xfrm>
                    <a:prstGeom prst="rect">
                      <a:avLst/>
                    </a:prstGeom>
                    <a:noFill/>
                    <a:ln>
                      <a:noFill/>
                    </a:ln>
                  </pic:spPr>
                </pic:pic>
              </a:graphicData>
            </a:graphic>
          </wp:inline>
        </w:drawing>
      </w:r>
      <w:r>
        <w:rPr>
          <w:rFonts w:ascii="仿宋_GB2312" w:eastAsia="仿宋_GB2312" w:hAnsi="仿宋" w:cs="仿宋" w:hint="eastAsia"/>
          <w:sz w:val="30"/>
          <w:szCs w:val="30"/>
        </w:rPr>
        <w:t>对</w:t>
      </w:r>
      <w:r>
        <w:rPr>
          <w:rFonts w:ascii="仿宋_GB2312" w:eastAsia="仿宋_GB2312" w:hint="eastAsia"/>
          <w:noProof/>
        </w:rPr>
        <w:drawing>
          <wp:inline distT="0" distB="0" distL="114300" distR="114300" wp14:anchorId="1E2722AC" wp14:editId="5E69F5C0">
            <wp:extent cx="142875" cy="161925"/>
            <wp:effectExtent l="0" t="0" r="8255" b="0"/>
            <wp:docPr id="25"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82"/>
                    <pic:cNvPicPr>
                      <a:picLocks noChangeAspect="1"/>
                    </pic:cNvPicPr>
                  </pic:nvPicPr>
                  <pic:blipFill>
                    <a:blip r:embed="rId12"/>
                    <a:stretch>
                      <a:fillRect/>
                    </a:stretch>
                  </pic:blipFill>
                  <pic:spPr>
                    <a:xfrm>
                      <a:off x="0" y="0"/>
                      <a:ext cx="142875" cy="161925"/>
                    </a:xfrm>
                    <a:prstGeom prst="rect">
                      <a:avLst/>
                    </a:prstGeom>
                    <a:noFill/>
                    <a:ln>
                      <a:noFill/>
                    </a:ln>
                  </pic:spPr>
                </pic:pic>
              </a:graphicData>
            </a:graphic>
          </wp:inline>
        </w:drawing>
      </w:r>
      <w:r>
        <w:rPr>
          <w:rFonts w:ascii="仿宋_GB2312" w:eastAsia="仿宋_GB2312" w:hAnsi="仿宋" w:cs="仿宋" w:hint="eastAsia"/>
          <w:sz w:val="30"/>
          <w:szCs w:val="30"/>
        </w:rPr>
        <w:t>进行调整。</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w:t>
      </w:r>
      <w:r>
        <w:rPr>
          <w:rFonts w:ascii="仿宋_GB2312" w:eastAsia="仿宋_GB2312" w:hint="eastAsia"/>
          <w:noProof/>
        </w:rPr>
        <w:drawing>
          <wp:inline distT="0" distB="0" distL="114300" distR="114300" wp14:anchorId="2205BBB7" wp14:editId="50FF23B6">
            <wp:extent cx="180975" cy="228600"/>
            <wp:effectExtent l="0" t="0" r="0" b="0"/>
            <wp:docPr id="27"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84"/>
                    <pic:cNvPicPr>
                      <a:picLocks noChangeAspect="1"/>
                    </pic:cNvPicPr>
                  </pic:nvPicPr>
                  <pic:blipFill>
                    <a:blip r:embed="rId14"/>
                    <a:stretch>
                      <a:fillRect/>
                    </a:stretch>
                  </pic:blipFill>
                  <pic:spPr>
                    <a:xfrm>
                      <a:off x="0" y="0"/>
                      <a:ext cx="180975" cy="228600"/>
                    </a:xfrm>
                    <a:prstGeom prst="rect">
                      <a:avLst/>
                    </a:prstGeom>
                    <a:noFill/>
                    <a:ln>
                      <a:noFill/>
                    </a:ln>
                  </pic:spPr>
                </pic:pic>
              </a:graphicData>
            </a:graphic>
          </wp:inline>
        </w:drawing>
      </w:r>
      <w:r>
        <w:rPr>
          <w:rFonts w:ascii="仿宋_GB2312" w:eastAsia="仿宋_GB2312" w:hAnsi="仿宋" w:cs="仿宋" w:hint="eastAsia"/>
          <w:sz w:val="30"/>
          <w:szCs w:val="30"/>
        </w:rPr>
        <w:t>是抵质押品经折扣系数调整后的当前价值，按如下公式计算，且不得超过</w:t>
      </w:r>
      <w:r>
        <w:rPr>
          <w:rFonts w:ascii="仿宋_GB2312" w:eastAsia="仿宋_GB2312" w:hAnsi="仿宋" w:cs="仿宋" w:hint="eastAsia"/>
          <w:position w:val="-12"/>
          <w:sz w:val="30"/>
          <w:szCs w:val="30"/>
        </w:rPr>
        <w:object w:dxaOrig="1169" w:dyaOrig="356">
          <v:shape id="_x0000_i1026" type="#_x0000_t75" style="width:58.3pt;height:17.85pt" o:ole="">
            <v:imagedata r:id="rId15" o:title=""/>
          </v:shape>
          <o:OLEObject Type="Embed" ProgID="Equation.3" ShapeID="_x0000_i1026" DrawAspect="Content" ObjectID="_1738154501" r:id="rId16"/>
        </w:object>
      </w:r>
      <w:r>
        <w:rPr>
          <w:rFonts w:ascii="仿宋_GB2312" w:eastAsia="仿宋_GB2312" w:hAnsi="仿宋" w:cs="仿宋" w:hint="eastAsia"/>
          <w:sz w:val="30"/>
          <w:szCs w:val="30"/>
        </w:rPr>
        <w:t>：</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position w:val="-14"/>
          <w:sz w:val="30"/>
          <w:szCs w:val="30"/>
        </w:rPr>
        <w:object w:dxaOrig="3132" w:dyaOrig="452">
          <v:shape id="_x0000_i1027" type="#_x0000_t75" style="width:156.7pt;height:22.65pt" o:ole="">
            <v:imagedata r:id="rId17" o:title=""/>
          </v:shape>
          <o:OLEObject Type="Embed" ProgID="Equation.3" ShapeID="_x0000_i1027" DrawAspect="Content" ObjectID="_1738154502" r:id="rId18"/>
        </w:object>
      </w:r>
    </w:p>
    <w:p w:rsidR="00AA4100" w:rsidRDefault="00174B88">
      <w:pPr>
        <w:ind w:firstLineChars="200" w:firstLine="600"/>
        <w:jc w:val="left"/>
        <w:rPr>
          <w:rFonts w:ascii="仿宋_GB2312" w:eastAsia="仿宋_GB2312" w:hAnsi="仿宋" w:cs="仿宋"/>
          <w:sz w:val="30"/>
          <w:szCs w:val="30"/>
        </w:rPr>
      </w:pPr>
      <w:r>
        <w:rPr>
          <w:rFonts w:ascii="仿宋_GB2312" w:eastAsia="仿宋_GB2312" w:hAnsi="仿宋" w:cs="仿宋" w:hint="eastAsia"/>
          <w:sz w:val="30"/>
          <w:szCs w:val="30"/>
        </w:rPr>
        <w:t>（1）</w:t>
      </w:r>
      <w:r>
        <w:rPr>
          <w:rFonts w:ascii="仿宋_GB2312" w:eastAsia="仿宋_GB2312" w:hint="eastAsia"/>
          <w:noProof/>
        </w:rPr>
        <w:drawing>
          <wp:inline distT="0" distB="0" distL="114300" distR="114300" wp14:anchorId="6709DADA" wp14:editId="001DBFF4">
            <wp:extent cx="142875" cy="171450"/>
            <wp:effectExtent l="0" t="0" r="8890" b="0"/>
            <wp:docPr id="30"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87"/>
                    <pic:cNvPicPr>
                      <a:picLocks noChangeAspect="1"/>
                    </pic:cNvPicPr>
                  </pic:nvPicPr>
                  <pic:blipFill>
                    <a:blip r:embed="rId19"/>
                    <a:stretch>
                      <a:fillRect/>
                    </a:stretch>
                  </pic:blipFill>
                  <pic:spPr>
                    <a:xfrm>
                      <a:off x="0" y="0"/>
                      <a:ext cx="142875" cy="171450"/>
                    </a:xfrm>
                    <a:prstGeom prst="rect">
                      <a:avLst/>
                    </a:prstGeom>
                    <a:noFill/>
                    <a:ln>
                      <a:noFill/>
                    </a:ln>
                  </pic:spPr>
                </pic:pic>
              </a:graphicData>
            </a:graphic>
          </wp:inline>
        </w:drawing>
      </w:r>
      <w:r>
        <w:rPr>
          <w:rFonts w:ascii="仿宋_GB2312" w:eastAsia="仿宋_GB2312" w:hAnsi="仿宋" w:cs="仿宋" w:hint="eastAsia"/>
          <w:sz w:val="30"/>
          <w:szCs w:val="30"/>
        </w:rPr>
        <w:t>是抵质押品的当前价值</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w:t>
      </w:r>
      <w:r>
        <w:rPr>
          <w:rFonts w:ascii="仿宋_GB2312" w:eastAsia="仿宋_GB2312" w:hAnsi="仿宋" w:cs="仿宋" w:hint="eastAsia"/>
          <w:sz w:val="30"/>
          <w:szCs w:val="30"/>
        </w:rPr>
        <w:object w:dxaOrig="356" w:dyaOrig="356">
          <v:shape id="_x0000_i1028" type="#_x0000_t75" style="width:17.85pt;height:17.85pt" o:ole="">
            <v:imagedata r:id="rId20" o:title=""/>
          </v:shape>
          <o:OLEObject Type="Embed" ProgID="Equation.3" ShapeID="_x0000_i1028" DrawAspect="Content" ObjectID="_1738154503" r:id="rId21"/>
        </w:object>
      </w:r>
      <w:r>
        <w:rPr>
          <w:rFonts w:ascii="仿宋_GB2312" w:eastAsia="仿宋_GB2312" w:hAnsi="仿宋" w:cs="仿宋" w:hint="eastAsia"/>
          <w:sz w:val="30"/>
          <w:szCs w:val="30"/>
        </w:rPr>
        <w:t>是抵质押品折扣系数。</w:t>
      </w:r>
    </w:p>
    <w:p w:rsidR="00AA4100" w:rsidRDefault="00174B88">
      <w:pPr>
        <w:ind w:firstLineChars="200" w:firstLine="600"/>
        <w:jc w:val="left"/>
        <w:rPr>
          <w:rFonts w:ascii="仿宋_GB2312" w:eastAsia="仿宋_GB2312" w:hAnsi="仿宋" w:cs="仿宋"/>
          <w:sz w:val="30"/>
          <w:szCs w:val="30"/>
        </w:rPr>
      </w:pPr>
      <w:r>
        <w:rPr>
          <w:rFonts w:ascii="仿宋_GB2312" w:eastAsia="仿宋_GB2312" w:hAnsi="仿宋" w:cs="仿宋" w:hint="eastAsia"/>
          <w:position w:val="-14"/>
          <w:sz w:val="30"/>
          <w:szCs w:val="30"/>
        </w:rPr>
        <w:t>（3）</w:t>
      </w:r>
      <w:r>
        <w:rPr>
          <w:rFonts w:ascii="仿宋_GB2312" w:eastAsia="仿宋_GB2312" w:hAnsi="仿宋" w:cs="仿宋" w:hint="eastAsia"/>
          <w:noProof/>
          <w:position w:val="-14"/>
          <w:sz w:val="30"/>
          <w:szCs w:val="30"/>
        </w:rPr>
        <w:drawing>
          <wp:inline distT="0" distB="0" distL="114300" distR="114300" wp14:anchorId="1059B68E" wp14:editId="5CBD20EE">
            <wp:extent cx="278130" cy="241300"/>
            <wp:effectExtent l="0" t="0" r="0" b="0"/>
            <wp:docPr id="11"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6"/>
                    <pic:cNvPicPr>
                      <a:picLocks noChangeAspect="1"/>
                    </pic:cNvPicPr>
                  </pic:nvPicPr>
                  <pic:blipFill>
                    <a:blip r:embed="rId22" cstate="print"/>
                    <a:stretch>
                      <a:fillRect/>
                    </a:stretch>
                  </pic:blipFill>
                  <pic:spPr>
                    <a:xfrm>
                      <a:off x="0" y="0"/>
                      <a:ext cx="278130" cy="241300"/>
                    </a:xfrm>
                    <a:prstGeom prst="rect">
                      <a:avLst/>
                    </a:prstGeom>
                    <a:noFill/>
                    <a:ln>
                      <a:noFill/>
                    </a:ln>
                  </pic:spPr>
                </pic:pic>
              </a:graphicData>
            </a:graphic>
          </wp:inline>
        </w:drawing>
      </w:r>
      <w:r>
        <w:rPr>
          <w:rFonts w:ascii="仿宋_GB2312" w:eastAsia="仿宋_GB2312" w:hAnsi="仿宋" w:cs="仿宋" w:hint="eastAsia"/>
          <w:sz w:val="30"/>
          <w:szCs w:val="30"/>
        </w:rPr>
        <w:t>是抵质押品和风险暴露币种错配的折扣系数。</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w:t>
      </w:r>
      <w:r>
        <w:rPr>
          <w:rFonts w:ascii="仿宋_GB2312" w:eastAsia="仿宋_GB2312" w:hint="eastAsia"/>
          <w:noProof/>
        </w:rPr>
        <w:drawing>
          <wp:inline distT="0" distB="0" distL="114300" distR="114300" wp14:anchorId="5EA52D45" wp14:editId="01C6A82E">
            <wp:extent cx="400050" cy="228600"/>
            <wp:effectExtent l="0" t="0" r="0" b="0"/>
            <wp:docPr id="2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6"/>
                    <pic:cNvPicPr>
                      <a:picLocks noChangeAspect="1"/>
                    </pic:cNvPicPr>
                  </pic:nvPicPr>
                  <pic:blipFill>
                    <a:blip r:embed="rId23"/>
                    <a:stretch>
                      <a:fillRect/>
                    </a:stretch>
                  </pic:blipFill>
                  <pic:spPr>
                    <a:xfrm>
                      <a:off x="0" y="0"/>
                      <a:ext cx="400050" cy="228600"/>
                    </a:xfrm>
                    <a:prstGeom prst="rect">
                      <a:avLst/>
                    </a:prstGeom>
                    <a:noFill/>
                    <a:ln>
                      <a:noFill/>
                    </a:ln>
                  </pic:spPr>
                </pic:pic>
              </a:graphicData>
            </a:graphic>
          </wp:inline>
        </w:drawing>
      </w:r>
      <w:proofErr w:type="gramStart"/>
      <w:r>
        <w:rPr>
          <w:rFonts w:ascii="仿宋_GB2312" w:eastAsia="仿宋_GB2312" w:hAnsi="仿宋" w:cs="仿宋" w:hint="eastAsia"/>
          <w:sz w:val="30"/>
          <w:szCs w:val="30"/>
        </w:rPr>
        <w:t>是无抵质押</w:t>
      </w:r>
      <w:proofErr w:type="gramEnd"/>
      <w:r>
        <w:rPr>
          <w:rFonts w:ascii="仿宋_GB2312" w:eastAsia="仿宋_GB2312" w:hAnsi="仿宋" w:cs="仿宋" w:hint="eastAsia"/>
          <w:sz w:val="30"/>
          <w:szCs w:val="30"/>
        </w:rPr>
        <w:t>品覆盖部分的违约损失率。</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w:t>
      </w:r>
      <w:r>
        <w:rPr>
          <w:rFonts w:ascii="仿宋_GB2312" w:eastAsia="仿宋_GB2312" w:hAnsi="仿宋" w:cs="仿宋" w:hint="eastAsia"/>
          <w:position w:val="-12"/>
          <w:sz w:val="30"/>
          <w:szCs w:val="30"/>
        </w:rPr>
        <w:object w:dxaOrig="2110" w:dyaOrig="356">
          <v:shape id="_x0000_i1029" type="#_x0000_t75" style="width:105.6pt;height:17.85pt" o:ole="">
            <v:imagedata r:id="rId24" o:title=""/>
          </v:shape>
          <o:OLEObject Type="Embed" ProgID="Equation.3" ShapeID="_x0000_i1029" DrawAspect="Content" ObjectID="_1738154504" r:id="rId25"/>
        </w:object>
      </w:r>
      <w:r>
        <w:rPr>
          <w:rFonts w:ascii="仿宋_GB2312" w:eastAsia="仿宋_GB2312" w:hAnsi="仿宋" w:cs="仿宋" w:hint="eastAsia"/>
          <w:sz w:val="30"/>
          <w:szCs w:val="30"/>
        </w:rPr>
        <w:t>。</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7.</w:t>
      </w:r>
      <w:r>
        <w:rPr>
          <w:rFonts w:ascii="仿宋_GB2312" w:eastAsia="仿宋_GB2312" w:hint="eastAsia"/>
          <w:noProof/>
        </w:rPr>
        <w:drawing>
          <wp:inline distT="0" distB="0" distL="114300" distR="114300" wp14:anchorId="3D2EA6B5" wp14:editId="41BE37DC">
            <wp:extent cx="180975" cy="228600"/>
            <wp:effectExtent l="0" t="0" r="2540" b="0"/>
            <wp:docPr id="3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8"/>
                    <pic:cNvPicPr>
                      <a:picLocks noChangeAspect="1"/>
                    </pic:cNvPicPr>
                  </pic:nvPicPr>
                  <pic:blipFill>
                    <a:blip r:embed="rId26"/>
                    <a:stretch>
                      <a:fillRect/>
                    </a:stretch>
                  </pic:blipFill>
                  <pic:spPr>
                    <a:xfrm>
                      <a:off x="0" y="0"/>
                      <a:ext cx="180975" cy="228600"/>
                    </a:xfrm>
                    <a:prstGeom prst="rect">
                      <a:avLst/>
                    </a:prstGeom>
                    <a:noFill/>
                    <a:ln>
                      <a:noFill/>
                    </a:ln>
                  </pic:spPr>
                </pic:pic>
              </a:graphicData>
            </a:graphic>
          </wp:inline>
        </w:drawing>
      </w:r>
      <w:r>
        <w:rPr>
          <w:rFonts w:ascii="仿宋_GB2312" w:eastAsia="仿宋_GB2312" w:hAnsi="仿宋" w:cs="仿宋" w:hint="eastAsia"/>
          <w:sz w:val="30"/>
          <w:szCs w:val="30"/>
        </w:rPr>
        <w:t>和</w:t>
      </w:r>
      <w:r>
        <w:rPr>
          <w:rFonts w:ascii="仿宋_GB2312" w:eastAsia="仿宋_GB2312" w:hint="eastAsia"/>
          <w:noProof/>
        </w:rPr>
        <w:drawing>
          <wp:inline distT="0" distB="0" distL="114300" distR="114300" wp14:anchorId="3971D60D" wp14:editId="5F2D9679">
            <wp:extent cx="180975" cy="228600"/>
            <wp:effectExtent l="0" t="0" r="0" b="0"/>
            <wp:docPr id="32"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9"/>
                    <pic:cNvPicPr>
                      <a:picLocks noChangeAspect="1"/>
                    </pic:cNvPicPr>
                  </pic:nvPicPr>
                  <pic:blipFill>
                    <a:blip r:embed="rId27"/>
                    <a:stretch>
                      <a:fillRect/>
                    </a:stretch>
                  </pic:blipFill>
                  <pic:spPr>
                    <a:xfrm>
                      <a:off x="0" y="0"/>
                      <a:ext cx="180975" cy="228600"/>
                    </a:xfrm>
                    <a:prstGeom prst="rect">
                      <a:avLst/>
                    </a:prstGeom>
                    <a:noFill/>
                    <a:ln>
                      <a:noFill/>
                    </a:ln>
                  </pic:spPr>
                </pic:pic>
              </a:graphicData>
            </a:graphic>
          </wp:inline>
        </w:drawing>
      </w:r>
      <w:r>
        <w:rPr>
          <w:rFonts w:ascii="仿宋_GB2312" w:eastAsia="仿宋_GB2312" w:hAnsi="仿宋" w:cs="仿宋" w:hint="eastAsia"/>
          <w:sz w:val="30"/>
          <w:szCs w:val="30"/>
        </w:rPr>
        <w:t>仅用于计算</w:t>
      </w:r>
      <w:r>
        <w:rPr>
          <w:rFonts w:ascii="仿宋_GB2312" w:eastAsia="仿宋_GB2312" w:hAnsi="仿宋" w:cs="仿宋" w:hint="eastAsia"/>
          <w:sz w:val="30"/>
          <w:szCs w:val="30"/>
        </w:rPr>
        <w:object w:dxaOrig="528" w:dyaOrig="328">
          <v:shape id="_x0000_i1030" type="#_x0000_t75" style="width:26.4pt;height:16.45pt" o:ole="">
            <v:imagedata r:id="rId28" o:title=""/>
          </v:shape>
          <o:OLEObject Type="Embed" ProgID="Equation.3" ShapeID="_x0000_i1030" DrawAspect="Content" ObjectID="_1738154505" r:id="rId29"/>
        </w:object>
      </w:r>
      <w:r>
        <w:rPr>
          <w:rFonts w:ascii="仿宋_GB2312" w:eastAsia="仿宋_GB2312" w:hAnsi="仿宋" w:cs="仿宋" w:hint="eastAsia"/>
          <w:sz w:val="30"/>
          <w:szCs w:val="30"/>
        </w:rPr>
        <w:t>。商业银行计算违约风险暴露时不应考虑抵质押品的缓释作用，另有规定除外。</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sz w:val="30"/>
          <w:szCs w:val="30"/>
        </w:rPr>
        <w:t>8.抵质押品覆盖部分的违约损失率</w:t>
      </w:r>
      <w:r>
        <w:rPr>
          <w:rFonts w:ascii="仿宋_GB2312" w:eastAsia="仿宋_GB2312" w:hint="eastAsia"/>
          <w:noProof/>
        </w:rPr>
        <w:drawing>
          <wp:inline distT="0" distB="0" distL="114300" distR="114300" wp14:anchorId="72F2936B" wp14:editId="5F0E6C8D">
            <wp:extent cx="400050" cy="200025"/>
            <wp:effectExtent l="0" t="0" r="0" b="0"/>
            <wp:docPr id="3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1"/>
                    <pic:cNvPicPr>
                      <a:picLocks noChangeAspect="1"/>
                    </pic:cNvPicPr>
                  </pic:nvPicPr>
                  <pic:blipFill>
                    <a:blip r:embed="rId30"/>
                    <a:stretch>
                      <a:fillRect/>
                    </a:stretch>
                  </pic:blipFill>
                  <pic:spPr>
                    <a:xfrm>
                      <a:off x="0" y="0"/>
                      <a:ext cx="400050" cy="200025"/>
                    </a:xfrm>
                    <a:prstGeom prst="rect">
                      <a:avLst/>
                    </a:prstGeom>
                    <a:noFill/>
                    <a:ln>
                      <a:noFill/>
                    </a:ln>
                  </pic:spPr>
                </pic:pic>
              </a:graphicData>
            </a:graphic>
          </wp:inline>
        </w:drawing>
      </w:r>
      <w:r>
        <w:rPr>
          <w:rFonts w:ascii="仿宋_GB2312" w:eastAsia="仿宋_GB2312" w:hAnsi="仿宋" w:cs="仿宋" w:hint="eastAsia"/>
          <w:sz w:val="30"/>
          <w:szCs w:val="30"/>
        </w:rPr>
        <w:t>和风险暴露折扣系数</w:t>
      </w:r>
      <w:r>
        <w:rPr>
          <w:rFonts w:ascii="仿宋_GB2312" w:eastAsia="仿宋_GB2312" w:hint="eastAsia"/>
          <w:noProof/>
        </w:rPr>
        <w:drawing>
          <wp:inline distT="0" distB="0" distL="114300" distR="114300" wp14:anchorId="476740A7" wp14:editId="5F2821EE">
            <wp:extent cx="209550" cy="228600"/>
            <wp:effectExtent l="0" t="0" r="0" b="0"/>
            <wp:docPr id="35"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79"/>
                    <pic:cNvPicPr>
                      <a:picLocks noChangeAspect="1"/>
                    </pic:cNvPicPr>
                  </pic:nvPicPr>
                  <pic:blipFill>
                    <a:blip r:embed="rId13"/>
                    <a:stretch>
                      <a:fillRect/>
                    </a:stretch>
                  </pic:blipFill>
                  <pic:spPr>
                    <a:xfrm>
                      <a:off x="0" y="0"/>
                      <a:ext cx="209550" cy="228600"/>
                    </a:xfrm>
                    <a:prstGeom prst="rect">
                      <a:avLst/>
                    </a:prstGeom>
                    <a:noFill/>
                    <a:ln>
                      <a:noFill/>
                    </a:ln>
                  </pic:spPr>
                </pic:pic>
              </a:graphicData>
            </a:graphic>
          </wp:inline>
        </w:drawing>
      </w:r>
      <w:r>
        <w:rPr>
          <w:rFonts w:ascii="仿宋_GB2312" w:eastAsia="仿宋_GB2312" w:hAnsi="仿宋" w:cs="仿宋" w:hint="eastAsia"/>
          <w:sz w:val="30"/>
          <w:szCs w:val="30"/>
        </w:rPr>
        <w:t>、抵质押品折扣系数</w:t>
      </w:r>
      <w:r>
        <w:rPr>
          <w:rFonts w:ascii="仿宋_GB2312" w:eastAsia="仿宋_GB2312" w:hAnsi="仿宋" w:cs="仿宋" w:hint="eastAsia"/>
          <w:noProof/>
          <w:sz w:val="30"/>
          <w:szCs w:val="30"/>
        </w:rPr>
        <w:drawing>
          <wp:inline distT="0" distB="0" distL="114300" distR="114300" wp14:anchorId="21AA8A72" wp14:editId="268DE8DE">
            <wp:extent cx="241300" cy="241300"/>
            <wp:effectExtent l="0" t="0" r="0" b="0"/>
            <wp:docPr id="13"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4"/>
                    <pic:cNvPicPr>
                      <a:picLocks noChangeAspect="1"/>
                    </pic:cNvPicPr>
                  </pic:nvPicPr>
                  <pic:blipFill>
                    <a:blip r:embed="rId31" cstate="print"/>
                    <a:stretch>
                      <a:fillRect/>
                    </a:stretch>
                  </pic:blipFill>
                  <pic:spPr>
                    <a:xfrm>
                      <a:off x="0" y="0"/>
                      <a:ext cx="241300" cy="241300"/>
                    </a:xfrm>
                    <a:prstGeom prst="rect">
                      <a:avLst/>
                    </a:prstGeom>
                    <a:noFill/>
                    <a:ln>
                      <a:noFill/>
                    </a:ln>
                  </pic:spPr>
                </pic:pic>
              </a:graphicData>
            </a:graphic>
          </wp:inline>
        </w:drawing>
      </w:r>
      <w:r>
        <w:rPr>
          <w:rFonts w:ascii="仿宋_GB2312" w:eastAsia="仿宋_GB2312" w:hAnsi="仿宋" w:cs="仿宋" w:hint="eastAsia"/>
          <w:sz w:val="30"/>
          <w:szCs w:val="30"/>
        </w:rPr>
        <w:t>见下表：</w:t>
      </w:r>
    </w:p>
    <w:p w:rsidR="00AA4100" w:rsidRDefault="00174B88">
      <w:pPr>
        <w:ind w:firstLineChars="200" w:firstLine="562"/>
        <w:jc w:val="center"/>
        <w:rPr>
          <w:rFonts w:ascii="楷体_GB2312" w:eastAsia="楷体_GB2312" w:hAnsi="宋体" w:cs="Times New Roman"/>
          <w:b/>
          <w:bCs/>
          <w:sz w:val="28"/>
          <w:szCs w:val="28"/>
        </w:rPr>
      </w:pPr>
      <w:r>
        <w:rPr>
          <w:rFonts w:ascii="楷体_GB2312" w:eastAsia="楷体_GB2312" w:hAnsi="宋体" w:cs="Times New Roman" w:hint="eastAsia"/>
          <w:b/>
          <w:bCs/>
          <w:sz w:val="28"/>
          <w:szCs w:val="28"/>
        </w:rPr>
        <w:t>表1 初级内部评级法违约损失率和折扣系数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8"/>
        <w:gridCol w:w="2151"/>
        <w:gridCol w:w="2385"/>
      </w:tblGrid>
      <w:tr w:rsidR="00AA4100">
        <w:trPr>
          <w:trHeight w:val="42"/>
          <w:tblHeader/>
          <w:jc w:val="center"/>
        </w:trPr>
        <w:tc>
          <w:tcPr>
            <w:tcW w:w="2268" w:type="dxa"/>
            <w:vAlign w:val="center"/>
          </w:tcPr>
          <w:p w:rsidR="00AA4100" w:rsidRDefault="00AA4100">
            <w:pPr>
              <w:keepNext/>
              <w:widowControl/>
              <w:rPr>
                <w:rFonts w:ascii="仿宋_GB2312" w:eastAsia="仿宋_GB2312" w:hAnsi="宋体" w:cs="宋体"/>
                <w:sz w:val="24"/>
              </w:rPr>
            </w:pPr>
          </w:p>
        </w:tc>
        <w:tc>
          <w:tcPr>
            <w:tcW w:w="2151"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object w:dxaOrig="499" w:dyaOrig="356">
                <v:shape id="_x0000_i1031" type="#_x0000_t75" style="width:25.05pt;height:17.85pt" o:ole="">
                  <v:imagedata r:id="rId32" o:title=""/>
                </v:shape>
                <o:OLEObject Type="Embed" ProgID="Equation.3" ShapeID="_x0000_i1031" DrawAspect="Content" ObjectID="_1738154506" r:id="rId33"/>
              </w:object>
            </w:r>
          </w:p>
        </w:tc>
        <w:tc>
          <w:tcPr>
            <w:tcW w:w="2385"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折扣系数（</w:t>
            </w:r>
            <w:r>
              <w:rPr>
                <w:rFonts w:ascii="仿宋_GB2312" w:eastAsia="仿宋_GB2312" w:hint="eastAsia"/>
                <w:noProof/>
              </w:rPr>
              <w:drawing>
                <wp:inline distT="0" distB="0" distL="114300" distR="114300" wp14:anchorId="2D2B61FE" wp14:editId="745B22D7">
                  <wp:extent cx="209550" cy="228600"/>
                  <wp:effectExtent l="0" t="0" r="0" b="0"/>
                  <wp:docPr id="3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79"/>
                          <pic:cNvPicPr>
                            <a:picLocks noChangeAspect="1"/>
                          </pic:cNvPicPr>
                        </pic:nvPicPr>
                        <pic:blipFill>
                          <a:blip r:embed="rId13"/>
                          <a:stretch>
                            <a:fillRect/>
                          </a:stretch>
                        </pic:blipFill>
                        <pic:spPr>
                          <a:xfrm>
                            <a:off x="0" y="0"/>
                            <a:ext cx="209550" cy="228600"/>
                          </a:xfrm>
                          <a:prstGeom prst="rect">
                            <a:avLst/>
                          </a:prstGeom>
                          <a:noFill/>
                          <a:ln>
                            <a:noFill/>
                          </a:ln>
                        </pic:spPr>
                      </pic:pic>
                    </a:graphicData>
                  </a:graphic>
                </wp:inline>
              </w:drawing>
            </w:r>
            <w:r>
              <w:rPr>
                <w:rFonts w:ascii="仿宋_GB2312" w:eastAsia="仿宋_GB2312" w:hAnsi="宋体" w:cs="宋体" w:hint="eastAsia"/>
                <w:sz w:val="24"/>
              </w:rPr>
              <w:t>、</w:t>
            </w:r>
            <w:r>
              <w:rPr>
                <w:rFonts w:ascii="仿宋_GB2312" w:eastAsia="仿宋_GB2312" w:hAnsi="仿宋" w:cs="仿宋" w:hint="eastAsia"/>
                <w:noProof/>
                <w:sz w:val="30"/>
                <w:szCs w:val="30"/>
              </w:rPr>
              <w:drawing>
                <wp:inline distT="0" distB="0" distL="114300" distR="114300" wp14:anchorId="67547C94" wp14:editId="2F3C17F4">
                  <wp:extent cx="241300" cy="241300"/>
                  <wp:effectExtent l="0" t="0" r="0" b="0"/>
                  <wp:docPr id="38"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84"/>
                          <pic:cNvPicPr>
                            <a:picLocks noChangeAspect="1"/>
                          </pic:cNvPicPr>
                        </pic:nvPicPr>
                        <pic:blipFill>
                          <a:blip r:embed="rId31" cstate="print"/>
                          <a:stretch>
                            <a:fillRect/>
                          </a:stretch>
                        </pic:blipFill>
                        <pic:spPr>
                          <a:xfrm>
                            <a:off x="0" y="0"/>
                            <a:ext cx="241300" cy="241300"/>
                          </a:xfrm>
                          <a:prstGeom prst="rect">
                            <a:avLst/>
                          </a:prstGeom>
                          <a:noFill/>
                          <a:ln>
                            <a:noFill/>
                          </a:ln>
                        </pic:spPr>
                      </pic:pic>
                    </a:graphicData>
                  </a:graphic>
                </wp:inline>
              </w:drawing>
            </w:r>
            <w:r>
              <w:rPr>
                <w:rFonts w:ascii="仿宋_GB2312" w:eastAsia="仿宋_GB2312" w:hAnsi="宋体" w:cs="宋体" w:hint="eastAsia"/>
                <w:sz w:val="24"/>
              </w:rPr>
              <w:t>）</w:t>
            </w:r>
          </w:p>
        </w:tc>
      </w:tr>
      <w:tr w:rsidR="00AA4100">
        <w:trPr>
          <w:trHeight w:val="42"/>
          <w:tblHeader/>
          <w:jc w:val="center"/>
        </w:trPr>
        <w:tc>
          <w:tcPr>
            <w:tcW w:w="2268" w:type="dxa"/>
            <w:vAlign w:val="center"/>
          </w:tcPr>
          <w:p w:rsidR="00AA4100" w:rsidRDefault="00174B88">
            <w:pPr>
              <w:keepNext/>
              <w:widowControl/>
              <w:rPr>
                <w:rFonts w:ascii="仿宋_GB2312" w:eastAsia="仿宋_GB2312" w:hAnsi="宋体" w:cs="宋体"/>
                <w:sz w:val="24"/>
              </w:rPr>
            </w:pPr>
            <w:r>
              <w:rPr>
                <w:rFonts w:ascii="仿宋_GB2312" w:eastAsia="仿宋_GB2312" w:hAnsi="宋体" w:cs="宋体" w:hint="eastAsia"/>
                <w:sz w:val="24"/>
              </w:rPr>
              <w:t>合格金融质押品</w:t>
            </w:r>
          </w:p>
        </w:tc>
        <w:tc>
          <w:tcPr>
            <w:tcW w:w="2151"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0%</w:t>
            </w:r>
          </w:p>
        </w:tc>
        <w:tc>
          <w:tcPr>
            <w:tcW w:w="2385"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见本附件第七部分</w:t>
            </w:r>
          </w:p>
        </w:tc>
      </w:tr>
      <w:tr w:rsidR="00AA4100">
        <w:trPr>
          <w:trHeight w:val="42"/>
          <w:jc w:val="center"/>
        </w:trPr>
        <w:tc>
          <w:tcPr>
            <w:tcW w:w="2268" w:type="dxa"/>
            <w:vAlign w:val="center"/>
          </w:tcPr>
          <w:p w:rsidR="00AA4100" w:rsidRDefault="00174B88">
            <w:pPr>
              <w:keepNext/>
              <w:widowControl/>
              <w:rPr>
                <w:rFonts w:ascii="仿宋_GB2312" w:eastAsia="仿宋_GB2312" w:hAnsi="宋体" w:cs="宋体"/>
                <w:sz w:val="24"/>
              </w:rPr>
            </w:pPr>
            <w:r>
              <w:rPr>
                <w:rFonts w:ascii="仿宋_GB2312" w:eastAsia="仿宋_GB2312" w:hAnsi="宋体" w:cs="宋体" w:hint="eastAsia"/>
                <w:sz w:val="24"/>
              </w:rPr>
              <w:t>合格应收账款</w:t>
            </w:r>
          </w:p>
        </w:tc>
        <w:tc>
          <w:tcPr>
            <w:tcW w:w="2151"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20%</w:t>
            </w:r>
          </w:p>
        </w:tc>
        <w:tc>
          <w:tcPr>
            <w:tcW w:w="2385"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40%</w:t>
            </w:r>
          </w:p>
        </w:tc>
      </w:tr>
      <w:tr w:rsidR="00AA4100">
        <w:trPr>
          <w:trHeight w:val="42"/>
          <w:jc w:val="center"/>
        </w:trPr>
        <w:tc>
          <w:tcPr>
            <w:tcW w:w="2268" w:type="dxa"/>
            <w:vAlign w:val="center"/>
          </w:tcPr>
          <w:p w:rsidR="00AA4100" w:rsidRDefault="00174B88">
            <w:pPr>
              <w:keepNext/>
              <w:widowControl/>
              <w:rPr>
                <w:rFonts w:ascii="仿宋_GB2312" w:eastAsia="仿宋_GB2312" w:hAnsi="宋体" w:cs="宋体"/>
                <w:sz w:val="24"/>
              </w:rPr>
            </w:pPr>
            <w:r>
              <w:rPr>
                <w:rFonts w:ascii="仿宋_GB2312" w:eastAsia="仿宋_GB2312" w:hAnsi="宋体" w:cs="宋体" w:hint="eastAsia"/>
                <w:sz w:val="24"/>
              </w:rPr>
              <w:t>合格商用房地产和居住用房地产</w:t>
            </w:r>
          </w:p>
        </w:tc>
        <w:tc>
          <w:tcPr>
            <w:tcW w:w="2151"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20%</w:t>
            </w:r>
          </w:p>
        </w:tc>
        <w:tc>
          <w:tcPr>
            <w:tcW w:w="2385"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40%</w:t>
            </w:r>
          </w:p>
        </w:tc>
      </w:tr>
      <w:tr w:rsidR="00AA4100">
        <w:trPr>
          <w:trHeight w:val="42"/>
          <w:jc w:val="center"/>
        </w:trPr>
        <w:tc>
          <w:tcPr>
            <w:tcW w:w="2268" w:type="dxa"/>
            <w:vAlign w:val="center"/>
          </w:tcPr>
          <w:p w:rsidR="00AA4100" w:rsidRDefault="00174B88">
            <w:pPr>
              <w:keepNext/>
              <w:widowControl/>
              <w:rPr>
                <w:rFonts w:ascii="仿宋_GB2312" w:eastAsia="仿宋_GB2312" w:hAnsi="宋体" w:cs="宋体"/>
                <w:sz w:val="24"/>
              </w:rPr>
            </w:pPr>
            <w:r>
              <w:rPr>
                <w:rFonts w:ascii="仿宋_GB2312" w:eastAsia="仿宋_GB2312" w:hAnsi="宋体" w:cs="宋体" w:hint="eastAsia"/>
                <w:sz w:val="24"/>
              </w:rPr>
              <w:t>其他合格抵质押品</w:t>
            </w:r>
          </w:p>
        </w:tc>
        <w:tc>
          <w:tcPr>
            <w:tcW w:w="2151"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25%</w:t>
            </w:r>
          </w:p>
        </w:tc>
        <w:tc>
          <w:tcPr>
            <w:tcW w:w="2385"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40%</w:t>
            </w:r>
          </w:p>
        </w:tc>
      </w:tr>
      <w:tr w:rsidR="00AA4100">
        <w:trPr>
          <w:trHeight w:val="42"/>
          <w:jc w:val="center"/>
        </w:trPr>
        <w:tc>
          <w:tcPr>
            <w:tcW w:w="2268" w:type="dxa"/>
            <w:vAlign w:val="center"/>
          </w:tcPr>
          <w:p w:rsidR="00AA4100" w:rsidRDefault="00174B88">
            <w:pPr>
              <w:keepNext/>
              <w:widowControl/>
              <w:rPr>
                <w:rFonts w:ascii="仿宋_GB2312" w:eastAsia="仿宋_GB2312" w:hAnsi="宋体" w:cs="宋体"/>
                <w:sz w:val="24"/>
              </w:rPr>
            </w:pPr>
            <w:r>
              <w:rPr>
                <w:rFonts w:ascii="仿宋_GB2312" w:eastAsia="仿宋_GB2312" w:hAnsi="宋体" w:cs="宋体" w:hint="eastAsia"/>
                <w:sz w:val="24"/>
              </w:rPr>
              <w:t>不合格抵质押品</w:t>
            </w:r>
          </w:p>
        </w:tc>
        <w:tc>
          <w:tcPr>
            <w:tcW w:w="2151"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不适用</w:t>
            </w:r>
          </w:p>
        </w:tc>
        <w:tc>
          <w:tcPr>
            <w:tcW w:w="2385" w:type="dxa"/>
            <w:vAlign w:val="center"/>
          </w:tcPr>
          <w:p w:rsidR="00AA4100" w:rsidRDefault="00174B88">
            <w:pPr>
              <w:keepNext/>
              <w:widowControl/>
              <w:jc w:val="center"/>
              <w:rPr>
                <w:rFonts w:ascii="仿宋_GB2312" w:eastAsia="仿宋_GB2312" w:hAnsi="宋体" w:cs="宋体"/>
                <w:sz w:val="24"/>
              </w:rPr>
            </w:pPr>
            <w:r>
              <w:rPr>
                <w:rFonts w:ascii="仿宋_GB2312" w:eastAsia="仿宋_GB2312" w:hAnsi="宋体" w:cs="宋体" w:hint="eastAsia"/>
                <w:sz w:val="24"/>
              </w:rPr>
              <w:t>100%</w:t>
            </w:r>
          </w:p>
        </w:tc>
      </w:tr>
    </w:tbl>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当交易为逐日盯市、逐日调整保证金且最低持有期为10个交易日时，</w:t>
      </w:r>
      <w:r>
        <w:rPr>
          <w:rFonts w:ascii="仿宋_GB2312" w:eastAsia="仿宋_GB2312" w:hAnsi="仿宋" w:cs="仿宋" w:hint="eastAsia"/>
          <w:noProof/>
          <w:position w:val="-14"/>
          <w:sz w:val="30"/>
          <w:szCs w:val="30"/>
        </w:rPr>
        <w:drawing>
          <wp:inline distT="0" distB="0" distL="114300" distR="114300" wp14:anchorId="2F6FAB7B" wp14:editId="6A125E3B">
            <wp:extent cx="278130" cy="241300"/>
            <wp:effectExtent l="0" t="0" r="0" b="0"/>
            <wp:docPr id="1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7"/>
                    <pic:cNvPicPr>
                      <a:picLocks noChangeAspect="1"/>
                    </pic:cNvPicPr>
                  </pic:nvPicPr>
                  <pic:blipFill>
                    <a:blip r:embed="rId22" cstate="print"/>
                    <a:stretch>
                      <a:fillRect/>
                    </a:stretch>
                  </pic:blipFill>
                  <pic:spPr>
                    <a:xfrm>
                      <a:off x="0" y="0"/>
                      <a:ext cx="278130" cy="241300"/>
                    </a:xfrm>
                    <a:prstGeom prst="rect">
                      <a:avLst/>
                    </a:prstGeom>
                    <a:noFill/>
                    <a:ln>
                      <a:noFill/>
                    </a:ln>
                  </pic:spPr>
                </pic:pic>
              </a:graphicData>
            </a:graphic>
          </wp:inline>
        </w:drawing>
      </w:r>
      <w:r>
        <w:rPr>
          <w:rFonts w:ascii="仿宋_GB2312" w:eastAsia="仿宋_GB2312" w:hAnsi="仿宋" w:cs="仿宋" w:hint="eastAsia"/>
          <w:sz w:val="30"/>
          <w:szCs w:val="30"/>
        </w:rPr>
        <w:t>的标准折扣系数为8%，合格金融质押品的</w:t>
      </w:r>
      <w:r>
        <w:rPr>
          <w:rFonts w:ascii="仿宋_GB2312" w:eastAsia="仿宋_GB2312" w:hAnsi="仿宋" w:cs="仿宋" w:hint="eastAsia"/>
          <w:sz w:val="30"/>
          <w:szCs w:val="30"/>
        </w:rPr>
        <w:object w:dxaOrig="356" w:dyaOrig="356">
          <v:shape id="_x0000_i1032" type="#_x0000_t75" style="width:17.85pt;height:17.85pt" o:ole="">
            <v:imagedata r:id="rId34" o:title=""/>
          </v:shape>
          <o:OLEObject Type="Embed" ProgID="Equation.3" ShapeID="_x0000_i1032" DrawAspect="Content" ObjectID="_1738154507" r:id="rId35"/>
        </w:object>
      </w:r>
      <w:r>
        <w:rPr>
          <w:rFonts w:ascii="仿宋_GB2312" w:eastAsia="仿宋_GB2312" w:hAnsi="仿宋" w:cs="仿宋" w:hint="eastAsia"/>
          <w:sz w:val="30"/>
          <w:szCs w:val="30"/>
        </w:rPr>
        <w:t>和</w:t>
      </w:r>
      <w:r>
        <w:rPr>
          <w:rFonts w:ascii="仿宋_GB2312" w:eastAsia="仿宋_GB2312" w:hAnsi="仿宋" w:cs="仿宋" w:hint="eastAsia"/>
          <w:noProof/>
          <w:sz w:val="30"/>
          <w:szCs w:val="30"/>
        </w:rPr>
        <w:drawing>
          <wp:inline distT="0" distB="0" distL="114300" distR="114300" wp14:anchorId="5DB5E163" wp14:editId="259478A5">
            <wp:extent cx="241300" cy="241300"/>
            <wp:effectExtent l="0" t="0" r="0" b="0"/>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31" cstate="print"/>
                    <a:stretch>
                      <a:fillRect/>
                    </a:stretch>
                  </pic:blipFill>
                  <pic:spPr>
                    <a:xfrm>
                      <a:off x="0" y="0"/>
                      <a:ext cx="241300" cy="241300"/>
                    </a:xfrm>
                    <a:prstGeom prst="rect">
                      <a:avLst/>
                    </a:prstGeom>
                    <a:noFill/>
                    <a:ln>
                      <a:noFill/>
                    </a:ln>
                  </pic:spPr>
                </pic:pic>
              </a:graphicData>
            </a:graphic>
          </wp:inline>
        </w:drawing>
      </w:r>
      <w:r>
        <w:rPr>
          <w:rFonts w:ascii="仿宋_GB2312" w:eastAsia="仿宋_GB2312" w:hAnsi="仿宋" w:cs="仿宋" w:hint="eastAsia"/>
          <w:sz w:val="30"/>
          <w:szCs w:val="30"/>
        </w:rPr>
        <w:t>的标准折扣系数见本附件第七部分；对不同最低持有期限或再评估频率的交易，商业银行应根据本附件第七部分的规定调整</w:t>
      </w:r>
      <w:r>
        <w:rPr>
          <w:rFonts w:ascii="仿宋_GB2312" w:eastAsia="仿宋_GB2312" w:hAnsi="仿宋" w:cs="仿宋" w:hint="eastAsia"/>
          <w:noProof/>
          <w:position w:val="-14"/>
          <w:sz w:val="30"/>
          <w:szCs w:val="30"/>
        </w:rPr>
        <w:drawing>
          <wp:inline distT="0" distB="0" distL="114300" distR="114300" wp14:anchorId="4BE51813" wp14:editId="2ED96B58">
            <wp:extent cx="278130" cy="241300"/>
            <wp:effectExtent l="0" t="0" r="0" b="0"/>
            <wp:docPr id="2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7"/>
                    <pic:cNvPicPr>
                      <a:picLocks noChangeAspect="1"/>
                    </pic:cNvPicPr>
                  </pic:nvPicPr>
                  <pic:blipFill>
                    <a:blip r:embed="rId22" cstate="print"/>
                    <a:stretch>
                      <a:fillRect/>
                    </a:stretch>
                  </pic:blipFill>
                  <pic:spPr>
                    <a:xfrm>
                      <a:off x="0" y="0"/>
                      <a:ext cx="278130" cy="241300"/>
                    </a:xfrm>
                    <a:prstGeom prst="rect">
                      <a:avLst/>
                    </a:prstGeom>
                    <a:noFill/>
                    <a:ln>
                      <a:noFill/>
                    </a:ln>
                  </pic:spPr>
                </pic:pic>
              </a:graphicData>
            </a:graphic>
          </wp:inline>
        </w:drawing>
      </w:r>
      <w:r>
        <w:rPr>
          <w:rFonts w:ascii="仿宋_GB2312" w:eastAsia="仿宋_GB2312" w:hAnsi="仿宋" w:cs="仿宋" w:hint="eastAsia"/>
          <w:position w:val="-14"/>
          <w:sz w:val="30"/>
          <w:szCs w:val="30"/>
        </w:rPr>
        <w:t>、</w:t>
      </w:r>
      <w:r>
        <w:rPr>
          <w:rFonts w:ascii="仿宋_GB2312" w:eastAsia="仿宋_GB2312" w:hAnsi="仿宋" w:cs="仿宋" w:hint="eastAsia"/>
          <w:sz w:val="30"/>
          <w:szCs w:val="30"/>
        </w:rPr>
        <w:t>合格金融质押品的</w:t>
      </w:r>
      <w:r>
        <w:rPr>
          <w:rFonts w:ascii="仿宋_GB2312" w:eastAsia="仿宋_GB2312" w:hAnsi="仿宋" w:cs="仿宋" w:hint="eastAsia"/>
          <w:sz w:val="30"/>
          <w:szCs w:val="30"/>
        </w:rPr>
        <w:object w:dxaOrig="356" w:dyaOrig="356">
          <v:shape id="_x0000_i1033" type="#_x0000_t75" style="width:17.85pt;height:17.85pt" o:ole="">
            <v:imagedata r:id="rId34" o:title=""/>
          </v:shape>
          <o:OLEObject Type="Embed" ProgID="Equation.3" ShapeID="_x0000_i1033" DrawAspect="Content" ObjectID="_1738154508" r:id="rId36"/>
        </w:object>
      </w:r>
      <w:r>
        <w:rPr>
          <w:rFonts w:ascii="仿宋_GB2312" w:eastAsia="仿宋_GB2312" w:hAnsi="仿宋" w:cs="仿宋" w:hint="eastAsia"/>
          <w:sz w:val="30"/>
          <w:szCs w:val="30"/>
        </w:rPr>
        <w:t>和</w:t>
      </w:r>
      <w:r>
        <w:rPr>
          <w:rFonts w:ascii="仿宋_GB2312" w:eastAsia="仿宋_GB2312" w:hAnsi="仿宋" w:cs="仿宋" w:hint="eastAsia"/>
          <w:noProof/>
          <w:sz w:val="30"/>
          <w:szCs w:val="30"/>
        </w:rPr>
        <w:drawing>
          <wp:inline distT="0" distB="0" distL="114300" distR="114300" wp14:anchorId="65F7CBA9" wp14:editId="6E4CF12D">
            <wp:extent cx="241300" cy="241300"/>
            <wp:effectExtent l="0" t="0" r="0" b="0"/>
            <wp:docPr id="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
                    <pic:cNvPicPr>
                      <a:picLocks noChangeAspect="1"/>
                    </pic:cNvPicPr>
                  </pic:nvPicPr>
                  <pic:blipFill>
                    <a:blip r:embed="rId31" cstate="print"/>
                    <a:stretch>
                      <a:fillRect/>
                    </a:stretch>
                  </pic:blipFill>
                  <pic:spPr>
                    <a:xfrm>
                      <a:off x="0" y="0"/>
                      <a:ext cx="241300" cy="241300"/>
                    </a:xfrm>
                    <a:prstGeom prst="rect">
                      <a:avLst/>
                    </a:prstGeom>
                    <a:noFill/>
                    <a:ln>
                      <a:noFill/>
                    </a:ln>
                  </pic:spPr>
                </pic:pic>
              </a:graphicData>
            </a:graphic>
          </wp:inline>
        </w:drawing>
      </w:r>
      <w:r>
        <w:rPr>
          <w:rFonts w:ascii="仿宋_GB2312" w:eastAsia="仿宋_GB2312" w:hAnsi="仿宋" w:cs="仿宋" w:hint="eastAsia"/>
          <w:sz w:val="30"/>
          <w:szCs w:val="30"/>
        </w:rPr>
        <w:t>。</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六）信用风险缓释工具的剩余期限比当前风险暴露的剩余期限短时，商业银行应考虑期限错配的影响。存在期限错配时，若信用风险缓释工具的原始期限不足1年或剩余期限不足3个月，则不具有信用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1．对合格信用风险缓释工具的期限错配按下式调整：</w:t>
      </w:r>
    </w:p>
    <w:p w:rsidR="00AA4100" w:rsidRDefault="00174B88" w:rsidP="000227F5">
      <w:pPr>
        <w:ind w:leftChars="36" w:left="76"/>
        <w:jc w:val="center"/>
        <w:rPr>
          <w:rFonts w:ascii="仿宋_GB2312" w:eastAsia="仿宋_GB2312" w:hAnsi="仿宋" w:cs="仿宋"/>
          <w:sz w:val="30"/>
          <w:szCs w:val="30"/>
        </w:rPr>
      </w:pPr>
      <w:r>
        <w:rPr>
          <w:rFonts w:ascii="仿宋_GB2312" w:eastAsia="仿宋_GB2312" w:hAnsi="仿宋" w:cs="仿宋" w:hint="eastAsia"/>
          <w:position w:val="-12"/>
          <w:sz w:val="30"/>
          <w:szCs w:val="30"/>
        </w:rPr>
        <w:object w:dxaOrig="3167" w:dyaOrig="410">
          <v:shape id="_x0000_i1034" type="#_x0000_t75" style="width:158.4pt;height:20.55pt" o:ole="">
            <v:imagedata r:id="rId37" o:title=""/>
          </v:shape>
          <o:OLEObject Type="Embed" ProgID="Equation.3" ShapeID="_x0000_i1034" DrawAspect="Content" ObjectID="_1738154509" r:id="rId38"/>
        </w:objec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85" w:dyaOrig="356">
          <v:shape id="_x0000_i1035" type="#_x0000_t75" style="width:14.4pt;height:17.85pt" o:ole="">
            <v:imagedata r:id="rId39" o:title=""/>
          </v:shape>
          <o:OLEObject Type="Embed" ProgID="Equation.3" ShapeID="_x0000_i1035" DrawAspect="Content" ObjectID="_1738154510" r:id="rId40"/>
        </w:object>
      </w:r>
      <w:r>
        <w:rPr>
          <w:rFonts w:ascii="仿宋_GB2312" w:eastAsia="仿宋_GB2312" w:hAnsi="仿宋" w:cs="仿宋" w:hint="eastAsia"/>
          <w:sz w:val="30"/>
          <w:szCs w:val="30"/>
        </w:rPr>
        <w:t>为期限错配因素调整后的信用风险缓释价值；</w:t>
      </w:r>
    </w:p>
    <w:p w:rsidR="00AA4100" w:rsidRDefault="00174B88">
      <w:pPr>
        <w:spacing w:line="480" w:lineRule="exact"/>
        <w:ind w:leftChars="36" w:left="76"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42" w:dyaOrig="242">
          <v:shape id="_x0000_i1036" type="#_x0000_t75" style="width:12pt;height:12pt" o:ole="">
            <v:imagedata r:id="rId41" o:title=""/>
          </v:shape>
          <o:OLEObject Type="Embed" ProgID="Equation.3" ShapeID="_x0000_i1036" DrawAspect="Content" ObjectID="_1738154511" r:id="rId42"/>
        </w:object>
      </w:r>
      <w:r>
        <w:rPr>
          <w:rFonts w:ascii="仿宋_GB2312" w:eastAsia="仿宋_GB2312" w:hAnsi="仿宋" w:cs="仿宋" w:hint="eastAsia"/>
          <w:sz w:val="30"/>
          <w:szCs w:val="30"/>
        </w:rPr>
        <w:t>为期限错配因素调整前经各种折扣系数调整后的信用风险缓释价值；</w:t>
      </w:r>
    </w:p>
    <w:p w:rsidR="00AA4100" w:rsidRDefault="00174B88">
      <w:pPr>
        <w:spacing w:line="480" w:lineRule="exact"/>
        <w:ind w:leftChars="36" w:left="76"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28" w:dyaOrig="242">
          <v:shape id="_x0000_i1037" type="#_x0000_t75" style="width:11.3pt;height:12pt" o:ole="">
            <v:imagedata r:id="rId43" o:title=""/>
          </v:shape>
          <o:OLEObject Type="Embed" ProgID="Equation.3" ShapeID="_x0000_i1037" DrawAspect="Content" ObjectID="_1738154512" r:id="rId44"/>
        </w:object>
      </w:r>
      <w:r>
        <w:rPr>
          <w:rFonts w:ascii="仿宋_GB2312" w:eastAsia="仿宋_GB2312" w:hAnsi="仿宋" w:cs="仿宋" w:hint="eastAsia"/>
          <w:sz w:val="30"/>
          <w:szCs w:val="30"/>
        </w:rPr>
        <w:t>为风险暴露的剩余期限与5之间的较小值，以年表示；</w:t>
      </w:r>
    </w:p>
    <w:p w:rsidR="00AA4100" w:rsidRDefault="00174B88">
      <w:pPr>
        <w:spacing w:line="480" w:lineRule="exact"/>
        <w:ind w:leftChars="36" w:left="76"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143" w:dyaOrig="242">
          <v:shape id="_x0000_i1038" type="#_x0000_t75" style="width:7.2pt;height:12pt" o:ole="">
            <v:imagedata r:id="rId45" o:title=""/>
          </v:shape>
          <o:OLEObject Type="Embed" ProgID="Equation.3" ShapeID="_x0000_i1038" DrawAspect="Content" ObjectID="_1738154513" r:id="rId46"/>
        </w:object>
      </w:r>
      <w:r>
        <w:rPr>
          <w:rFonts w:ascii="仿宋_GB2312" w:eastAsia="仿宋_GB2312" w:hAnsi="仿宋" w:cs="仿宋" w:hint="eastAsia"/>
          <w:sz w:val="30"/>
          <w:szCs w:val="30"/>
        </w:rPr>
        <w:t>为信用保护的剩余期限与T之间的较小值，以年表示。</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2.期限错配的规定同样适用于净额结算、保证和信用衍生工具的情况。</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七）采用初级内部评级法的商业银行，利用多种形式抵质押品对同一风险暴露共同担保时，需要将风险暴露拆分为由不同抵质押品覆盖的部分，采用本部分（五）中的公式，对每类抵质押品依次计算。拆分按金融质押品、应收账款、商用房地产和居住用房地产以及其他抵质押品的顺序进行。风险暴露价值分成完全由金融质押品质</w:t>
      </w:r>
      <w:proofErr w:type="gramStart"/>
      <w:r>
        <w:rPr>
          <w:rFonts w:ascii="仿宋_GB2312" w:eastAsia="仿宋_GB2312" w:hAnsi="仿宋" w:cs="仿宋" w:hint="eastAsia"/>
          <w:sz w:val="30"/>
          <w:szCs w:val="30"/>
        </w:rPr>
        <w:t>押</w:t>
      </w:r>
      <w:proofErr w:type="gramEnd"/>
      <w:r>
        <w:rPr>
          <w:rFonts w:ascii="仿宋_GB2312" w:eastAsia="仿宋_GB2312" w:hAnsi="仿宋" w:cs="仿宋" w:hint="eastAsia"/>
          <w:sz w:val="30"/>
          <w:szCs w:val="30"/>
        </w:rPr>
        <w:t>部分、完全由应收账款质押部分、完全由商用房地产和居住用房地产抵押部分、完全由其他抵质押品担保部分</w:t>
      </w:r>
      <w:proofErr w:type="gramStart"/>
      <w:r>
        <w:rPr>
          <w:rFonts w:ascii="仿宋_GB2312" w:eastAsia="仿宋_GB2312" w:hAnsi="仿宋" w:cs="仿宋" w:hint="eastAsia"/>
          <w:sz w:val="30"/>
          <w:szCs w:val="30"/>
        </w:rPr>
        <w:t>及无抵质押</w:t>
      </w:r>
      <w:proofErr w:type="gramEnd"/>
      <w:r>
        <w:rPr>
          <w:rFonts w:ascii="仿宋_GB2312" w:eastAsia="仿宋_GB2312" w:hAnsi="仿宋" w:cs="仿宋" w:hint="eastAsia"/>
          <w:sz w:val="30"/>
          <w:szCs w:val="30"/>
        </w:rPr>
        <w:t>部分。调整后的违约损失率为：</w:t>
      </w:r>
    </w:p>
    <w:p w:rsidR="00AA4100" w:rsidRDefault="00174B88">
      <w:pPr>
        <w:jc w:val="center"/>
      </w:pPr>
      <w:r>
        <w:rPr>
          <w:rFonts w:hint="eastAsia"/>
        </w:rPr>
        <w:object w:dxaOrig="5368" w:dyaOrig="687">
          <v:shape id="_x0000_i1039" type="#_x0000_t75" style="width:268.45pt;height:34.3pt" o:ole="">
            <v:imagedata r:id="rId47" o:title=""/>
          </v:shape>
          <o:OLEObject Type="Embed" ProgID="Equation.3" ShapeID="_x0000_i1039" DrawAspect="Content" ObjectID="_1738154514" r:id="rId48"/>
        </w:objec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其中，对每类抵质押品</w:t>
      </w:r>
      <w:proofErr w:type="spellStart"/>
      <w:r>
        <w:rPr>
          <w:rFonts w:ascii="仿宋_GB2312" w:eastAsia="仿宋_GB2312" w:hAnsi="仿宋" w:cs="仿宋" w:hint="eastAsia"/>
          <w:sz w:val="30"/>
          <w:szCs w:val="30"/>
        </w:rPr>
        <w:t>i</w:t>
      </w:r>
      <w:proofErr w:type="spellEnd"/>
      <w:r>
        <w:rPr>
          <w:rFonts w:ascii="仿宋_GB2312" w:eastAsia="仿宋_GB2312" w:hAnsi="仿宋" w:cs="仿宋" w:hint="eastAsia"/>
          <w:sz w:val="30"/>
          <w:szCs w:val="30"/>
        </w:rPr>
        <w:t>：</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noProof/>
          <w:sz w:val="30"/>
          <w:szCs w:val="30"/>
        </w:rPr>
        <w:drawing>
          <wp:inline distT="0" distB="0" distL="114300" distR="114300" wp14:anchorId="2A15077C" wp14:editId="03CCEFED">
            <wp:extent cx="409575" cy="238125"/>
            <wp:effectExtent l="0" t="0" r="0" b="0"/>
            <wp:docPr id="39"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3"/>
                    <pic:cNvPicPr>
                      <a:picLocks noChangeAspect="1"/>
                    </pic:cNvPicPr>
                  </pic:nvPicPr>
                  <pic:blipFill>
                    <a:blip r:embed="rId49"/>
                    <a:stretch>
                      <a:fillRect/>
                    </a:stretch>
                  </pic:blipFill>
                  <pic:spPr>
                    <a:xfrm>
                      <a:off x="0" y="0"/>
                      <a:ext cx="409575" cy="238125"/>
                    </a:xfrm>
                    <a:prstGeom prst="rect">
                      <a:avLst/>
                    </a:prstGeom>
                    <a:noFill/>
                    <a:ln>
                      <a:noFill/>
                    </a:ln>
                  </pic:spPr>
                </pic:pic>
              </a:graphicData>
            </a:graphic>
          </wp:inline>
        </w:drawing>
      </w:r>
      <w:r>
        <w:rPr>
          <w:rFonts w:ascii="仿宋_GB2312" w:eastAsia="仿宋_GB2312" w:hAnsi="仿宋" w:cs="仿宋" w:hint="eastAsia"/>
          <w:sz w:val="30"/>
          <w:szCs w:val="30"/>
        </w:rPr>
        <w:t>是该类抵质押品覆盖部分的违约损失率；</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noProof/>
          <w:sz w:val="30"/>
          <w:szCs w:val="30"/>
        </w:rPr>
        <w:drawing>
          <wp:inline distT="0" distB="0" distL="114300" distR="114300" wp14:anchorId="681CFC56" wp14:editId="3B0953A6">
            <wp:extent cx="209550" cy="238125"/>
            <wp:effectExtent l="0" t="0" r="0" b="0"/>
            <wp:docPr id="40"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94"/>
                    <pic:cNvPicPr>
                      <a:picLocks noChangeAspect="1"/>
                    </pic:cNvPicPr>
                  </pic:nvPicPr>
                  <pic:blipFill>
                    <a:blip r:embed="rId50"/>
                    <a:stretch>
                      <a:fillRect/>
                    </a:stretch>
                  </pic:blipFill>
                  <pic:spPr>
                    <a:xfrm>
                      <a:off x="0" y="0"/>
                      <a:ext cx="209550" cy="238125"/>
                    </a:xfrm>
                    <a:prstGeom prst="rect">
                      <a:avLst/>
                    </a:prstGeom>
                    <a:noFill/>
                    <a:ln>
                      <a:noFill/>
                    </a:ln>
                  </pic:spPr>
                </pic:pic>
              </a:graphicData>
            </a:graphic>
          </wp:inline>
        </w:drawing>
      </w:r>
      <w:r>
        <w:rPr>
          <w:rFonts w:ascii="仿宋_GB2312" w:eastAsia="仿宋_GB2312" w:hAnsi="仿宋" w:cs="仿宋" w:hint="eastAsia"/>
          <w:sz w:val="30"/>
          <w:szCs w:val="30"/>
        </w:rPr>
        <w:t>是经该类抵质押品折扣系数（</w:t>
      </w:r>
      <w:r>
        <w:rPr>
          <w:rFonts w:ascii="仿宋_GB2312" w:eastAsia="仿宋_GB2312" w:hAnsi="仿宋" w:cs="仿宋" w:hint="eastAsia"/>
          <w:noProof/>
          <w:sz w:val="30"/>
          <w:szCs w:val="30"/>
        </w:rPr>
        <w:drawing>
          <wp:inline distT="0" distB="0" distL="114300" distR="114300" wp14:anchorId="6FDACA10" wp14:editId="3786C1F2">
            <wp:extent cx="241300" cy="241300"/>
            <wp:effectExtent l="0" t="0" r="0" b="0"/>
            <wp:docPr id="4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
                    <pic:cNvPicPr>
                      <a:picLocks noChangeAspect="1"/>
                    </pic:cNvPicPr>
                  </pic:nvPicPr>
                  <pic:blipFill>
                    <a:blip r:embed="rId31" cstate="print"/>
                    <a:stretch>
                      <a:fillRect/>
                    </a:stretch>
                  </pic:blipFill>
                  <pic:spPr>
                    <a:xfrm>
                      <a:off x="0" y="0"/>
                      <a:ext cx="241300" cy="241300"/>
                    </a:xfrm>
                    <a:prstGeom prst="rect">
                      <a:avLst/>
                    </a:prstGeom>
                    <a:noFill/>
                    <a:ln>
                      <a:noFill/>
                    </a:ln>
                  </pic:spPr>
                </pic:pic>
              </a:graphicData>
            </a:graphic>
          </wp:inline>
        </w:drawing>
      </w:r>
      <w:r>
        <w:rPr>
          <w:rFonts w:ascii="仿宋_GB2312" w:eastAsia="仿宋_GB2312" w:hAnsi="仿宋" w:cs="仿宋" w:hint="eastAsia"/>
          <w:sz w:val="30"/>
          <w:szCs w:val="30"/>
        </w:rPr>
        <w:t>）、抵质押品和风险暴露币种错配的折扣系数（</w:t>
      </w:r>
      <w:r>
        <w:rPr>
          <w:rFonts w:ascii="仿宋_GB2312" w:eastAsia="仿宋_GB2312" w:hAnsi="仿宋" w:cs="仿宋" w:hint="eastAsia"/>
          <w:noProof/>
          <w:sz w:val="30"/>
          <w:szCs w:val="30"/>
        </w:rPr>
        <w:drawing>
          <wp:inline distT="0" distB="0" distL="114300" distR="114300" wp14:anchorId="47CB3D9A" wp14:editId="5B070ADF">
            <wp:extent cx="278130" cy="241300"/>
            <wp:effectExtent l="0" t="0" r="0" b="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pic:cNvPicPr>
                  </pic:nvPicPr>
                  <pic:blipFill>
                    <a:blip r:embed="rId22" cstate="print"/>
                    <a:stretch>
                      <a:fillRect/>
                    </a:stretch>
                  </pic:blipFill>
                  <pic:spPr>
                    <a:xfrm>
                      <a:off x="0" y="0"/>
                      <a:ext cx="278130" cy="241300"/>
                    </a:xfrm>
                    <a:prstGeom prst="rect">
                      <a:avLst/>
                    </a:prstGeom>
                    <a:noFill/>
                    <a:ln>
                      <a:noFill/>
                    </a:ln>
                  </pic:spPr>
                </pic:pic>
              </a:graphicData>
            </a:graphic>
          </wp:inline>
        </w:drawing>
      </w:r>
      <w:r>
        <w:rPr>
          <w:rFonts w:ascii="仿宋_GB2312" w:eastAsia="仿宋_GB2312" w:hAnsi="仿宋" w:cs="仿宋" w:hint="eastAsia"/>
          <w:sz w:val="30"/>
          <w:szCs w:val="30"/>
        </w:rPr>
        <w:t>）调整后的抵质押品的当前价值。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其他参数与本部分（五）中规定一致。</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（八）采用高级内部评级法的商业银行，抵质押品的信用风险缓释作用体现在违约损失率的估值中。商业银行应根据自行估计的抵质押品回收率，</w:t>
      </w:r>
      <w:proofErr w:type="gramStart"/>
      <w:r>
        <w:rPr>
          <w:rFonts w:ascii="仿宋_GB2312" w:eastAsia="仿宋_GB2312" w:hAnsi="仿宋" w:cs="仿宋" w:hint="eastAsia"/>
          <w:sz w:val="30"/>
          <w:szCs w:val="30"/>
        </w:rPr>
        <w:t>对各抵质押</w:t>
      </w:r>
      <w:proofErr w:type="gramEnd"/>
      <w:r>
        <w:rPr>
          <w:rFonts w:ascii="仿宋_GB2312" w:eastAsia="仿宋_GB2312" w:hAnsi="仿宋" w:cs="仿宋" w:hint="eastAsia"/>
          <w:sz w:val="30"/>
          <w:szCs w:val="30"/>
        </w:rPr>
        <w:t>品所覆盖的风险暴露分别估计违约损失率。</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1.对于抵质押</w:t>
      </w:r>
      <w:proofErr w:type="gramStart"/>
      <w:r>
        <w:rPr>
          <w:rFonts w:ascii="仿宋_GB2312" w:eastAsia="仿宋_GB2312" w:hAnsi="仿宋" w:cs="仿宋" w:hint="eastAsia"/>
          <w:sz w:val="30"/>
          <w:szCs w:val="30"/>
        </w:rPr>
        <w:t>品部分</w:t>
      </w:r>
      <w:proofErr w:type="gramEnd"/>
      <w:r>
        <w:rPr>
          <w:rFonts w:ascii="仿宋_GB2312" w:eastAsia="仿宋_GB2312" w:hAnsi="仿宋" w:cs="仿宋" w:hint="eastAsia"/>
          <w:sz w:val="30"/>
          <w:szCs w:val="30"/>
        </w:rPr>
        <w:t>覆盖的风险暴露，应将其分为全额抵质押</w:t>
      </w:r>
      <w:proofErr w:type="gramStart"/>
      <w:r>
        <w:rPr>
          <w:rFonts w:ascii="仿宋_GB2312" w:eastAsia="仿宋_GB2312" w:hAnsi="仿宋" w:cs="仿宋" w:hint="eastAsia"/>
          <w:sz w:val="30"/>
          <w:szCs w:val="30"/>
        </w:rPr>
        <w:t>和无抵质押</w:t>
      </w:r>
      <w:proofErr w:type="gramEnd"/>
      <w:r>
        <w:rPr>
          <w:rFonts w:ascii="仿宋_GB2312" w:eastAsia="仿宋_GB2312" w:hAnsi="仿宋" w:cs="仿宋" w:hint="eastAsia"/>
          <w:sz w:val="30"/>
          <w:szCs w:val="30"/>
        </w:rPr>
        <w:t>部分。经折扣系数调整后的抵质押品价值超过覆盖部分风险暴露价值的部分为全额抵质押部分，采用抵质押品覆盖部分风险暴露的违约损失率底线。</w:t>
      </w:r>
      <w:proofErr w:type="gramStart"/>
      <w:r>
        <w:rPr>
          <w:rFonts w:ascii="仿宋_GB2312" w:eastAsia="仿宋_GB2312" w:hAnsi="仿宋" w:cs="仿宋" w:hint="eastAsia"/>
          <w:sz w:val="30"/>
          <w:szCs w:val="30"/>
        </w:rPr>
        <w:t>无抵质押</w:t>
      </w:r>
      <w:proofErr w:type="gramEnd"/>
      <w:r>
        <w:rPr>
          <w:rFonts w:ascii="仿宋_GB2312" w:eastAsia="仿宋_GB2312" w:hAnsi="仿宋" w:cs="仿宋" w:hint="eastAsia"/>
          <w:sz w:val="30"/>
          <w:szCs w:val="30"/>
        </w:rPr>
        <w:t>部分</w:t>
      </w:r>
      <w:proofErr w:type="gramStart"/>
      <w:r>
        <w:rPr>
          <w:rFonts w:ascii="仿宋_GB2312" w:eastAsia="仿宋_GB2312" w:hAnsi="仿宋" w:cs="仿宋" w:hint="eastAsia"/>
          <w:sz w:val="30"/>
          <w:szCs w:val="30"/>
        </w:rPr>
        <w:t>采用无抵质押</w:t>
      </w:r>
      <w:proofErr w:type="gramEnd"/>
      <w:r>
        <w:rPr>
          <w:rFonts w:ascii="仿宋_GB2312" w:eastAsia="仿宋_GB2312" w:hAnsi="仿宋" w:cs="仿宋" w:hint="eastAsia"/>
          <w:sz w:val="30"/>
          <w:szCs w:val="30"/>
        </w:rPr>
        <w:t>的风险暴露的违约损失率底线。具体公式如下：</w:t>
      </w:r>
    </w:p>
    <w:p w:rsidR="00AA4100" w:rsidRDefault="000227F5">
      <w:pPr>
        <w:ind w:firstLineChars="200" w:firstLine="600"/>
        <w:rPr>
          <w:rFonts w:ascii="仿宋_GB2312" w:eastAsia="仿宋_GB2312" w:hAnsi="仿宋" w:cs="仿宋"/>
          <w:sz w:val="30"/>
          <w:szCs w:val="30"/>
        </w:rPr>
      </w:pPr>
      <w:r>
        <w:rPr>
          <w:rFonts w:ascii="仿宋_GB2312" w:eastAsia="仿宋_GB2312" w:hAnsi="仿宋" w:cs="仿宋"/>
          <w:position w:val="-30"/>
          <w:sz w:val="30"/>
          <w:szCs w:val="30"/>
        </w:rPr>
        <w:pict>
          <v:shape id="_x0000_s1027" type="#_x0000_t75" style="position:absolute;left:0;text-align:left;margin-left:48.5pt;margin-top:.2pt;width:329.2pt;height:38.6pt;z-index:251657728;mso-width-relative:page;mso-height-relative:page">
            <v:imagedata r:id="rId51" o:title=""/>
          </v:shape>
          <o:OLEObject Type="Embed" ProgID="Equation.KSEE3" ShapeID="_x0000_s1027" DrawAspect="Content" ObjectID="_1738154554" r:id="rId52"/>
        </w:pic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pPr>
        <w:spacing w:line="480" w:lineRule="exact"/>
        <w:ind w:firstLineChars="200" w:firstLine="420"/>
        <w:rPr>
          <w:rFonts w:ascii="仿宋_GB2312" w:eastAsia="仿宋_GB2312" w:hAnsi="仿宋" w:cs="仿宋"/>
          <w:sz w:val="30"/>
          <w:szCs w:val="30"/>
        </w:rPr>
      </w:pPr>
      <w:r>
        <w:rPr>
          <w:rFonts w:ascii="仿宋_GB2312" w:eastAsia="仿宋_GB2312" w:hint="eastAsia"/>
          <w:noProof/>
        </w:rPr>
        <w:drawing>
          <wp:inline distT="0" distB="0" distL="114300" distR="114300" wp14:anchorId="3838E341" wp14:editId="79731112">
            <wp:extent cx="561975" cy="238125"/>
            <wp:effectExtent l="0" t="0" r="0" b="0"/>
            <wp:docPr id="43"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97"/>
                    <pic:cNvPicPr>
                      <a:picLocks noChangeAspect="1"/>
                    </pic:cNvPicPr>
                  </pic:nvPicPr>
                  <pic:blipFill>
                    <a:blip r:embed="rId53"/>
                    <a:stretch>
                      <a:fillRect/>
                    </a:stretch>
                  </pic:blipFill>
                  <pic:spPr>
                    <a:xfrm>
                      <a:off x="0" y="0"/>
                      <a:ext cx="561975" cy="238125"/>
                    </a:xfrm>
                    <a:prstGeom prst="rect">
                      <a:avLst/>
                    </a:prstGeom>
                    <a:noFill/>
                    <a:ln>
                      <a:noFill/>
                    </a:ln>
                  </pic:spPr>
                </pic:pic>
              </a:graphicData>
            </a:graphic>
          </wp:inline>
        </w:drawing>
      </w:r>
      <w:r>
        <w:rPr>
          <w:rFonts w:ascii="仿宋_GB2312" w:eastAsia="仿宋_GB2312" w:hAnsi="仿宋" w:cs="仿宋" w:hint="eastAsia"/>
          <w:sz w:val="30"/>
          <w:szCs w:val="30"/>
        </w:rPr>
        <w:t>和</w:t>
      </w:r>
      <w:r>
        <w:rPr>
          <w:rFonts w:ascii="仿宋_GB2312" w:eastAsia="仿宋_GB2312" w:hint="eastAsia"/>
          <w:noProof/>
        </w:rPr>
        <w:drawing>
          <wp:inline distT="0" distB="0" distL="114300" distR="114300" wp14:anchorId="4E62E549" wp14:editId="43030433">
            <wp:extent cx="581025" cy="238125"/>
            <wp:effectExtent l="0" t="0" r="0" b="0"/>
            <wp:docPr id="42"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95"/>
                    <pic:cNvPicPr>
                      <a:picLocks noChangeAspect="1"/>
                    </pic:cNvPicPr>
                  </pic:nvPicPr>
                  <pic:blipFill>
                    <a:blip r:embed="rId54"/>
                    <a:stretch>
                      <a:fillRect/>
                    </a:stretch>
                  </pic:blipFill>
                  <pic:spPr>
                    <a:xfrm>
                      <a:off x="0" y="0"/>
                      <a:ext cx="581025" cy="238125"/>
                    </a:xfrm>
                    <a:prstGeom prst="rect">
                      <a:avLst/>
                    </a:prstGeom>
                    <a:noFill/>
                    <a:ln>
                      <a:noFill/>
                    </a:ln>
                  </pic:spPr>
                </pic:pic>
              </a:graphicData>
            </a:graphic>
          </wp:inline>
        </w:drawing>
      </w:r>
      <w:r>
        <w:rPr>
          <w:rFonts w:ascii="仿宋_GB2312" w:eastAsia="仿宋_GB2312" w:hAnsi="仿宋" w:cs="仿宋" w:hint="eastAsia"/>
          <w:sz w:val="30"/>
          <w:szCs w:val="30"/>
        </w:rPr>
        <w:t>分别是全额抵质押</w:t>
      </w:r>
      <w:proofErr w:type="gramStart"/>
      <w:r>
        <w:rPr>
          <w:rFonts w:ascii="仿宋_GB2312" w:eastAsia="仿宋_GB2312" w:hAnsi="仿宋" w:cs="仿宋" w:hint="eastAsia"/>
          <w:sz w:val="30"/>
          <w:szCs w:val="30"/>
        </w:rPr>
        <w:t>部分和无抵质押</w:t>
      </w:r>
      <w:proofErr w:type="gramEnd"/>
      <w:r>
        <w:rPr>
          <w:rFonts w:ascii="仿宋_GB2312" w:eastAsia="仿宋_GB2312" w:hAnsi="仿宋" w:cs="仿宋" w:hint="eastAsia"/>
          <w:sz w:val="30"/>
          <w:szCs w:val="30"/>
        </w:rPr>
        <w:t>部分风险暴露的违约损失率底线。</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其他参数与本部分（五）中规定一致。</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对于利用多种形式抵质押品对同一风险暴露共同担保时，商业银行可将风险暴露拆分为由不同抵质押品覆盖的部分，违约损失率底线采用本部分（七）中的公式，对每类抵质押品依次计算。拆分按金融质押品、应收账款、商用房地产和居住用房地产以及其他抵质押品的顺序进行。</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如果商业银行满足对无担保风险暴露池自行估计违约损失率的要求，当商业银行仅对其中个别风险暴露持有抵质押品，且无法对抵质押品的缓释效果进行建模时，若满足如下条件，商业银行可采用本部分（五）、（七）中规定的公式进行计量：</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（1）抵</w:t>
      </w:r>
      <w:proofErr w:type="gramStart"/>
      <w:r>
        <w:rPr>
          <w:rFonts w:ascii="仿宋_GB2312" w:eastAsia="仿宋_GB2312" w:hAnsi="仿宋" w:cs="仿宋" w:hint="eastAsia"/>
          <w:sz w:val="30"/>
          <w:szCs w:val="30"/>
        </w:rPr>
        <w:t>质押品未覆盖</w:t>
      </w:r>
      <w:proofErr w:type="gramEnd"/>
      <w:r>
        <w:rPr>
          <w:rFonts w:ascii="仿宋_GB2312" w:eastAsia="仿宋_GB2312" w:hAnsi="仿宋" w:cs="仿宋" w:hint="eastAsia"/>
          <w:sz w:val="30"/>
          <w:szCs w:val="30"/>
        </w:rPr>
        <w:t>部分的违约损失率</w:t>
      </w:r>
      <w:r>
        <w:rPr>
          <w:rFonts w:ascii="仿宋_GB2312" w:eastAsia="仿宋_GB2312" w:hint="eastAsia"/>
          <w:noProof/>
        </w:rPr>
        <w:drawing>
          <wp:inline distT="0" distB="0" distL="114300" distR="114300" wp14:anchorId="65C4FAD5" wp14:editId="50D7A335">
            <wp:extent cx="581025" cy="238125"/>
            <wp:effectExtent l="0" t="0" r="0" b="0"/>
            <wp:docPr id="4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99"/>
                    <pic:cNvPicPr>
                      <a:picLocks noChangeAspect="1"/>
                    </pic:cNvPicPr>
                  </pic:nvPicPr>
                  <pic:blipFill>
                    <a:blip r:embed="rId55"/>
                    <a:stretch>
                      <a:fillRect/>
                    </a:stretch>
                  </pic:blipFill>
                  <pic:spPr>
                    <a:xfrm>
                      <a:off x="0" y="0"/>
                      <a:ext cx="581025" cy="238125"/>
                    </a:xfrm>
                    <a:prstGeom prst="rect">
                      <a:avLst/>
                    </a:prstGeom>
                    <a:noFill/>
                    <a:ln>
                      <a:noFill/>
                    </a:ln>
                  </pic:spPr>
                </pic:pic>
              </a:graphicData>
            </a:graphic>
          </wp:inline>
        </w:drawing>
      </w:r>
      <w:r>
        <w:rPr>
          <w:rFonts w:ascii="仿宋_GB2312" w:eastAsia="仿宋_GB2312" w:hAnsi="仿宋" w:cs="仿宋" w:hint="eastAsia"/>
          <w:sz w:val="30"/>
          <w:szCs w:val="30"/>
        </w:rPr>
        <w:t>应为商业银行自行估计</w:t>
      </w:r>
      <w:proofErr w:type="gramStart"/>
      <w:r>
        <w:rPr>
          <w:rFonts w:ascii="仿宋_GB2312" w:eastAsia="仿宋_GB2312" w:hAnsi="仿宋" w:cs="仿宋" w:hint="eastAsia"/>
          <w:sz w:val="30"/>
          <w:szCs w:val="30"/>
        </w:rPr>
        <w:t>的无抵质押</w:t>
      </w:r>
      <w:proofErr w:type="gramEnd"/>
      <w:r>
        <w:rPr>
          <w:rFonts w:ascii="仿宋_GB2312" w:eastAsia="仿宋_GB2312" w:hAnsi="仿宋" w:cs="仿宋" w:hint="eastAsia"/>
          <w:sz w:val="30"/>
          <w:szCs w:val="30"/>
        </w:rPr>
        <w:t>的风险暴露的违约损失率，且商业银行估计</w:t>
      </w:r>
      <w:r>
        <w:rPr>
          <w:rFonts w:ascii="仿宋_GB2312" w:eastAsia="仿宋_GB2312" w:hint="eastAsia"/>
          <w:noProof/>
        </w:rPr>
        <w:drawing>
          <wp:inline distT="0" distB="0" distL="114300" distR="114300" wp14:anchorId="7B9CFC52" wp14:editId="5088CE59">
            <wp:extent cx="581025" cy="238125"/>
            <wp:effectExtent l="0" t="0" r="0" b="0"/>
            <wp:docPr id="4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00"/>
                    <pic:cNvPicPr>
                      <a:picLocks noChangeAspect="1"/>
                    </pic:cNvPicPr>
                  </pic:nvPicPr>
                  <pic:blipFill>
                    <a:blip r:embed="rId55"/>
                    <a:stretch>
                      <a:fillRect/>
                    </a:stretch>
                  </pic:blipFill>
                  <pic:spPr>
                    <a:xfrm>
                      <a:off x="0" y="0"/>
                      <a:ext cx="581025" cy="238125"/>
                    </a:xfrm>
                    <a:prstGeom prst="rect">
                      <a:avLst/>
                    </a:prstGeom>
                    <a:noFill/>
                    <a:ln>
                      <a:noFill/>
                    </a:ln>
                  </pic:spPr>
                </pic:pic>
              </a:graphicData>
            </a:graphic>
          </wp:inline>
        </w:drawing>
      </w:r>
      <w:r>
        <w:rPr>
          <w:rFonts w:ascii="仿宋_GB2312" w:eastAsia="仿宋_GB2312" w:hAnsi="仿宋" w:cs="仿宋" w:hint="eastAsia"/>
          <w:sz w:val="30"/>
          <w:szCs w:val="30"/>
        </w:rPr>
        <w:t>时，不应考虑抵质押品清收的影响；</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（2）抵质押品应是初级内部评级法下的合格抵质押品。</w:t>
      </w:r>
    </w:p>
    <w:p w:rsidR="00AA4100" w:rsidRDefault="00174B88">
      <w:pPr>
        <w:pStyle w:val="2"/>
      </w:pPr>
      <w:r>
        <w:rPr>
          <w:rFonts w:hint="eastAsia"/>
        </w:rPr>
        <w:t>三、合格净额结算</w:t>
      </w:r>
    </w:p>
    <w:p w:rsidR="00AA4100" w:rsidRDefault="00174B88">
      <w:pPr>
        <w:spacing w:line="480" w:lineRule="exact"/>
        <w:ind w:firstLineChars="200" w:firstLine="600"/>
        <w:rPr>
          <w:rFonts w:ascii="仿宋_GB2312" w:eastAsia="仿宋_GB2312" w:hAnsi="仿宋" w:cs="仿宋"/>
          <w:bCs/>
          <w:sz w:val="30"/>
          <w:szCs w:val="30"/>
        </w:rPr>
      </w:pPr>
      <w:r>
        <w:rPr>
          <w:rFonts w:ascii="仿宋_GB2312" w:eastAsia="仿宋_GB2312" w:hAnsi="仿宋" w:cs="仿宋" w:hint="eastAsia"/>
          <w:sz w:val="30"/>
          <w:szCs w:val="30"/>
        </w:rPr>
        <w:t>（一）合格净额结算的认定要求：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1．具有法律上可执行的净额结算协议，在交易对手无力偿还或破产的情况下均可实施。</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2．在任何情况下，能确定同一交易对手在净额结算合同下的资产和负债。</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3．在净头寸的基础上监测和控制相关风险暴露。</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（二）商业银行采用内部评级法，合格净额结算包括从属于有效净额结算协议的表内净额结算、从属于净额结算主协议的回购交易净额结算、从属于有效净额结算协议的场外衍生工具净额结算。</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三）商业银行采用合格净额结算缓释信用风险时，应持续监测和控制后续风险，并在净头寸的基础上监测和控制相关的风险暴露。商业银行采用高级内部评级法，应建立估计表外项目违约风险暴露的程序，估计每笔表外项目采用的违约风险暴露。</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（四）商业银行采用内部评级法，表内净额结算的风险缓释作用体现为违约风险暴露的下降，并按下式计算</w:t>
      </w:r>
      <w:proofErr w:type="gramStart"/>
      <w:r>
        <w:rPr>
          <w:rFonts w:ascii="仿宋_GB2312" w:eastAsia="仿宋_GB2312" w:hAnsi="仿宋" w:cs="仿宋" w:hint="eastAsia"/>
          <w:sz w:val="30"/>
          <w:szCs w:val="30"/>
        </w:rPr>
        <w:t>净风险</w:t>
      </w:r>
      <w:proofErr w:type="gramEnd"/>
      <w:r>
        <w:rPr>
          <w:rFonts w:ascii="仿宋_GB2312" w:eastAsia="仿宋_GB2312" w:hAnsi="仿宋" w:cs="仿宋" w:hint="eastAsia"/>
          <w:sz w:val="30"/>
          <w:szCs w:val="30"/>
        </w:rPr>
        <w:t>暴露</w:t>
      </w:r>
      <w:r>
        <w:rPr>
          <w:rFonts w:ascii="仿宋_GB2312" w:eastAsia="仿宋_GB2312" w:hAnsi="仿宋" w:cs="仿宋" w:hint="eastAsia"/>
          <w:position w:val="-4"/>
          <w:sz w:val="30"/>
          <w:szCs w:val="30"/>
        </w:rPr>
        <w:object w:dxaOrig="328" w:dyaOrig="299">
          <v:shape id="_x0000_i1041" type="#_x0000_t75" style="width:16.45pt;height:15.1pt" o:ole="">
            <v:imagedata r:id="rId56" o:title=""/>
          </v:shape>
          <o:OLEObject Type="Embed" ProgID="Equation.3" ShapeID="_x0000_i1041" DrawAspect="Content" ObjectID="_1738154515" r:id="rId57"/>
        </w:object>
      </w:r>
      <w:r>
        <w:rPr>
          <w:rFonts w:ascii="仿宋_GB2312" w:eastAsia="仿宋_GB2312" w:hAnsi="仿宋" w:cs="仿宋" w:hint="eastAsia"/>
          <w:sz w:val="30"/>
          <w:szCs w:val="30"/>
        </w:rPr>
        <w:t>：</w:t>
      </w:r>
    </w:p>
    <w:p w:rsidR="00AA4100" w:rsidRDefault="00174B88">
      <w:pPr>
        <w:spacing w:line="480" w:lineRule="exact"/>
        <w:ind w:firstLineChars="200" w:firstLine="600"/>
        <w:jc w:val="center"/>
        <w:rPr>
          <w:rFonts w:ascii="仿宋_GB2312" w:eastAsia="仿宋_GB2312" w:hAnsi="仿宋" w:cs="仿宋"/>
          <w:sz w:val="30"/>
          <w:szCs w:val="30"/>
        </w:rPr>
      </w:pPr>
      <w:r>
        <w:rPr>
          <w:rFonts w:ascii="仿宋_GB2312" w:eastAsia="仿宋_GB2312" w:hAnsi="仿宋" w:cs="仿宋" w:hint="eastAsia"/>
          <w:sz w:val="30"/>
          <w:szCs w:val="30"/>
        </w:rPr>
        <w:t>E*=max{0，表内风险暴露-表内负债×(1-</w:t>
      </w:r>
      <w:r>
        <w:rPr>
          <w:rFonts w:ascii="仿宋_GB2312" w:eastAsia="仿宋_GB2312" w:hAnsi="仿宋" w:cs="仿宋" w:hint="eastAsia"/>
          <w:sz w:val="30"/>
          <w:szCs w:val="30"/>
        </w:rPr>
        <w:object w:dxaOrig="428" w:dyaOrig="356">
          <v:shape id="_x0000_i1042" type="#_x0000_t75" style="width:21.25pt;height:17.85pt" o:ole="">
            <v:imagedata r:id="rId58" o:title=""/>
          </v:shape>
          <o:OLEObject Type="Embed" ProgID="Equation.3" ShapeID="_x0000_i1042" DrawAspect="Content" ObjectID="_1738154516" r:id="rId59"/>
        </w:object>
      </w:r>
      <w:r>
        <w:rPr>
          <w:rFonts w:ascii="仿宋_GB2312" w:eastAsia="仿宋_GB2312" w:hAnsi="仿宋" w:cs="仿宋" w:hint="eastAsia"/>
          <w:sz w:val="30"/>
          <w:szCs w:val="30"/>
        </w:rPr>
        <w:t>)}</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表内风险暴露和表内负债为商业银行对同一交易对手在有效净额结算协议下的表内资产和负债；</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position w:val="-14"/>
          <w:sz w:val="30"/>
          <w:szCs w:val="30"/>
        </w:rPr>
        <w:object w:dxaOrig="428" w:dyaOrig="356">
          <v:shape id="_x0000_i1043" type="#_x0000_t75" style="width:21.25pt;height:17.85pt" o:ole="">
            <v:imagedata r:id="rId60" o:title=""/>
          </v:shape>
          <o:OLEObject Type="Embed" ProgID="Equation.3" ShapeID="_x0000_i1043" DrawAspect="Content" ObjectID="_1738154517" r:id="rId61"/>
        </w:object>
      </w:r>
      <w:r>
        <w:rPr>
          <w:rFonts w:ascii="仿宋_GB2312" w:eastAsia="仿宋_GB2312" w:hAnsi="仿宋" w:cs="仿宋" w:hint="eastAsia"/>
          <w:sz w:val="30"/>
          <w:szCs w:val="30"/>
        </w:rPr>
        <w:t xml:space="preserve">为表内风险暴露与表内负债存在币种错配时的折扣系数。 </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（五）对从属于净额结算主协议的回购交易，合格净额结算的认定不仅应满足本部分（一）的要求，还应满足下列要求：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1.交易对手违约，若净额结算协议在相关国家或地区具备法律效力，则回购交易的净额结算效应按照交易对手逐一确认；</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2.净额结算协议应：</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（1）确保在违约事件发生时，未违约方有权及时终止从属于协议的所有相关交易；</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（2）规定该协议下被终止的相关交易（包括抵质押品价值）的收益和损失的抵补，以便明确交易双方之间的债权债务净额；</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（3）允许在出现违约事件时迅速清算或处置抵质押品；</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（4）确保在交易对手无力清偿或破产导致违约时，以上条款在相关国家或地区均具备法律执行力。</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（六）从属于净额结算主协议的回购交易，可将回购的金融资产视作金融质押品，适用本附件第二部分（五）的相关规定；也可以在符合本部分（一）要求的前提下，采用净额结算进行处理。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1.商业银行应对银行账簿和交易账簿分别进行净额结算。只有当所有交易逐日盯市且质押工具均为银行账簿中的合格金融质押品时，银行账簿和交易账簿之间的轧差头寸才可以按照净额结算处理。</w:t>
      </w:r>
    </w:p>
    <w:p w:rsidR="00AA4100" w:rsidRDefault="000227F5">
      <w:pPr>
        <w:spacing w:line="480" w:lineRule="exact"/>
        <w:ind w:firstLineChars="200" w:firstLine="600"/>
        <w:rPr>
          <w:rFonts w:ascii="仿宋_GB2312" w:eastAsia="仿宋_GB2312" w:hAnsi="仿宋" w:cs="仿宋"/>
          <w:sz w:val="30"/>
          <w:szCs w:val="30"/>
        </w:rPr>
      </w:pPr>
      <w:r>
        <w:rPr>
          <w:rFonts w:ascii="仿宋_GB2312" w:eastAsia="仿宋_GB2312" w:hAnsi="仿宋" w:cs="仿宋"/>
          <w:position w:val="-32"/>
          <w:sz w:val="30"/>
          <w:szCs w:val="30"/>
        </w:rPr>
        <w:pict>
          <v:shape id="_x0000_s1026" type="#_x0000_t75" style="position:absolute;left:0;text-align:left;margin-left:2.8pt;margin-top:22.95pt;width:431.05pt;height:33.75pt;z-index:251658752;mso-width-relative:page;mso-height-relative:page">
            <v:imagedata r:id="rId62" o:title=""/>
          </v:shape>
          <o:OLEObject Type="Embed" ProgID="Equation.KSEE3" ShapeID="_x0000_s1026" DrawAspect="Content" ObjectID="_1738154555" r:id="rId63"/>
        </w:pict>
      </w:r>
      <w:r w:rsidR="00174B88">
        <w:rPr>
          <w:rFonts w:ascii="仿宋_GB2312" w:eastAsia="仿宋_GB2312" w:hAnsi="仿宋" w:cs="仿宋" w:hint="eastAsia"/>
          <w:sz w:val="30"/>
          <w:szCs w:val="30"/>
        </w:rPr>
        <w:t>2.商业银行对回购交易采用净额结算时：</w:t>
      </w:r>
    </w:p>
    <w:p w:rsidR="00AA4100" w:rsidRDefault="00AA4100">
      <w:pPr>
        <w:ind w:firstLineChars="200" w:firstLine="600"/>
        <w:rPr>
          <w:rFonts w:ascii="仿宋_GB2312" w:eastAsia="仿宋_GB2312" w:hAnsi="仿宋" w:cs="仿宋"/>
          <w:sz w:val="30"/>
          <w:szCs w:val="30"/>
        </w:rPr>
      </w:pP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（1）违约风险暴露按下式计算：</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328" w:dyaOrig="299">
          <v:shape id="_x0000_i1045" type="#_x0000_t75" style="width:16.45pt;height:15.1pt" o:ole="">
            <v:imagedata r:id="rId64" o:title=""/>
          </v:shape>
          <o:OLEObject Type="Embed" ProgID="Equation.3" ShapeID="_x0000_i1045" DrawAspect="Content" ObjectID="_1738154518" r:id="rId65"/>
        </w:object>
      </w:r>
      <w:r>
        <w:rPr>
          <w:rFonts w:ascii="仿宋_GB2312" w:eastAsia="仿宋_GB2312" w:hAnsi="仿宋" w:cs="仿宋" w:hint="eastAsia"/>
          <w:sz w:val="30"/>
          <w:szCs w:val="30"/>
        </w:rPr>
        <w:t>为信用风险缓释后的风险暴露。</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position w:val="-12"/>
          <w:sz w:val="30"/>
          <w:szCs w:val="30"/>
        </w:rPr>
        <w:object w:dxaOrig="271" w:dyaOrig="356">
          <v:shape id="_x0000_i1046" type="#_x0000_t75" style="width:13.7pt;height:17.85pt" o:ole="">
            <v:imagedata r:id="rId66" o:title=""/>
          </v:shape>
          <o:OLEObject Type="Embed" ProgID="Equation.3" ShapeID="_x0000_i1046" DrawAspect="Content" ObjectID="_1738154519" r:id="rId67"/>
        </w:object>
      </w:r>
      <w:r>
        <w:rPr>
          <w:rFonts w:ascii="仿宋_GB2312" w:eastAsia="仿宋_GB2312" w:hAnsi="仿宋" w:cs="仿宋" w:hint="eastAsia"/>
          <w:sz w:val="30"/>
          <w:szCs w:val="30"/>
        </w:rPr>
        <w:t>为净额结算协议下，商业银行借出、卖出回购或提供给交易对手的所有现金或证券的当前价值。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position w:val="-14"/>
          <w:sz w:val="30"/>
          <w:szCs w:val="30"/>
        </w:rPr>
        <w:object w:dxaOrig="299" w:dyaOrig="371">
          <v:shape id="_x0000_i1047" type="#_x0000_t75" style="width:15.1pt;height:18.5pt" o:ole="">
            <v:imagedata r:id="rId68" o:title=""/>
          </v:shape>
          <o:OLEObject Type="Embed" ProgID="Equation.3" ShapeID="_x0000_i1047" DrawAspect="Content" ObjectID="_1738154520" r:id="rId69"/>
        </w:object>
      </w:r>
      <w:r>
        <w:rPr>
          <w:rFonts w:ascii="仿宋_GB2312" w:eastAsia="仿宋_GB2312" w:hAnsi="仿宋" w:cs="仿宋" w:hint="eastAsia"/>
          <w:sz w:val="30"/>
          <w:szCs w:val="30"/>
        </w:rPr>
        <w:t>为净额结算协议下，商业银行借入、买入返售或银行持有的所有现金或证券的当前价值。</w:t>
      </w:r>
    </w:p>
    <w:p w:rsidR="00AA4100" w:rsidRDefault="00174B88">
      <w:pPr>
        <w:tabs>
          <w:tab w:val="left" w:pos="5421"/>
        </w:tabs>
        <w:ind w:firstLineChars="200" w:firstLine="600"/>
        <w:rPr>
          <w:rFonts w:ascii="仿宋_GB2312" w:eastAsia="仿宋_GB2312" w:hAnsi="仿宋" w:cs="仿宋"/>
          <w:sz w:val="30"/>
          <w:szCs w:val="30"/>
        </w:rPr>
      </w:pPr>
      <w:r>
        <w:rPr>
          <w:rFonts w:ascii="仿宋_GB2312" w:eastAsia="仿宋_GB2312" w:hAnsi="仿宋" w:cs="仿宋" w:hint="eastAsia"/>
          <w:position w:val="-30"/>
          <w:sz w:val="30"/>
          <w:szCs w:val="30"/>
        </w:rPr>
        <w:object w:dxaOrig="2905" w:dyaOrig="770">
          <v:shape id="_x0000_i1048" type="#_x0000_t75" style="width:145.35pt;height:38.4pt" o:ole="">
            <v:imagedata r:id="rId70" o:title=""/>
          </v:shape>
          <o:OLEObject Type="Embed" ProgID="Equation.3" ShapeID="_x0000_i1048" DrawAspect="Content" ObjectID="_1738154521" r:id="rId71"/>
        </w:object>
      </w:r>
      <w:r>
        <w:rPr>
          <w:rFonts w:ascii="仿宋_GB2312" w:eastAsia="仿宋_GB2312" w:hAnsi="仿宋" w:cs="仿宋" w:hint="eastAsia"/>
          <w:sz w:val="30"/>
          <w:szCs w:val="30"/>
        </w:rPr>
        <w:t>。</w:t>
      </w:r>
      <w:r>
        <w:rPr>
          <w:rFonts w:ascii="仿宋_GB2312" w:eastAsia="仿宋_GB2312" w:hAnsi="仿宋" w:cs="仿宋" w:hint="eastAsia"/>
          <w:sz w:val="30"/>
          <w:szCs w:val="30"/>
        </w:rPr>
        <w:tab/>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position w:val="-28"/>
          <w:sz w:val="30"/>
          <w:szCs w:val="30"/>
        </w:rPr>
        <w:object w:dxaOrig="2963" w:dyaOrig="606">
          <v:shape id="_x0000_i1049" type="#_x0000_t75" style="width:148.1pt;height:30.15pt" o:ole="">
            <v:imagedata r:id="rId72" o:title=""/>
          </v:shape>
          <o:OLEObject Type="Embed" ProgID="Equation.3" ShapeID="_x0000_i1049" DrawAspect="Content" ObjectID="_1738154522" r:id="rId73"/>
        </w:object>
      </w:r>
      <w:r>
        <w:rPr>
          <w:rFonts w:ascii="仿宋_GB2312" w:eastAsia="仿宋_GB2312" w:hAnsi="仿宋" w:cs="仿宋" w:hint="eastAsia"/>
          <w:sz w:val="30"/>
          <w:szCs w:val="30"/>
        </w:rPr>
        <w:t>。</w:t>
      </w:r>
    </w:p>
    <w:p w:rsidR="00AA4100" w:rsidRDefault="00174B88">
      <w:pPr>
        <w:spacing w:line="480" w:lineRule="atLeas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99" w:dyaOrig="356">
          <v:shape id="_x0000_i1050" type="#_x0000_t75" style="width:15.1pt;height:17.85pt" o:ole="">
            <v:imagedata r:id="rId74" o:title=""/>
          </v:shape>
          <o:OLEObject Type="Embed" ProgID="Equation.3" ShapeID="_x0000_i1050" DrawAspect="Content" ObjectID="_1738154523" r:id="rId75"/>
        </w:object>
      </w:r>
      <w:r>
        <w:rPr>
          <w:rFonts w:ascii="仿宋_GB2312" w:eastAsia="仿宋_GB2312" w:hAnsi="仿宋" w:cs="仿宋" w:hint="eastAsia"/>
          <w:sz w:val="30"/>
          <w:szCs w:val="30"/>
        </w:rPr>
        <w:t>为净额结算协议下单只证券净头寸的绝对值。</w:t>
      </w:r>
    </w:p>
    <w:p w:rsidR="00AA4100" w:rsidRDefault="00174B88">
      <w:pPr>
        <w:spacing w:line="480" w:lineRule="atLeas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356" w:dyaOrig="356">
          <v:shape id="_x0000_i1051" type="#_x0000_t75" style="width:17.85pt;height:17.85pt" o:ole="">
            <v:imagedata r:id="rId76" o:title=""/>
          </v:shape>
          <o:OLEObject Type="Embed" ProgID="Equation.3" ShapeID="_x0000_i1051" DrawAspect="Content" ObjectID="_1738154524" r:id="rId77"/>
        </w:object>
      </w:r>
      <w:r>
        <w:rPr>
          <w:rFonts w:ascii="仿宋_GB2312" w:eastAsia="仿宋_GB2312" w:hAnsi="仿宋" w:cs="仿宋" w:hint="eastAsia"/>
          <w:sz w:val="30"/>
          <w:szCs w:val="30"/>
        </w:rPr>
        <w:t>为</w:t>
      </w:r>
      <w:r>
        <w:rPr>
          <w:rFonts w:ascii="仿宋_GB2312" w:eastAsia="仿宋_GB2312" w:hAnsi="仿宋" w:cs="仿宋" w:hint="eastAsia"/>
          <w:sz w:val="30"/>
          <w:szCs w:val="30"/>
        </w:rPr>
        <w:object w:dxaOrig="299" w:dyaOrig="356">
          <v:shape id="_x0000_i1052" type="#_x0000_t75" style="width:15.1pt;height:17.85pt" o:ole="">
            <v:imagedata r:id="rId78" o:title=""/>
          </v:shape>
          <o:OLEObject Type="Embed" ProgID="Equation.3" ShapeID="_x0000_i1052" DrawAspect="Content" ObjectID="_1738154525" r:id="rId79"/>
        </w:object>
      </w:r>
      <w:r>
        <w:rPr>
          <w:rFonts w:ascii="仿宋_GB2312" w:eastAsia="仿宋_GB2312" w:hAnsi="仿宋" w:cs="仿宋" w:hint="eastAsia"/>
          <w:sz w:val="30"/>
          <w:szCs w:val="30"/>
        </w:rPr>
        <w:t>适用的</w:t>
      </w:r>
      <w:proofErr w:type="gramStart"/>
      <w:r>
        <w:rPr>
          <w:rFonts w:ascii="仿宋_GB2312" w:eastAsia="仿宋_GB2312" w:hAnsi="仿宋" w:cs="仿宋" w:hint="eastAsia"/>
          <w:sz w:val="30"/>
          <w:szCs w:val="30"/>
        </w:rPr>
        <w:t>的</w:t>
      </w:r>
      <w:proofErr w:type="gramEnd"/>
      <w:r>
        <w:rPr>
          <w:rFonts w:ascii="仿宋_GB2312" w:eastAsia="仿宋_GB2312" w:hAnsi="仿宋" w:cs="仿宋" w:hint="eastAsia"/>
          <w:sz w:val="30"/>
          <w:szCs w:val="30"/>
        </w:rPr>
        <w:t>折扣系数；如果商业银行借出、卖出回购证券或以类似的方式进行交易，则</w:t>
      </w:r>
      <w:r>
        <w:rPr>
          <w:rFonts w:ascii="仿宋_GB2312" w:eastAsia="仿宋_GB2312" w:hAnsi="仿宋" w:cs="仿宋" w:hint="eastAsia"/>
          <w:sz w:val="30"/>
          <w:szCs w:val="30"/>
        </w:rPr>
        <w:object w:dxaOrig="356" w:dyaOrig="356">
          <v:shape id="_x0000_i1053" type="#_x0000_t75" style="width:17.85pt;height:17.85pt" o:ole="">
            <v:imagedata r:id="rId76" o:title=""/>
          </v:shape>
          <o:OLEObject Type="Embed" ProgID="Equation.3" ShapeID="_x0000_i1053" DrawAspect="Content" ObjectID="_1738154526" r:id="rId80"/>
        </w:object>
      </w:r>
      <w:r>
        <w:rPr>
          <w:rFonts w:ascii="仿宋_GB2312" w:eastAsia="仿宋_GB2312" w:hAnsi="仿宋" w:cs="仿宋" w:hint="eastAsia"/>
          <w:sz w:val="30"/>
          <w:szCs w:val="30"/>
        </w:rPr>
        <w:t>为正；如果商业银行借入证券、买入返售或以类似的方式进行交易，则</w:t>
      </w:r>
      <w:r>
        <w:rPr>
          <w:rFonts w:ascii="仿宋_GB2312" w:eastAsia="仿宋_GB2312" w:hAnsi="仿宋" w:cs="仿宋" w:hint="eastAsia"/>
          <w:sz w:val="30"/>
          <w:szCs w:val="30"/>
        </w:rPr>
        <w:object w:dxaOrig="356" w:dyaOrig="356">
          <v:shape id="_x0000_i1054" type="#_x0000_t75" style="width:17.85pt;height:17.85pt" o:ole="">
            <v:imagedata r:id="rId76" o:title=""/>
          </v:shape>
          <o:OLEObject Type="Embed" ProgID="Equation.3" ShapeID="_x0000_i1054" DrawAspect="Content" ObjectID="_1738154527" r:id="rId81"/>
        </w:object>
      </w:r>
      <w:r>
        <w:rPr>
          <w:rFonts w:ascii="仿宋_GB2312" w:eastAsia="仿宋_GB2312" w:hAnsi="仿宋" w:cs="仿宋" w:hint="eastAsia"/>
          <w:sz w:val="30"/>
          <w:szCs w:val="30"/>
        </w:rPr>
        <w:t>为负。</w:t>
      </w:r>
    </w:p>
    <w:p w:rsidR="00AA4100" w:rsidRDefault="00174B88">
      <w:pPr>
        <w:spacing w:line="480" w:lineRule="atLeas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N为净额结算协议下证券总数（如果某只证券的</w:t>
      </w:r>
      <w:r>
        <w:rPr>
          <w:rFonts w:ascii="仿宋_GB2312" w:eastAsia="仿宋_GB2312" w:hAnsi="仿宋" w:cs="仿宋" w:hint="eastAsia"/>
          <w:sz w:val="30"/>
          <w:szCs w:val="30"/>
        </w:rPr>
        <w:object w:dxaOrig="299" w:dyaOrig="356">
          <v:shape id="_x0000_i1055" type="#_x0000_t75" style="width:15.1pt;height:17.85pt" o:ole="">
            <v:imagedata r:id="rId74" o:title=""/>
          </v:shape>
          <o:OLEObject Type="Embed" ProgID="Equation.3" ShapeID="_x0000_i1055" DrawAspect="Content" ObjectID="_1738154528" r:id="rId82"/>
        </w:object>
      </w:r>
      <w:r>
        <w:rPr>
          <w:rFonts w:ascii="仿宋_GB2312" w:eastAsia="仿宋_GB2312" w:hAnsi="仿宋" w:cs="仿宋" w:hint="eastAsia"/>
          <w:sz w:val="30"/>
          <w:szCs w:val="30"/>
        </w:rPr>
        <w:t>小于净额结算协议中最大的</w:t>
      </w:r>
      <w:r>
        <w:rPr>
          <w:rFonts w:ascii="仿宋_GB2312" w:eastAsia="仿宋_GB2312" w:hAnsi="仿宋" w:cs="仿宋" w:hint="eastAsia"/>
          <w:sz w:val="30"/>
          <w:szCs w:val="30"/>
        </w:rPr>
        <w:object w:dxaOrig="299" w:dyaOrig="356">
          <v:shape id="_x0000_i1056" type="#_x0000_t75" style="width:15.1pt;height:17.85pt" o:ole="">
            <v:imagedata r:id="rId74" o:title=""/>
          </v:shape>
          <o:OLEObject Type="Embed" ProgID="Equation.3" ShapeID="_x0000_i1056" DrawAspect="Content" ObjectID="_1738154529" r:id="rId83"/>
        </w:object>
      </w:r>
      <w:r>
        <w:rPr>
          <w:rFonts w:ascii="仿宋_GB2312" w:eastAsia="仿宋_GB2312" w:hAnsi="仿宋" w:cs="仿宋" w:hint="eastAsia"/>
          <w:sz w:val="30"/>
          <w:szCs w:val="30"/>
        </w:rPr>
        <w:t>的十分之一，该证券不计</w:t>
      </w:r>
      <w:proofErr w:type="gramStart"/>
      <w:r>
        <w:rPr>
          <w:rFonts w:ascii="仿宋_GB2312" w:eastAsia="仿宋_GB2312" w:hAnsi="仿宋" w:cs="仿宋" w:hint="eastAsia"/>
          <w:sz w:val="30"/>
          <w:szCs w:val="30"/>
        </w:rPr>
        <w:t>入证券</w:t>
      </w:r>
      <w:proofErr w:type="gramEnd"/>
      <w:r>
        <w:rPr>
          <w:rFonts w:ascii="仿宋_GB2312" w:eastAsia="仿宋_GB2312" w:hAnsi="仿宋" w:cs="仿宋" w:hint="eastAsia"/>
          <w:sz w:val="30"/>
          <w:szCs w:val="30"/>
        </w:rPr>
        <w:t>总数）。</w:t>
      </w:r>
    </w:p>
    <w:p w:rsidR="00AA4100" w:rsidRDefault="00174B88">
      <w:pPr>
        <w:spacing w:line="480" w:lineRule="atLeas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371" w:dyaOrig="371">
          <v:shape id="_x0000_i1057" type="#_x0000_t75" style="width:18.5pt;height:18.5pt" o:ole="">
            <v:imagedata r:id="rId84" o:title=""/>
          </v:shape>
          <o:OLEObject Type="Embed" ProgID="Equation.3" ShapeID="_x0000_i1057" DrawAspect="Content" ObjectID="_1738154530" r:id="rId85"/>
        </w:object>
      </w:r>
      <w:r>
        <w:rPr>
          <w:rFonts w:ascii="仿宋_GB2312" w:eastAsia="仿宋_GB2312" w:hAnsi="仿宋" w:cs="仿宋" w:hint="eastAsia"/>
          <w:sz w:val="30"/>
          <w:szCs w:val="30"/>
        </w:rPr>
        <w:t>为与清算币种错配币种净头寸的绝对值。</w:t>
      </w:r>
    </w:p>
    <w:p w:rsidR="00AA4100" w:rsidRDefault="00174B88">
      <w:pPr>
        <w:spacing w:line="480" w:lineRule="atLeas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399" w:dyaOrig="371">
          <v:shape id="_x0000_i1058" type="#_x0000_t75" style="width:19.9pt;height:18.5pt" o:ole="">
            <v:imagedata r:id="rId86" o:title=""/>
          </v:shape>
          <o:OLEObject Type="Embed" ProgID="Equation.3" ShapeID="_x0000_i1058" DrawAspect="Content" ObjectID="_1738154531" r:id="rId87"/>
        </w:object>
      </w:r>
      <w:r>
        <w:rPr>
          <w:rFonts w:ascii="仿宋_GB2312" w:eastAsia="仿宋_GB2312" w:hAnsi="仿宋" w:cs="仿宋" w:hint="eastAsia"/>
          <w:sz w:val="30"/>
          <w:szCs w:val="30"/>
        </w:rPr>
        <w:t>为币种错配的折扣系数。</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（七）满足本办法附件15市场风险内部模型法要求的商业银行，可以通过考虑证券头寸的相关性，使用风险价值模型计算回购交易中风险暴露和质押品的价格波动。使用风险价值模型计算风险暴露</w:t>
      </w:r>
      <w:r>
        <w:rPr>
          <w:rFonts w:ascii="仿宋_GB2312" w:eastAsia="仿宋_GB2312" w:hAnsi="仿宋" w:cs="仿宋" w:hint="eastAsia"/>
          <w:sz w:val="30"/>
          <w:szCs w:val="30"/>
        </w:rPr>
        <w:object w:dxaOrig="328" w:dyaOrig="299">
          <v:shape id="_x0000_i1059" type="#_x0000_t75" style="width:16.45pt;height:15.1pt" o:ole="">
            <v:imagedata r:id="rId64" o:title=""/>
          </v:shape>
          <o:OLEObject Type="Embed" ProgID="Equation.3" ShapeID="_x0000_i1059" DrawAspect="Content" ObjectID="_1738154532" r:id="rId88"/>
        </w:object>
      </w:r>
      <w:r>
        <w:rPr>
          <w:rFonts w:ascii="仿宋_GB2312" w:eastAsia="仿宋_GB2312" w:hAnsi="仿宋" w:cs="仿宋" w:hint="eastAsia"/>
          <w:sz w:val="30"/>
          <w:szCs w:val="30"/>
        </w:rPr>
        <w:t>的商业银行，公式为：</w:t>
      </w:r>
    </w:p>
    <w:p w:rsidR="00AA4100" w:rsidRDefault="00174B88">
      <w:pPr>
        <w:ind w:firstLineChars="200" w:firstLine="600"/>
        <w:rPr>
          <w:rFonts w:ascii="仿宋_GB2312" w:eastAsia="仿宋_GB2312" w:hAnsi="仿宋" w:cs="仿宋"/>
          <w:sz w:val="30"/>
          <w:szCs w:val="30"/>
        </w:rPr>
      </w:pPr>
      <w:r>
        <w:rPr>
          <w:rFonts w:ascii="仿宋_GB2312" w:eastAsia="仿宋_GB2312" w:hAnsi="仿宋" w:cs="仿宋" w:hint="eastAsia"/>
          <w:position w:val="-14"/>
          <w:sz w:val="30"/>
          <w:szCs w:val="30"/>
        </w:rPr>
        <w:object w:dxaOrig="3960" w:dyaOrig="461">
          <v:shape id="_x0000_i1060" type="#_x0000_t75" style="width:198.15pt;height:22.95pt" o:ole="">
            <v:imagedata r:id="rId89" o:title=""/>
          </v:shape>
          <o:OLEObject Type="Embed" ProgID="Equation.3" ShapeID="_x0000_i1060" DrawAspect="Content" ObjectID="_1738154533" r:id="rId90"/>
        </w:objec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rsidP="000227F5">
      <w:pPr>
        <w:spacing w:line="480" w:lineRule="exact"/>
        <w:ind w:firstLineChars="300" w:firstLine="630"/>
        <w:rPr>
          <w:rFonts w:ascii="仿宋_GB2312" w:eastAsia="仿宋_GB2312" w:hAnsi="仿宋" w:cs="仿宋"/>
          <w:sz w:val="30"/>
          <w:szCs w:val="30"/>
        </w:rPr>
      </w:pPr>
      <w:r>
        <w:rPr>
          <w:rFonts w:ascii="仿宋_GB2312" w:eastAsia="仿宋_GB2312" w:hint="eastAsia"/>
          <w:noProof/>
        </w:rPr>
        <w:drawing>
          <wp:inline distT="0" distB="0" distL="114300" distR="114300" wp14:anchorId="2B611037" wp14:editId="45B7C654">
            <wp:extent cx="295275" cy="171450"/>
            <wp:effectExtent l="0" t="0" r="6985" b="0"/>
            <wp:docPr id="4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8"/>
                    <pic:cNvPicPr>
                      <a:picLocks noChangeAspect="1"/>
                    </pic:cNvPicPr>
                  </pic:nvPicPr>
                  <pic:blipFill>
                    <a:blip r:embed="rId91"/>
                    <a:stretch>
                      <a:fillRect/>
                    </a:stretch>
                  </pic:blipFill>
                  <pic:spPr>
                    <a:xfrm>
                      <a:off x="0" y="0"/>
                      <a:ext cx="295275" cy="171450"/>
                    </a:xfrm>
                    <a:prstGeom prst="rect">
                      <a:avLst/>
                    </a:prstGeom>
                    <a:noFill/>
                    <a:ln>
                      <a:noFill/>
                    </a:ln>
                  </pic:spPr>
                </pic:pic>
              </a:graphicData>
            </a:graphic>
          </wp:inline>
        </w:drawing>
      </w:r>
      <w:r>
        <w:rPr>
          <w:rFonts w:ascii="仿宋_GB2312" w:eastAsia="仿宋_GB2312" w:hAnsi="仿宋" w:cs="仿宋" w:hint="eastAsia"/>
          <w:sz w:val="30"/>
          <w:szCs w:val="30"/>
        </w:rPr>
        <w:t>为前一交易日的风险价值。</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商业银行不满足市场风险内部模型法要求，可以单独向银保监会申请利用内部风险价值模型计算回购交易中风险暴露和质押品的潜在价格波动，并利用过去250个交易日的数据对结果进行返回检验，证明模型的质量。</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（八）商业银行在使用场外衍生工具净额结算进行信用风险缓释时，交易对手的</w:t>
      </w:r>
      <w:proofErr w:type="gramStart"/>
      <w:r>
        <w:rPr>
          <w:rFonts w:ascii="仿宋_GB2312" w:eastAsia="仿宋_GB2312" w:hAnsi="仿宋" w:cs="仿宋" w:hint="eastAsia"/>
          <w:sz w:val="30"/>
          <w:szCs w:val="30"/>
        </w:rPr>
        <w:t>净风险</w:t>
      </w:r>
      <w:proofErr w:type="gramEnd"/>
      <w:r>
        <w:rPr>
          <w:rFonts w:ascii="仿宋_GB2312" w:eastAsia="仿宋_GB2312" w:hAnsi="仿宋" w:cs="仿宋" w:hint="eastAsia"/>
          <w:sz w:val="30"/>
          <w:szCs w:val="30"/>
        </w:rPr>
        <w:t>暴露应按照本办法附件9中方法进行计算。</w:t>
      </w:r>
    </w:p>
    <w:p w:rsidR="00AA4100" w:rsidRDefault="00174B88">
      <w:pPr>
        <w:pStyle w:val="2"/>
      </w:pPr>
      <w:r>
        <w:rPr>
          <w:rFonts w:hint="eastAsia"/>
        </w:rPr>
        <w:t>四、合格保证和信用衍生工具</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（一）商业银行采用初级内部评级法，应按照本</w:t>
      </w:r>
      <w:proofErr w:type="gramStart"/>
      <w:r>
        <w:rPr>
          <w:rFonts w:ascii="仿宋_GB2312" w:eastAsia="仿宋_GB2312" w:hAnsi="仿宋" w:cs="仿宋" w:hint="eastAsia"/>
          <w:sz w:val="30"/>
          <w:szCs w:val="30"/>
        </w:rPr>
        <w:t>附件第</w:t>
      </w:r>
      <w:proofErr w:type="gramEnd"/>
      <w:r>
        <w:rPr>
          <w:rFonts w:ascii="仿宋_GB2312" w:eastAsia="仿宋_GB2312" w:hAnsi="仿宋" w:cs="仿宋" w:hint="eastAsia"/>
          <w:sz w:val="30"/>
          <w:szCs w:val="30"/>
        </w:rPr>
        <w:t>六部分的规定认定合格保证和信用衍生工具的范围，同时应满足本部分（二）和（三）中的认定要求。商业银行采用高级内部评级法，合格信用衍生工具的范围与初级内部评级法相同，在满足本部分（二）和（三）要求的前提下可自行认定合格保证，但应有历史数据证明保证的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（二）合格保证应满足的最低要求：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1.保证人资格应符合《中华人民共和国民法典》规定，具备代为清偿贷款本息能力。商业银行采用高级内部评级法，对合格保证人的类别没有限制，应书面规定保证人类型的认定标准和流程。</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2.保证应为书面形式，且保证数额在保证期限内有效。</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3.保证应为无条件不可撤销的。采用高级内部评级法且自行估计违约风险暴露的商业银行，若保证仅覆盖商业银行向债务人追偿并完成清收之后的剩余损失，也可视为具有信用风险缓释作用。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商业银行应对保证人的资信状况和代偿能力等进行审批评估，确保保证的可靠性。保证人所在国或注册国不应设有外汇管制；如果有外汇管制，商业银行应确保保证人履行债务时，可以获得资金汇出汇入的批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5.商业银行应加强对保证人的档案信息管理，在保证合同有效期间，应定期对保证人的资信状况和代偿能力及保证合同履行情况进行检查，每年不少于一次。</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6.商业银行对关联公司或集团内部的互保及交叉保证应从严掌握，具有实质风险相关性的保证不应作为合格的信用风险缓释工具。</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7.采用信用风险缓释工具后的资本要求不小于对保证人直接风险暴露的资本要求。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8.当商业银行对保证覆盖部分风险暴露采用权重法时，适用本办法附件3规定的保证人范围及最低要求。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三）当具有信用违约互换功能的信用衍生工具和总收益互换提供的信用保护与保证相同时，可以作为合格信用衍生工具。除本部分（二）的要求外，采用合格信用衍生工具缓释信用风险应满足本办法附件3第四部分中有关合格信用衍生工具的具体要求。合格信用衍生工具的信用保护提供方的范围与合格保证的保证人一致。</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（四）商业银行采用初级内部评级法，应将风险暴露划分为保证或信用衍生工具覆盖和未覆盖部分。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1．对保证或信用衍生工具覆盖的风险暴露部分采用替代法处理：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（1）采用保证人或信用保护提供方所适用的风险权重函数。</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（2）采用保证人或信用保护提供方评级结果对应的违约概率。</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（3）将风险暴露视作保证人或信用保护提供方的暴露，采用标准违约损失率。如保证人或信用保护提供方为该缓释覆盖部分采用了其他风险缓释工具，可继续对标准违约损失率进行调整。</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2.如果信用保护与风险暴露的币种不同，即存在币种错配，则认定信用保护覆盖部分的风险暴露将通过折扣系数</w:t>
      </w:r>
      <w:r>
        <w:rPr>
          <w:rFonts w:ascii="仿宋_GB2312" w:eastAsia="仿宋_GB2312" w:hAnsi="仿宋" w:cs="仿宋" w:hint="eastAsia"/>
          <w:position w:val="-14"/>
          <w:sz w:val="30"/>
          <w:szCs w:val="30"/>
        </w:rPr>
        <w:object w:dxaOrig="428" w:dyaOrig="356">
          <v:shape id="_x0000_i1061" type="#_x0000_t75" style="width:21.25pt;height:17.85pt" o:ole="">
            <v:imagedata r:id="rId92" o:title=""/>
          </v:shape>
          <o:OLEObject Type="Embed" ProgID="Equation.3" ShapeID="_x0000_i1061" DrawAspect="Content" ObjectID="_1738154534" r:id="rId93"/>
        </w:object>
      </w:r>
      <w:r>
        <w:rPr>
          <w:rFonts w:ascii="仿宋_GB2312" w:eastAsia="仿宋_GB2312" w:hAnsi="仿宋" w:cs="仿宋" w:hint="eastAsia"/>
          <w:sz w:val="30"/>
          <w:szCs w:val="30"/>
        </w:rPr>
        <w:t>予以降低。</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position w:val="-14"/>
          <w:sz w:val="30"/>
          <w:szCs w:val="30"/>
        </w:rPr>
        <w:object w:dxaOrig="2126" w:dyaOrig="450">
          <v:shape id="_x0000_i1062" type="#_x0000_t75" style="width:106.3pt;height:22.65pt" o:ole="">
            <v:imagedata r:id="rId94" o:title=""/>
          </v:shape>
          <o:OLEObject Type="Embed" ProgID="Equation.KSEE3" ShapeID="_x0000_i1062" DrawAspect="Content" ObjectID="_1738154535" r:id="rId95"/>
        </w:objec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328" w:dyaOrig="356">
          <v:shape id="_x0000_i1063" type="#_x0000_t75" style="width:16.45pt;height:17.85pt" o:ole="">
            <v:imagedata r:id="rId96" o:title=""/>
          </v:shape>
          <o:OLEObject Type="Embed" ProgID="Equation.3" ShapeID="_x0000_i1063" DrawAspect="Content" ObjectID="_1738154536" r:id="rId97"/>
        </w:object>
      </w:r>
      <w:r>
        <w:rPr>
          <w:rFonts w:ascii="仿宋_GB2312" w:eastAsia="仿宋_GB2312" w:hAnsi="仿宋" w:cs="仿宋" w:hint="eastAsia"/>
          <w:sz w:val="30"/>
          <w:szCs w:val="30"/>
        </w:rPr>
        <w:t>为经币种错配调整后信用保护覆盖的风险暴露；</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42" w:dyaOrig="299">
          <v:shape id="_x0000_i1064" type="#_x0000_t75" style="width:12pt;height:15.1pt" o:ole="">
            <v:imagedata r:id="rId98" o:title=""/>
          </v:shape>
          <o:OLEObject Type="Embed" ProgID="Equation.3" ShapeID="_x0000_i1064" DrawAspect="Content" ObjectID="_1738154537" r:id="rId99"/>
        </w:object>
      </w:r>
      <w:r>
        <w:rPr>
          <w:rFonts w:ascii="仿宋_GB2312" w:eastAsia="仿宋_GB2312" w:hAnsi="仿宋" w:cs="仿宋" w:hint="eastAsia"/>
          <w:sz w:val="30"/>
          <w:szCs w:val="30"/>
        </w:rPr>
        <w:t>为信用保护覆盖部分的名义金额；</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428" w:dyaOrig="356">
          <v:shape id="_x0000_i1065" type="#_x0000_t75" style="width:21.25pt;height:17.85pt" o:ole="">
            <v:imagedata r:id="rId100" o:title=""/>
          </v:shape>
          <o:OLEObject Type="Embed" ProgID="Equation.3" ShapeID="_x0000_i1065" DrawAspect="Content" ObjectID="_1738154538" r:id="rId101"/>
        </w:object>
      </w:r>
      <w:r>
        <w:rPr>
          <w:rFonts w:ascii="仿宋_GB2312" w:eastAsia="仿宋_GB2312" w:hAnsi="仿宋" w:cs="仿宋" w:hint="eastAsia"/>
          <w:sz w:val="30"/>
          <w:szCs w:val="30"/>
        </w:rPr>
        <w:t>为适用于信用保护和风险暴露币种错配的折扣系数。</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3.商业银行不得认可首次违约以及</w:t>
      </w:r>
      <w:proofErr w:type="gramStart"/>
      <w:r>
        <w:rPr>
          <w:rFonts w:ascii="仿宋_GB2312" w:eastAsia="仿宋_GB2312" w:hAnsi="仿宋" w:cs="仿宋" w:hint="eastAsia"/>
          <w:sz w:val="30"/>
          <w:szCs w:val="30"/>
        </w:rPr>
        <w:t>后续第</w:t>
      </w:r>
      <w:proofErr w:type="gramEnd"/>
      <w:r>
        <w:rPr>
          <w:rFonts w:ascii="仿宋_GB2312" w:eastAsia="仿宋_GB2312" w:hAnsi="仿宋" w:cs="仿宋" w:hint="eastAsia"/>
          <w:sz w:val="30"/>
          <w:szCs w:val="30"/>
        </w:rPr>
        <w:t>N次违约信用衍生工具为合格的信用风险缓释工具。</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4.商业银行采用带有偿付临界值、按比例承担以及分档次抵补的信用保护，应按照本办法附件3第四部分的要求处理。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五）采用高级内部评级法的商业银行，可以通过调整违约概率或违约损失率的估计值来反映保证和信用衍生工具的信用风险缓释作用；对不符合自行估计违约损失率相关要求的商业银行，只能通过调整违约概率反映信用风险缓释的作用。商业银行进行风险参数调整时应满足如下标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1.基于合格保证的调整应满足以下标准：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（1）商业银行应明确调整债务人级别或违约损失率估计值（零售风险暴露和合格购入应收账款风险分池）的标准。调整标准的详细程度应与本办法附件5规定的评级标准可比，并符合附件5有关</w:t>
      </w:r>
      <w:proofErr w:type="gramStart"/>
      <w:r>
        <w:rPr>
          <w:rFonts w:ascii="仿宋_GB2312" w:eastAsia="仿宋_GB2312" w:hAnsi="仿宋" w:cs="仿宋" w:hint="eastAsia"/>
          <w:sz w:val="30"/>
          <w:szCs w:val="30"/>
        </w:rPr>
        <w:t>债务人或债项</w:t>
      </w:r>
      <w:proofErr w:type="gramEnd"/>
      <w:r>
        <w:rPr>
          <w:rFonts w:ascii="仿宋_GB2312" w:eastAsia="仿宋_GB2312" w:hAnsi="仿宋" w:cs="仿宋" w:hint="eastAsia"/>
          <w:sz w:val="30"/>
          <w:szCs w:val="30"/>
        </w:rPr>
        <w:t>评级的最低要求。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（2）调整标准必须合理、直观，确保保证人具备履行合约的能力和意愿，并考虑债务偿还的所需时间及保证人履约能力与债务人还款能力的相关程度；此外，还应考虑币种错配等剩余风险的大小。</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（3）调整债务人级别或违约损失率估计值（零售风险暴露和合格购入应收账款风险分池）时，商业银行应考虑所有可获得的相关信息。</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2.基于信用衍生工具的调整应满足以下标准：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对于保证的最低要求同样适用于单名信用衍生工具。同时，商业银行还应考虑资产错配的影响。对于信用衍生工具提供保护的风险暴露，若使用调整后的债务人级别或违约损失率，信用衍生工具基于的参考资产应与基础资产相同，除非满足初级内部评级法合格信用衍生工具相关规定。</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（2）标准应考虑到信用衍生产工具的付款结构，并保守地评估付款结构对清收水平和清收时间的影响；银行还应考虑其他潜在剩余风险的大小。</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无论选择调整违约概率或违约损失率，商业银行应确保一定时期内不同保证或信用衍生工具之间方法的一致性。</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（六）商业银行采用高级内部评级法,对保证或信用衍生工具覆盖的部分可以采用替代法，也可以采用债务人自身的违约概率和银行内部估计的该类保证人或信用保护提供方提供信用保护风险暴露的违约损失率。</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对于商业银行获得验收通过使用自行估计违约损失率的风险暴露，商业银行可认定首次违约信用衍生工具的风险缓释作用，但不可认定第二次违约以及</w:t>
      </w:r>
      <w:proofErr w:type="gramStart"/>
      <w:r>
        <w:rPr>
          <w:rFonts w:ascii="仿宋_GB2312" w:eastAsia="仿宋_GB2312" w:hAnsi="仿宋" w:cs="仿宋" w:hint="eastAsia"/>
          <w:sz w:val="30"/>
          <w:szCs w:val="30"/>
        </w:rPr>
        <w:t>后续第</w:t>
      </w:r>
      <w:proofErr w:type="gramEnd"/>
      <w:r>
        <w:rPr>
          <w:rFonts w:ascii="仿宋_GB2312" w:eastAsia="仿宋_GB2312" w:hAnsi="仿宋" w:cs="仿宋" w:hint="eastAsia"/>
          <w:sz w:val="30"/>
          <w:szCs w:val="30"/>
        </w:rPr>
        <w:t>N次违约信用衍生工具的风险缓释作用。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在两种方法中，调整违约概率或违约损失率均不得反映“双重违约”的效果。采用自行估计违约损失率方法计算的资本要求不得低于对保证人或信用保护提供方直接风险暴露的资本要求。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七）如果商业银行对保证人或信用保护提供方直接风险暴露采用权重法，则对保证或信用保护覆盖部分风险暴露也应采用权重法进行计量。如果商业银行对保证人或信用保护提供方直接风险暴露采用初级内部评级法，则对保证或信用保护覆盖部分风险暴露也应采用初级内部评级法进行计量。商业银行也可以选择</w:t>
      </w:r>
      <w:proofErr w:type="gramStart"/>
      <w:r>
        <w:rPr>
          <w:rFonts w:ascii="仿宋_GB2312" w:eastAsia="仿宋_GB2312" w:hAnsi="仿宋" w:cs="仿宋" w:hint="eastAsia"/>
          <w:sz w:val="30"/>
          <w:szCs w:val="30"/>
        </w:rPr>
        <w:t>不</w:t>
      </w:r>
      <w:proofErr w:type="gramEnd"/>
      <w:r>
        <w:rPr>
          <w:rFonts w:ascii="仿宋_GB2312" w:eastAsia="仿宋_GB2312" w:hAnsi="仿宋" w:cs="仿宋" w:hint="eastAsia"/>
          <w:sz w:val="30"/>
          <w:szCs w:val="30"/>
        </w:rPr>
        <w:t>认定保证或信用衍生工具的信用风险缓释作用。</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八）同一风险暴露由两个以上保证人或信用保护提供方提供信用保护，且不划分信用保护责任的情况下，初级内部评级法不同时考虑多个保证人或信用保护提供方的信用风险缓释作用。商业银行可以选择信用等级最好、信用风险缓释效果最优的保证人或信用保护提供方进行信用风险缓释处理。</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商业银行采用高级内部评级法，若历史数据能够证明，同一风险暴露由多个保证人或信用保护提供方同时信用保护时信用风险缓释作用大于单个信用保护，则可以考虑每个保证人或信用保护提供方缓释风险的作用，表现为违约损失率的下降。</w:t>
      </w:r>
    </w:p>
    <w:p w:rsidR="00AA4100" w:rsidRDefault="00174B88">
      <w:pPr>
        <w:pStyle w:val="2"/>
      </w:pPr>
      <w:r>
        <w:rPr>
          <w:rFonts w:hint="eastAsia"/>
        </w:rPr>
        <w:t>五、信用风险缓释工具池</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一）对单独一项风险暴露存在多个信用风险缓释工具时，采用初级内部评级法的商业银行，应将风险暴露细分为每一信用风险缓释工具覆盖的部分，分别计算风险加权资产。如信用保护由一个信用保护者提供，但有不同的期限，也应细分为几个独立的信用保护。</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二）采用高级内部评级法的商业银行，可以对同一风险暴露采用多个信用风险缓释工具。采用此种方法处理的商业银行应证明此种方式对风险抵补的有效性，并建立合理的多重信用风险缓释工具的处理程序和方法。</w:t>
      </w:r>
    </w:p>
    <w:p w:rsidR="00AA4100" w:rsidRDefault="00174B88">
      <w:pPr>
        <w:pStyle w:val="2"/>
      </w:pPr>
      <w:r>
        <w:rPr>
          <w:rFonts w:hint="eastAsia"/>
        </w:rPr>
        <w:t>六、初级内部评级法下合格信用风险缓释工具</w:t>
      </w:r>
    </w:p>
    <w:p w:rsidR="00AA4100" w:rsidRDefault="00174B88">
      <w:pPr>
        <w:ind w:firstLineChars="200" w:firstLine="562"/>
        <w:jc w:val="center"/>
        <w:rPr>
          <w:rFonts w:ascii="楷体_GB2312" w:eastAsia="楷体_GB2312" w:hAnsi="宋体" w:cs="Times New Roman"/>
          <w:b/>
          <w:bCs/>
          <w:sz w:val="28"/>
          <w:szCs w:val="28"/>
        </w:rPr>
      </w:pPr>
      <w:r>
        <w:rPr>
          <w:rFonts w:ascii="楷体_GB2312" w:eastAsia="楷体_GB2312" w:hAnsi="宋体" w:cs="Times New Roman" w:hint="eastAsia"/>
          <w:b/>
          <w:bCs/>
          <w:sz w:val="28"/>
          <w:szCs w:val="28"/>
        </w:rPr>
        <w:t>表2 初级内部评级法下合格信用风险缓释工具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079"/>
        <w:gridCol w:w="6078"/>
      </w:tblGrid>
      <w:tr w:rsidR="00AA4100">
        <w:trPr>
          <w:trHeight w:val="769"/>
          <w:tblHeader/>
        </w:trPr>
        <w:tc>
          <w:tcPr>
            <w:tcW w:w="1297" w:type="dxa"/>
            <w:vAlign w:val="center"/>
          </w:tcPr>
          <w:p w:rsidR="00AA4100" w:rsidRDefault="00174B88">
            <w:pPr>
              <w:widowControl/>
              <w:rPr>
                <w:rFonts w:ascii="仿宋_GB2312" w:eastAsia="仿宋_GB2312" w:hAnsi="宋体" w:cs="宋体"/>
                <w:b/>
                <w:sz w:val="24"/>
              </w:rPr>
            </w:pPr>
            <w:r>
              <w:rPr>
                <w:rFonts w:ascii="仿宋_GB2312" w:eastAsia="仿宋_GB2312" w:hAnsi="宋体" w:cs="宋体" w:hint="eastAsia"/>
                <w:b/>
                <w:sz w:val="24"/>
              </w:rPr>
              <w:t>信用风险缓释工具</w:t>
            </w:r>
          </w:p>
        </w:tc>
        <w:tc>
          <w:tcPr>
            <w:tcW w:w="7157" w:type="dxa"/>
            <w:gridSpan w:val="2"/>
            <w:vAlign w:val="center"/>
          </w:tcPr>
          <w:p w:rsidR="00AA4100" w:rsidRDefault="00174B88">
            <w:pPr>
              <w:widowControl/>
              <w:jc w:val="center"/>
              <w:rPr>
                <w:rFonts w:ascii="仿宋_GB2312" w:eastAsia="仿宋_GB2312" w:hAnsi="宋体" w:cs="宋体"/>
                <w:b/>
                <w:sz w:val="24"/>
              </w:rPr>
            </w:pPr>
            <w:r>
              <w:rPr>
                <w:rFonts w:ascii="仿宋_GB2312" w:eastAsia="仿宋_GB2312" w:hAnsi="宋体" w:cs="宋体" w:hint="eastAsia"/>
                <w:b/>
                <w:sz w:val="24"/>
              </w:rPr>
              <w:t>种类</w:t>
            </w:r>
          </w:p>
        </w:tc>
      </w:tr>
      <w:tr w:rsidR="00AA4100">
        <w:trPr>
          <w:trHeight w:val="507"/>
        </w:trPr>
        <w:tc>
          <w:tcPr>
            <w:tcW w:w="1297" w:type="dxa"/>
            <w:vMerge w:val="restart"/>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抵质押品</w:t>
            </w:r>
          </w:p>
        </w:tc>
        <w:tc>
          <w:tcPr>
            <w:tcW w:w="1079" w:type="dxa"/>
          </w:tcPr>
          <w:p w:rsidR="00AA4100" w:rsidRDefault="00174B88">
            <w:pPr>
              <w:widowControl/>
              <w:jc w:val="left"/>
              <w:rPr>
                <w:rFonts w:ascii="仿宋_GB2312" w:eastAsia="仿宋_GB2312" w:hAnsi="宋体" w:cs="宋体"/>
                <w:sz w:val="24"/>
              </w:rPr>
            </w:pPr>
            <w:r>
              <w:rPr>
                <w:rFonts w:ascii="仿宋_GB2312" w:eastAsia="仿宋_GB2312" w:hAnsi="宋体" w:cs="宋体" w:hint="eastAsia"/>
                <w:sz w:val="24"/>
              </w:rPr>
              <w:t>金融质押品</w:t>
            </w:r>
          </w:p>
        </w:tc>
        <w:tc>
          <w:tcPr>
            <w:tcW w:w="6078" w:type="dxa"/>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（一）以特户、封金或保证金等形式特定化后的现金；</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（二）黄金；</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（三）银行存单；</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（四）我国财政部发行的国债；</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（五）中国人民银行发行的票据；</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（六）我国开发性金融机构和政策性银行、视同我国主权的公共部门实体发行的债券、票据和承兑的汇票；</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（七）权重法下标准信用风险评估结果为A+级、A级（及）以上的境内外商业银行发行的债券、票据和承兑的汇票；</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（八）我国金融资产管理公司为收购国有银行不良贷款而定向发行的债券；</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（九）其他国家或地区政府及其中央银行，视同主权的公共部门实体，国际清算银行、国际货币基金组织、欧洲中央银行、欧盟、欧洲稳定机制和欧洲金融稳定机制，多边开发银行所发行的</w:t>
            </w:r>
            <w:r>
              <w:rPr>
                <w:rFonts w:ascii="宋体" w:eastAsia="宋体" w:hAnsi="宋体" w:cs="宋体" w:hint="eastAsia"/>
                <w:sz w:val="24"/>
              </w:rPr>
              <w:t>BB-</w:t>
            </w:r>
            <w:r w:rsidRPr="000227F5">
              <w:rPr>
                <w:rFonts w:ascii="仿宋_GB2312" w:eastAsia="仿宋_GB2312" w:hAnsi="宋体" w:cs="宋体" w:hint="eastAsia"/>
                <w:sz w:val="24"/>
              </w:rPr>
              <w:t>（含）</w:t>
            </w:r>
            <w:r>
              <w:rPr>
                <w:rFonts w:ascii="仿宋_GB2312" w:eastAsia="仿宋_GB2312" w:hAnsi="宋体" w:cs="宋体" w:hint="eastAsia"/>
                <w:sz w:val="24"/>
              </w:rPr>
              <w:t>以上级别的债券；其他实体发行的BBB-（含）以上级别的债券；评级在A-3/P-3（含）以上的短期债务工具；</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（十）公开上市交易的股票及可转换债券；</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（十一）依法可以质押的具有现金价值的人寿保险单；</w:t>
            </w:r>
          </w:p>
          <w:p w:rsidR="00AA4100" w:rsidRDefault="00174B88">
            <w:pPr>
              <w:rPr>
                <w:rFonts w:ascii="仿宋_GB2312" w:eastAsia="仿宋_GB2312" w:hAnsi="宋体" w:cs="宋体"/>
                <w:sz w:val="24"/>
              </w:rPr>
            </w:pPr>
            <w:r>
              <w:rPr>
                <w:rFonts w:ascii="仿宋_GB2312" w:eastAsia="仿宋_GB2312" w:hAnsi="宋体" w:cs="宋体" w:hint="eastAsia"/>
                <w:sz w:val="24"/>
              </w:rPr>
              <w:t>（十二）投资于以上金融工具的可转让基金份额，</w:t>
            </w:r>
            <w:proofErr w:type="gramStart"/>
            <w:r>
              <w:rPr>
                <w:rFonts w:ascii="仿宋_GB2312" w:eastAsia="仿宋_GB2312" w:hAnsi="宋体" w:cs="宋体" w:hint="eastAsia"/>
                <w:sz w:val="24"/>
              </w:rPr>
              <w:t>且基金</w:t>
            </w:r>
            <w:proofErr w:type="gramEnd"/>
            <w:r>
              <w:rPr>
                <w:rFonts w:ascii="仿宋_GB2312" w:eastAsia="仿宋_GB2312" w:hAnsi="宋体" w:cs="宋体" w:hint="eastAsia"/>
                <w:sz w:val="24"/>
              </w:rPr>
              <w:t>应每天公开报价。</w:t>
            </w:r>
          </w:p>
          <w:p w:rsidR="00AA4100" w:rsidRDefault="00AA4100">
            <w:pPr>
              <w:widowControl/>
              <w:rPr>
                <w:rFonts w:ascii="仿宋_GB2312" w:eastAsia="仿宋_GB2312" w:hAnsi="宋体" w:cs="宋体"/>
                <w:sz w:val="24"/>
              </w:rPr>
            </w:pPr>
          </w:p>
        </w:tc>
      </w:tr>
      <w:tr w:rsidR="00AA4100">
        <w:tc>
          <w:tcPr>
            <w:tcW w:w="1297" w:type="dxa"/>
            <w:vMerge/>
          </w:tcPr>
          <w:p w:rsidR="00AA4100" w:rsidRDefault="00AA4100">
            <w:pPr>
              <w:widowControl/>
              <w:rPr>
                <w:rFonts w:ascii="仿宋_GB2312" w:eastAsia="仿宋_GB2312" w:hAnsi="宋体" w:cs="宋体"/>
                <w:sz w:val="24"/>
              </w:rPr>
            </w:pPr>
          </w:p>
        </w:tc>
        <w:tc>
          <w:tcPr>
            <w:tcW w:w="1079" w:type="dxa"/>
          </w:tcPr>
          <w:p w:rsidR="00AA4100" w:rsidRDefault="00174B88">
            <w:pPr>
              <w:widowControl/>
              <w:jc w:val="left"/>
              <w:rPr>
                <w:rFonts w:ascii="仿宋_GB2312" w:eastAsia="仿宋_GB2312" w:hAnsi="宋体" w:cs="宋体"/>
                <w:sz w:val="24"/>
              </w:rPr>
            </w:pPr>
            <w:r>
              <w:rPr>
                <w:rFonts w:ascii="仿宋_GB2312" w:eastAsia="仿宋_GB2312" w:hAnsi="宋体" w:cs="宋体" w:hint="eastAsia"/>
                <w:sz w:val="24"/>
              </w:rPr>
              <w:t>应收账款</w:t>
            </w:r>
          </w:p>
        </w:tc>
        <w:tc>
          <w:tcPr>
            <w:tcW w:w="6078" w:type="dxa"/>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原始期限不超过1年的财务应收账款：</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（一）销售产生的债权；</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（二）出租产生的债权；</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（三）提供服务产生的债权；</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合格应收账款不包括与资产证券化、从属参与或信用衍生工具相关的应收账款。</w:t>
            </w:r>
          </w:p>
        </w:tc>
      </w:tr>
      <w:tr w:rsidR="00AA4100">
        <w:trPr>
          <w:trHeight w:val="90"/>
        </w:trPr>
        <w:tc>
          <w:tcPr>
            <w:tcW w:w="1297" w:type="dxa"/>
            <w:vMerge/>
          </w:tcPr>
          <w:p w:rsidR="00AA4100" w:rsidRDefault="00AA4100">
            <w:pPr>
              <w:widowControl/>
              <w:rPr>
                <w:rFonts w:ascii="仿宋_GB2312" w:eastAsia="仿宋_GB2312" w:hAnsi="宋体" w:cs="宋体"/>
                <w:sz w:val="24"/>
              </w:rPr>
            </w:pPr>
          </w:p>
        </w:tc>
        <w:tc>
          <w:tcPr>
            <w:tcW w:w="1079" w:type="dxa"/>
          </w:tcPr>
          <w:p w:rsidR="00AA4100" w:rsidRDefault="00174B88">
            <w:pPr>
              <w:widowControl/>
              <w:jc w:val="left"/>
              <w:rPr>
                <w:rFonts w:ascii="仿宋_GB2312" w:eastAsia="仿宋_GB2312" w:hAnsi="宋体" w:cs="宋体"/>
                <w:sz w:val="24"/>
              </w:rPr>
            </w:pPr>
            <w:r>
              <w:rPr>
                <w:rFonts w:ascii="仿宋_GB2312" w:eastAsia="仿宋_GB2312" w:hAnsi="宋体" w:cs="宋体" w:hint="eastAsia"/>
                <w:sz w:val="24"/>
              </w:rPr>
              <w:t>商用房地产和居住用房地产</w:t>
            </w:r>
          </w:p>
        </w:tc>
        <w:tc>
          <w:tcPr>
            <w:tcW w:w="6078" w:type="dxa"/>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（一）依法有权处置的国有土地使用权及地上商用房、居住用房，不含工业用房；</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（二）以出让方式取得的用于建设</w:t>
            </w:r>
            <w:proofErr w:type="gramStart"/>
            <w:r>
              <w:rPr>
                <w:rFonts w:ascii="仿宋_GB2312" w:eastAsia="仿宋_GB2312" w:hAnsi="宋体" w:cs="宋体" w:hint="eastAsia"/>
                <w:sz w:val="24"/>
              </w:rPr>
              <w:t>商用房</w:t>
            </w:r>
            <w:proofErr w:type="gramEnd"/>
            <w:r>
              <w:rPr>
                <w:rFonts w:ascii="仿宋_GB2312" w:eastAsia="仿宋_GB2312" w:hAnsi="宋体" w:cs="宋体" w:hint="eastAsia"/>
                <w:sz w:val="24"/>
              </w:rPr>
              <w:t>或居住用房的土地使用权。</w:t>
            </w:r>
          </w:p>
        </w:tc>
      </w:tr>
      <w:tr w:rsidR="00AA4100">
        <w:tc>
          <w:tcPr>
            <w:tcW w:w="1297" w:type="dxa"/>
            <w:vMerge/>
          </w:tcPr>
          <w:p w:rsidR="00AA4100" w:rsidRDefault="00AA4100">
            <w:pPr>
              <w:widowControl/>
              <w:rPr>
                <w:rFonts w:ascii="仿宋_GB2312" w:eastAsia="仿宋_GB2312" w:hAnsi="宋体" w:cs="宋体"/>
                <w:sz w:val="24"/>
              </w:rPr>
            </w:pPr>
          </w:p>
        </w:tc>
        <w:tc>
          <w:tcPr>
            <w:tcW w:w="1079" w:type="dxa"/>
          </w:tcPr>
          <w:p w:rsidR="00AA4100" w:rsidRDefault="00174B88">
            <w:pPr>
              <w:widowControl/>
              <w:jc w:val="left"/>
              <w:rPr>
                <w:rFonts w:ascii="仿宋_GB2312" w:eastAsia="仿宋_GB2312" w:hAnsi="宋体" w:cs="宋体"/>
                <w:sz w:val="24"/>
              </w:rPr>
            </w:pPr>
            <w:r>
              <w:rPr>
                <w:rFonts w:ascii="仿宋_GB2312" w:eastAsia="仿宋_GB2312" w:hAnsi="宋体" w:cs="宋体" w:hint="eastAsia"/>
                <w:sz w:val="24"/>
              </w:rPr>
              <w:t>其他抵质押品</w:t>
            </w:r>
          </w:p>
        </w:tc>
        <w:tc>
          <w:tcPr>
            <w:tcW w:w="6078" w:type="dxa"/>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金融质押品、应收账款、商用房地产、居住用房地产之外，</w:t>
            </w:r>
            <w:proofErr w:type="gramStart"/>
            <w:r>
              <w:rPr>
                <w:rFonts w:ascii="仿宋_GB2312" w:eastAsia="仿宋_GB2312" w:hAnsi="宋体" w:cs="宋体" w:hint="eastAsia"/>
                <w:sz w:val="24"/>
              </w:rPr>
              <w:t>经银保</w:t>
            </w:r>
            <w:proofErr w:type="gramEnd"/>
            <w:r>
              <w:rPr>
                <w:rFonts w:ascii="仿宋_GB2312" w:eastAsia="仿宋_GB2312" w:hAnsi="宋体" w:cs="宋体" w:hint="eastAsia"/>
                <w:sz w:val="24"/>
              </w:rPr>
              <w:t>监会认可的符合信用风险缓释工具认定和管理要求的抵质押品。</w:t>
            </w:r>
          </w:p>
        </w:tc>
      </w:tr>
      <w:tr w:rsidR="00AA4100">
        <w:tc>
          <w:tcPr>
            <w:tcW w:w="1297" w:type="dxa"/>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净额结算</w:t>
            </w:r>
          </w:p>
        </w:tc>
        <w:tc>
          <w:tcPr>
            <w:tcW w:w="7157" w:type="dxa"/>
            <w:gridSpan w:val="2"/>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（一）表内净额结算；</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（二）回购交易净额结算；</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（三）场外衍生工具及交易账簿信用衍生工具净额结算。</w:t>
            </w:r>
          </w:p>
        </w:tc>
      </w:tr>
      <w:tr w:rsidR="00AA4100">
        <w:tc>
          <w:tcPr>
            <w:tcW w:w="1297" w:type="dxa"/>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保证</w:t>
            </w:r>
          </w:p>
        </w:tc>
        <w:tc>
          <w:tcPr>
            <w:tcW w:w="7157" w:type="dxa"/>
            <w:gridSpan w:val="2"/>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（一）风险权重低于交易对手的主权、金融机构、一般公司等实体；</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（二）如果信用保护专门提供给资产证券化风险暴露，该实体当前外部信用评级在BBB-（含）以上、且在提供信用保护时外部信用评级在A-（含）以上。</w:t>
            </w:r>
          </w:p>
        </w:tc>
      </w:tr>
      <w:tr w:rsidR="00AA4100">
        <w:trPr>
          <w:trHeight w:val="575"/>
        </w:trPr>
        <w:tc>
          <w:tcPr>
            <w:tcW w:w="1297" w:type="dxa"/>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信用衍生工具</w:t>
            </w:r>
          </w:p>
        </w:tc>
        <w:tc>
          <w:tcPr>
            <w:tcW w:w="7157" w:type="dxa"/>
            <w:gridSpan w:val="2"/>
          </w:tcPr>
          <w:p w:rsidR="00AA4100" w:rsidRDefault="00174B88">
            <w:pPr>
              <w:widowControl/>
              <w:rPr>
                <w:rFonts w:ascii="仿宋_GB2312" w:eastAsia="仿宋_GB2312" w:hAnsi="宋体" w:cs="宋体"/>
                <w:sz w:val="24"/>
              </w:rPr>
            </w:pPr>
            <w:r>
              <w:rPr>
                <w:rFonts w:ascii="仿宋_GB2312" w:eastAsia="仿宋_GB2312" w:hAnsi="宋体" w:cs="宋体" w:hint="eastAsia"/>
                <w:sz w:val="24"/>
              </w:rPr>
              <w:t xml:space="preserve">（一）信用违约互换指数、信用风险缓释凭证、信用风险缓释合约等具有信用违约互换功能的信用衍生工具； </w:t>
            </w:r>
          </w:p>
          <w:p w:rsidR="00AA4100" w:rsidRDefault="00174B88">
            <w:pPr>
              <w:widowControl/>
              <w:rPr>
                <w:rFonts w:ascii="仿宋_GB2312" w:eastAsia="仿宋_GB2312" w:hAnsi="宋体" w:cs="宋体"/>
                <w:sz w:val="24"/>
              </w:rPr>
            </w:pPr>
            <w:r>
              <w:rPr>
                <w:rFonts w:ascii="仿宋_GB2312" w:eastAsia="仿宋_GB2312" w:hAnsi="宋体" w:cs="宋体" w:hint="eastAsia"/>
                <w:sz w:val="24"/>
              </w:rPr>
              <w:t>（二）总收益互换。</w:t>
            </w:r>
          </w:p>
        </w:tc>
      </w:tr>
    </w:tbl>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若无相应的外部评级，商业银行可将内部评级结果映射到外部评级以判断信用风险缓释工具的合格性，但映射关系应得到银保监会的认可。</w:t>
      </w:r>
    </w:p>
    <w:p w:rsidR="00AA4100" w:rsidRDefault="00174B88">
      <w:pPr>
        <w:pStyle w:val="2"/>
      </w:pPr>
      <w:r>
        <w:rPr>
          <w:rFonts w:hint="eastAsia"/>
        </w:rPr>
        <w:t>七、初级内部评级</w:t>
      </w:r>
      <w:proofErr w:type="gramStart"/>
      <w:r>
        <w:rPr>
          <w:rFonts w:hint="eastAsia"/>
        </w:rPr>
        <w:t>法金融</w:t>
      </w:r>
      <w:proofErr w:type="gramEnd"/>
      <w:r>
        <w:rPr>
          <w:rFonts w:hint="eastAsia"/>
        </w:rPr>
        <w:t>质押品的标准折扣系数</w:t>
      </w:r>
    </w:p>
    <w:p w:rsidR="00AA4100" w:rsidRDefault="00174B88">
      <w:pPr>
        <w:spacing w:line="480" w:lineRule="exact"/>
        <w:ind w:firstLineChars="200" w:firstLine="602"/>
        <w:rPr>
          <w:rFonts w:ascii="仿宋_GB2312" w:eastAsia="仿宋_GB2312" w:hAnsi="仿宋" w:cs="仿宋"/>
          <w:sz w:val="30"/>
          <w:szCs w:val="30"/>
        </w:rPr>
      </w:pPr>
      <w:r>
        <w:rPr>
          <w:rFonts w:ascii="仿宋_GB2312" w:eastAsia="仿宋_GB2312" w:hAnsi="仿宋" w:cs="仿宋" w:hint="eastAsia"/>
          <w:b/>
          <w:sz w:val="30"/>
          <w:szCs w:val="30"/>
        </w:rPr>
        <w:t>（一）</w:t>
      </w:r>
      <w:r>
        <w:rPr>
          <w:rFonts w:ascii="仿宋_GB2312" w:eastAsia="仿宋_GB2312" w:hAnsi="仿宋" w:cs="仿宋" w:hint="eastAsia"/>
          <w:b/>
          <w:sz w:val="30"/>
          <w:szCs w:val="30"/>
        </w:rPr>
        <w:object w:dxaOrig="356" w:dyaOrig="356">
          <v:shape id="_x0000_i1066" type="#_x0000_t75" style="width:17.85pt;height:17.85pt" o:ole="">
            <v:imagedata r:id="rId102" o:title=""/>
          </v:shape>
          <o:OLEObject Type="Embed" ProgID="Equation.3" ShapeID="_x0000_i1066" DrawAspect="Content" ObjectID="_1738154539" r:id="rId103"/>
        </w:object>
      </w:r>
      <w:r>
        <w:rPr>
          <w:rFonts w:ascii="仿宋_GB2312" w:eastAsia="仿宋_GB2312" w:hAnsi="仿宋" w:cs="仿宋" w:hint="eastAsia"/>
          <w:b/>
          <w:sz w:val="30"/>
          <w:szCs w:val="30"/>
        </w:rPr>
        <w:t>和</w:t>
      </w:r>
      <w:r>
        <w:rPr>
          <w:rFonts w:ascii="仿宋_GB2312" w:eastAsia="仿宋_GB2312" w:hAnsi="仿宋" w:cs="仿宋" w:hint="eastAsia"/>
          <w:b/>
          <w:sz w:val="30"/>
          <w:szCs w:val="30"/>
        </w:rPr>
        <w:object w:dxaOrig="356" w:dyaOrig="356">
          <v:shape id="_x0000_i1067" type="#_x0000_t75" style="width:17.85pt;height:17.85pt" o:ole="">
            <v:imagedata r:id="rId104" o:title=""/>
          </v:shape>
          <o:OLEObject Type="Embed" ProgID="Equation.3" ShapeID="_x0000_i1067" DrawAspect="Content" ObjectID="_1738154540" r:id="rId105"/>
        </w:object>
      </w:r>
      <w:r>
        <w:rPr>
          <w:rFonts w:ascii="仿宋_GB2312" w:eastAsia="仿宋_GB2312" w:hAnsi="仿宋" w:cs="仿宋" w:hint="eastAsia"/>
          <w:b/>
          <w:sz w:val="30"/>
          <w:szCs w:val="30"/>
        </w:rPr>
        <w:t>的标准折扣系数</w:t>
      </w:r>
      <w:r>
        <w:rPr>
          <w:rFonts w:ascii="仿宋_GB2312" w:eastAsia="仿宋_GB2312" w:hAnsi="仿宋" w:cs="仿宋" w:hint="eastAsia"/>
          <w:sz w:val="30"/>
          <w:szCs w:val="30"/>
        </w:rPr>
        <w:t>（%，假定逐日盯市，逐日调整保证金和10个交易日的持有期）：</w:t>
      </w:r>
    </w:p>
    <w:p w:rsidR="00AA4100" w:rsidRDefault="00174B88">
      <w:pPr>
        <w:jc w:val="center"/>
        <w:rPr>
          <w:rFonts w:ascii="楷体_GB2312" w:eastAsia="楷体_GB2312" w:hAnsi="宋体" w:cs="Times New Roman"/>
          <w:b/>
          <w:bCs/>
          <w:sz w:val="28"/>
          <w:szCs w:val="28"/>
        </w:rPr>
      </w:pPr>
      <w:r>
        <w:rPr>
          <w:rFonts w:ascii="楷体_GB2312" w:eastAsia="楷体_GB2312" w:hAnsi="宋体" w:cs="Times New Roman" w:hint="eastAsia"/>
          <w:b/>
          <w:bCs/>
          <w:sz w:val="28"/>
          <w:szCs w:val="28"/>
        </w:rPr>
        <w:t xml:space="preserve">表3 </w:t>
      </w:r>
      <w:r>
        <w:rPr>
          <w:rFonts w:ascii="楷体_GB2312" w:eastAsia="楷体_GB2312" w:hAnsi="宋体" w:cs="Times New Roman" w:hint="eastAsia"/>
          <w:b/>
          <w:bCs/>
          <w:sz w:val="28"/>
          <w:szCs w:val="28"/>
        </w:rPr>
        <w:object w:dxaOrig="356" w:dyaOrig="356">
          <v:shape id="_x0000_i1068" type="#_x0000_t75" style="width:17.85pt;height:17.85pt" o:ole="">
            <v:imagedata r:id="rId102" o:title=""/>
          </v:shape>
          <o:OLEObject Type="Embed" ProgID="Equation.3" ShapeID="_x0000_i1068" DrawAspect="Content" ObjectID="_1738154541" r:id="rId106"/>
        </w:object>
      </w:r>
      <w:r>
        <w:rPr>
          <w:rFonts w:ascii="楷体_GB2312" w:eastAsia="楷体_GB2312" w:hAnsi="宋体" w:cs="Times New Roman" w:hint="eastAsia"/>
          <w:b/>
          <w:bCs/>
          <w:sz w:val="28"/>
          <w:szCs w:val="28"/>
        </w:rPr>
        <w:t>和</w:t>
      </w:r>
      <w:r>
        <w:rPr>
          <w:rFonts w:ascii="楷体_GB2312" w:eastAsia="楷体_GB2312" w:hAnsi="宋体" w:cs="Times New Roman" w:hint="eastAsia"/>
          <w:b/>
          <w:bCs/>
          <w:sz w:val="28"/>
          <w:szCs w:val="28"/>
        </w:rPr>
        <w:object w:dxaOrig="356" w:dyaOrig="356">
          <v:shape id="_x0000_i1069" type="#_x0000_t75" style="width:17.85pt;height:17.85pt" o:ole="">
            <v:imagedata r:id="rId104" o:title=""/>
          </v:shape>
          <o:OLEObject Type="Embed" ProgID="Equation.3" ShapeID="_x0000_i1069" DrawAspect="Content" ObjectID="_1738154542" r:id="rId107"/>
        </w:object>
      </w:r>
      <w:r>
        <w:rPr>
          <w:rFonts w:ascii="楷体_GB2312" w:eastAsia="楷体_GB2312" w:hAnsi="宋体" w:cs="Times New Roman" w:hint="eastAsia"/>
          <w:b/>
          <w:bCs/>
          <w:sz w:val="28"/>
          <w:szCs w:val="28"/>
        </w:rPr>
        <w:t>的标准折扣系数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1736"/>
        <w:gridCol w:w="814"/>
        <w:gridCol w:w="980"/>
        <w:gridCol w:w="739"/>
        <w:gridCol w:w="792"/>
        <w:gridCol w:w="1151"/>
      </w:tblGrid>
      <w:tr w:rsidR="00AA4100">
        <w:trPr>
          <w:cantSplit/>
          <w:trHeight w:val="640"/>
          <w:jc w:val="center"/>
        </w:trPr>
        <w:tc>
          <w:tcPr>
            <w:tcW w:w="2013" w:type="dxa"/>
            <w:vMerge w:val="restart"/>
            <w:vAlign w:val="center"/>
          </w:tcPr>
          <w:p w:rsidR="00AA4100" w:rsidRDefault="00174B88">
            <w:pPr>
              <w:jc w:val="center"/>
              <w:rPr>
                <w:rFonts w:ascii="仿宋_GB2312" w:eastAsia="仿宋_GB2312" w:hAnsi="宋体" w:cs="宋体"/>
                <w:sz w:val="24"/>
              </w:rPr>
            </w:pPr>
            <w:r>
              <w:rPr>
                <w:rFonts w:ascii="仿宋_GB2312" w:eastAsia="仿宋_GB2312" w:hAnsi="宋体" w:cs="宋体" w:hint="eastAsia"/>
                <w:sz w:val="24"/>
              </w:rPr>
              <w:t>发行等级</w:t>
            </w:r>
          </w:p>
        </w:tc>
        <w:tc>
          <w:tcPr>
            <w:tcW w:w="1736" w:type="dxa"/>
            <w:vMerge w:val="restart"/>
            <w:vAlign w:val="center"/>
          </w:tcPr>
          <w:p w:rsidR="00AA4100" w:rsidRDefault="00174B88">
            <w:pPr>
              <w:jc w:val="center"/>
              <w:rPr>
                <w:rFonts w:ascii="仿宋_GB2312" w:eastAsia="仿宋_GB2312" w:hAnsi="宋体" w:cs="宋体"/>
                <w:sz w:val="24"/>
              </w:rPr>
            </w:pPr>
            <w:r>
              <w:rPr>
                <w:rFonts w:ascii="仿宋_GB2312" w:eastAsia="仿宋_GB2312" w:hAnsi="宋体" w:cs="宋体" w:hint="eastAsia"/>
                <w:sz w:val="24"/>
              </w:rPr>
              <w:t>剩余期限</w:t>
            </w:r>
          </w:p>
        </w:tc>
        <w:tc>
          <w:tcPr>
            <w:tcW w:w="2533" w:type="dxa"/>
            <w:gridSpan w:val="3"/>
            <w:tcBorders>
              <w:bottom w:val="single" w:sz="4" w:space="0" w:color="auto"/>
            </w:tcBorders>
            <w:vAlign w:val="center"/>
          </w:tcPr>
          <w:p w:rsidR="00AA4100" w:rsidRDefault="00174B88">
            <w:pPr>
              <w:jc w:val="center"/>
              <w:rPr>
                <w:rFonts w:ascii="仿宋_GB2312" w:eastAsia="仿宋_GB2312" w:hAnsi="宋体" w:cs="宋体"/>
                <w:sz w:val="24"/>
              </w:rPr>
            </w:pPr>
            <w:r>
              <w:rPr>
                <w:rFonts w:ascii="仿宋_GB2312" w:eastAsia="仿宋_GB2312" w:hAnsi="宋体" w:cs="宋体" w:hint="eastAsia"/>
                <w:sz w:val="24"/>
              </w:rPr>
              <w:t>主权</w:t>
            </w:r>
          </w:p>
        </w:tc>
        <w:tc>
          <w:tcPr>
            <w:tcW w:w="792" w:type="dxa"/>
            <w:vMerge w:val="restart"/>
            <w:vAlign w:val="center"/>
          </w:tcPr>
          <w:p w:rsidR="00AA4100" w:rsidRDefault="00174B88">
            <w:pPr>
              <w:jc w:val="center"/>
              <w:rPr>
                <w:rFonts w:ascii="仿宋_GB2312" w:eastAsia="仿宋_GB2312" w:hAnsi="宋体" w:cs="宋体"/>
                <w:sz w:val="24"/>
                <w:vertAlign w:val="superscript"/>
              </w:rPr>
            </w:pPr>
            <w:r>
              <w:rPr>
                <w:rFonts w:ascii="仿宋_GB2312" w:eastAsia="仿宋_GB2312" w:hAnsi="宋体" w:cs="宋体" w:hint="eastAsia"/>
                <w:sz w:val="24"/>
              </w:rPr>
              <w:t>其他发行者</w:t>
            </w:r>
          </w:p>
        </w:tc>
        <w:tc>
          <w:tcPr>
            <w:tcW w:w="1151" w:type="dxa"/>
            <w:vMerge w:val="restart"/>
            <w:vAlign w:val="center"/>
          </w:tcPr>
          <w:p w:rsidR="00AA4100" w:rsidRDefault="00174B88">
            <w:pPr>
              <w:jc w:val="center"/>
              <w:rPr>
                <w:rFonts w:ascii="仿宋_GB2312" w:eastAsia="仿宋_GB2312" w:hAnsi="宋体" w:cs="宋体"/>
                <w:sz w:val="24"/>
                <w:vertAlign w:val="superscript"/>
              </w:rPr>
            </w:pPr>
            <w:r>
              <w:rPr>
                <w:rFonts w:ascii="仿宋_GB2312" w:eastAsia="仿宋_GB2312" w:hAnsi="宋体" w:cs="宋体" w:hint="eastAsia"/>
                <w:sz w:val="24"/>
              </w:rPr>
              <w:t>证券化风险暴露</w:t>
            </w:r>
          </w:p>
        </w:tc>
      </w:tr>
      <w:tr w:rsidR="00AA4100">
        <w:trPr>
          <w:cantSplit/>
          <w:trHeight w:val="640"/>
          <w:jc w:val="center"/>
        </w:trPr>
        <w:tc>
          <w:tcPr>
            <w:tcW w:w="2013" w:type="dxa"/>
            <w:vMerge/>
            <w:tcBorders>
              <w:bottom w:val="single" w:sz="4" w:space="0" w:color="auto"/>
            </w:tcBorders>
            <w:vAlign w:val="center"/>
          </w:tcPr>
          <w:p w:rsidR="00AA4100" w:rsidRDefault="00AA4100">
            <w:pPr>
              <w:jc w:val="center"/>
              <w:rPr>
                <w:rFonts w:ascii="仿宋_GB2312" w:eastAsia="仿宋_GB2312" w:hAnsi="宋体" w:cs="宋体"/>
                <w:sz w:val="24"/>
              </w:rPr>
            </w:pPr>
          </w:p>
        </w:tc>
        <w:tc>
          <w:tcPr>
            <w:tcW w:w="1736" w:type="dxa"/>
            <w:vMerge/>
            <w:tcBorders>
              <w:bottom w:val="single" w:sz="4" w:space="0" w:color="auto"/>
            </w:tcBorders>
            <w:vAlign w:val="center"/>
          </w:tcPr>
          <w:p w:rsidR="00AA4100" w:rsidRDefault="00AA4100">
            <w:pPr>
              <w:jc w:val="center"/>
              <w:rPr>
                <w:rFonts w:ascii="仿宋_GB2312" w:eastAsia="仿宋_GB2312" w:hAnsi="宋体" w:cs="宋体"/>
                <w:sz w:val="24"/>
              </w:rPr>
            </w:pPr>
          </w:p>
        </w:tc>
        <w:tc>
          <w:tcPr>
            <w:tcW w:w="814" w:type="dxa"/>
            <w:tcBorders>
              <w:bottom w:val="single" w:sz="4" w:space="0" w:color="auto"/>
            </w:tcBorders>
            <w:vAlign w:val="center"/>
          </w:tcPr>
          <w:p w:rsidR="00AA4100" w:rsidRDefault="00174B88">
            <w:pPr>
              <w:jc w:val="center"/>
              <w:rPr>
                <w:rFonts w:ascii="仿宋_GB2312" w:eastAsia="仿宋_GB2312" w:hAnsi="宋体" w:cs="宋体"/>
                <w:sz w:val="24"/>
              </w:rPr>
            </w:pPr>
            <w:r>
              <w:rPr>
                <w:rFonts w:ascii="仿宋_GB2312" w:eastAsia="仿宋_GB2312" w:hAnsi="宋体" w:cs="宋体" w:hint="eastAsia"/>
                <w:sz w:val="24"/>
              </w:rPr>
              <w:t>风险权重为0%</w:t>
            </w:r>
          </w:p>
        </w:tc>
        <w:tc>
          <w:tcPr>
            <w:tcW w:w="980" w:type="dxa"/>
            <w:tcBorders>
              <w:bottom w:val="single" w:sz="4" w:space="0" w:color="auto"/>
            </w:tcBorders>
          </w:tcPr>
          <w:p w:rsidR="00AA4100" w:rsidRDefault="00174B88">
            <w:pPr>
              <w:jc w:val="center"/>
              <w:rPr>
                <w:rFonts w:ascii="仿宋_GB2312" w:eastAsia="仿宋_GB2312" w:hAnsi="宋体" w:cs="宋体"/>
                <w:sz w:val="24"/>
              </w:rPr>
            </w:pPr>
            <w:r>
              <w:rPr>
                <w:rFonts w:ascii="仿宋_GB2312" w:eastAsia="仿宋_GB2312" w:hAnsi="宋体" w:cs="宋体" w:hint="eastAsia"/>
                <w:sz w:val="24"/>
              </w:rPr>
              <w:t>风险权重为20%或50%</w:t>
            </w:r>
          </w:p>
        </w:tc>
        <w:tc>
          <w:tcPr>
            <w:tcW w:w="739" w:type="dxa"/>
            <w:tcBorders>
              <w:bottom w:val="single" w:sz="4" w:space="0" w:color="auto"/>
            </w:tcBorders>
          </w:tcPr>
          <w:p w:rsidR="00AA4100" w:rsidRDefault="00174B88">
            <w:pPr>
              <w:jc w:val="center"/>
              <w:rPr>
                <w:rFonts w:ascii="仿宋_GB2312" w:eastAsia="仿宋_GB2312" w:hAnsi="宋体" w:cs="宋体"/>
                <w:sz w:val="24"/>
              </w:rPr>
            </w:pPr>
            <w:r>
              <w:rPr>
                <w:rFonts w:ascii="仿宋_GB2312" w:eastAsia="仿宋_GB2312" w:hAnsi="宋体" w:cs="宋体" w:hint="eastAsia"/>
                <w:sz w:val="24"/>
              </w:rPr>
              <w:t>风险权重为100%</w:t>
            </w:r>
          </w:p>
        </w:tc>
        <w:tc>
          <w:tcPr>
            <w:tcW w:w="792" w:type="dxa"/>
            <w:vMerge/>
            <w:tcBorders>
              <w:bottom w:val="single" w:sz="4" w:space="0" w:color="auto"/>
            </w:tcBorders>
            <w:vAlign w:val="center"/>
          </w:tcPr>
          <w:p w:rsidR="00AA4100" w:rsidRDefault="00AA4100">
            <w:pPr>
              <w:jc w:val="center"/>
              <w:rPr>
                <w:rFonts w:ascii="仿宋_GB2312" w:eastAsia="仿宋_GB2312" w:hAnsi="宋体" w:cs="宋体"/>
                <w:sz w:val="24"/>
              </w:rPr>
            </w:pPr>
          </w:p>
        </w:tc>
        <w:tc>
          <w:tcPr>
            <w:tcW w:w="1151" w:type="dxa"/>
            <w:vMerge/>
            <w:tcBorders>
              <w:bottom w:val="single" w:sz="4" w:space="0" w:color="auto"/>
            </w:tcBorders>
            <w:vAlign w:val="center"/>
          </w:tcPr>
          <w:p w:rsidR="00AA4100" w:rsidRDefault="00AA4100">
            <w:pPr>
              <w:jc w:val="center"/>
              <w:rPr>
                <w:rFonts w:ascii="仿宋_GB2312" w:eastAsia="仿宋_GB2312" w:hAnsi="宋体" w:cs="宋体"/>
                <w:sz w:val="24"/>
              </w:rPr>
            </w:pPr>
          </w:p>
        </w:tc>
      </w:tr>
      <w:tr w:rsidR="00AA4100">
        <w:trPr>
          <w:cantSplit/>
          <w:jc w:val="center"/>
        </w:trPr>
        <w:tc>
          <w:tcPr>
            <w:tcW w:w="2013" w:type="dxa"/>
            <w:vMerge w:val="restart"/>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我国财政部发行的国债，中国人民银行发行的票据，我国开发性金融机构和政策性银行、视同我国主权的公共部门实体、权重法下标准信用风险评估结果为A级（及）以上的境内外商业银行发行的债券、票据和承兑的汇票</w:t>
            </w: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≤1年</w:t>
            </w:r>
          </w:p>
        </w:tc>
        <w:tc>
          <w:tcPr>
            <w:tcW w:w="814"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0.5</w:t>
            </w:r>
          </w:p>
        </w:tc>
        <w:tc>
          <w:tcPr>
            <w:tcW w:w="980" w:type="dxa"/>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w:t>
            </w:r>
          </w:p>
        </w:tc>
        <w:tc>
          <w:tcPr>
            <w:tcW w:w="739"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15</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w:t>
            </w:r>
          </w:p>
        </w:tc>
        <w:tc>
          <w:tcPr>
            <w:tcW w:w="1151"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w:t>
            </w:r>
          </w:p>
        </w:tc>
      </w:tr>
      <w:tr w:rsidR="00AA4100">
        <w:trPr>
          <w:cantSplit/>
          <w:trHeight w:val="760"/>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&gt;1年，≤3年</w:t>
            </w:r>
          </w:p>
        </w:tc>
        <w:tc>
          <w:tcPr>
            <w:tcW w:w="814"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2</w:t>
            </w:r>
          </w:p>
        </w:tc>
        <w:tc>
          <w:tcPr>
            <w:tcW w:w="980"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3</w:t>
            </w:r>
          </w:p>
        </w:tc>
        <w:tc>
          <w:tcPr>
            <w:tcW w:w="739" w:type="dxa"/>
            <w:vMerge/>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3</w:t>
            </w:r>
          </w:p>
        </w:tc>
        <w:tc>
          <w:tcPr>
            <w:tcW w:w="1151"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w:t>
            </w:r>
          </w:p>
        </w:tc>
      </w:tr>
      <w:tr w:rsidR="00AA4100">
        <w:trPr>
          <w:cantSplit/>
          <w:trHeight w:val="699"/>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object w:dxaOrig="1440" w:dyaOrig="356">
                <v:shape id="_x0000_i1070" type="#_x0000_t75" style="width:1in;height:17.85pt" o:ole="">
                  <v:imagedata r:id="rId108" o:title=""/>
                </v:shape>
                <o:OLEObject Type="Embed" ProgID="Equation.KSEE3" ShapeID="_x0000_i1070" DrawAspect="Content" ObjectID="_1738154543" r:id="rId109"/>
              </w:object>
            </w:r>
            <w:r>
              <w:rPr>
                <w:rFonts w:ascii="仿宋_GB2312" w:eastAsia="仿宋_GB2312" w:hAnsi="宋体" w:cs="宋体" w:hint="eastAsia"/>
                <w:sz w:val="24"/>
              </w:rPr>
              <w:t>&gt;3年，≤5年</w:t>
            </w:r>
          </w:p>
        </w:tc>
        <w:tc>
          <w:tcPr>
            <w:tcW w:w="814" w:type="dxa"/>
            <w:vMerge/>
            <w:vAlign w:val="center"/>
          </w:tcPr>
          <w:p w:rsidR="00AA4100" w:rsidRDefault="00AA4100">
            <w:pPr>
              <w:spacing w:line="480" w:lineRule="exact"/>
              <w:jc w:val="center"/>
              <w:rPr>
                <w:rFonts w:ascii="仿宋_GB2312" w:eastAsia="仿宋_GB2312" w:hAnsi="宋体" w:cs="宋体"/>
                <w:sz w:val="24"/>
              </w:rPr>
            </w:pPr>
          </w:p>
        </w:tc>
        <w:tc>
          <w:tcPr>
            <w:tcW w:w="980" w:type="dxa"/>
            <w:vMerge/>
          </w:tcPr>
          <w:p w:rsidR="00AA4100" w:rsidRDefault="00AA4100">
            <w:pPr>
              <w:spacing w:line="480" w:lineRule="exact"/>
              <w:jc w:val="center"/>
              <w:rPr>
                <w:rFonts w:ascii="仿宋_GB2312" w:eastAsia="仿宋_GB2312" w:hAnsi="宋体" w:cs="宋体"/>
                <w:sz w:val="24"/>
              </w:rPr>
            </w:pPr>
          </w:p>
        </w:tc>
        <w:tc>
          <w:tcPr>
            <w:tcW w:w="739" w:type="dxa"/>
            <w:vMerge/>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4</w:t>
            </w:r>
          </w:p>
        </w:tc>
        <w:tc>
          <w:tcPr>
            <w:tcW w:w="1151" w:type="dxa"/>
            <w:vMerge/>
            <w:vAlign w:val="center"/>
          </w:tcPr>
          <w:p w:rsidR="00AA4100" w:rsidRDefault="00AA4100">
            <w:pPr>
              <w:spacing w:line="480" w:lineRule="exact"/>
              <w:jc w:val="center"/>
              <w:rPr>
                <w:rFonts w:ascii="仿宋_GB2312" w:eastAsia="仿宋_GB2312" w:hAnsi="宋体" w:cs="宋体"/>
                <w:sz w:val="24"/>
              </w:rPr>
            </w:pPr>
          </w:p>
        </w:tc>
      </w:tr>
      <w:tr w:rsidR="00AA4100">
        <w:trPr>
          <w:cantSplit/>
          <w:trHeight w:val="981"/>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&gt;5年，≤10年</w:t>
            </w:r>
          </w:p>
        </w:tc>
        <w:tc>
          <w:tcPr>
            <w:tcW w:w="814"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4</w:t>
            </w:r>
          </w:p>
        </w:tc>
        <w:tc>
          <w:tcPr>
            <w:tcW w:w="980"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6</w:t>
            </w:r>
          </w:p>
        </w:tc>
        <w:tc>
          <w:tcPr>
            <w:tcW w:w="739" w:type="dxa"/>
            <w:vMerge/>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6</w:t>
            </w:r>
          </w:p>
        </w:tc>
        <w:tc>
          <w:tcPr>
            <w:tcW w:w="1151"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w:t>
            </w:r>
          </w:p>
        </w:tc>
      </w:tr>
      <w:tr w:rsidR="00AA4100">
        <w:trPr>
          <w:cantSplit/>
          <w:trHeight w:val="50"/>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&gt;10年</w:t>
            </w:r>
          </w:p>
        </w:tc>
        <w:tc>
          <w:tcPr>
            <w:tcW w:w="814" w:type="dxa"/>
            <w:vMerge/>
            <w:vAlign w:val="center"/>
          </w:tcPr>
          <w:p w:rsidR="00AA4100" w:rsidRDefault="00AA4100">
            <w:pPr>
              <w:spacing w:line="480" w:lineRule="exact"/>
              <w:jc w:val="center"/>
              <w:rPr>
                <w:rFonts w:ascii="仿宋_GB2312" w:eastAsia="仿宋_GB2312" w:hAnsi="宋体" w:cs="宋体"/>
                <w:sz w:val="24"/>
              </w:rPr>
            </w:pPr>
          </w:p>
        </w:tc>
        <w:tc>
          <w:tcPr>
            <w:tcW w:w="980" w:type="dxa"/>
            <w:vMerge/>
          </w:tcPr>
          <w:p w:rsidR="00AA4100" w:rsidRDefault="00AA4100">
            <w:pPr>
              <w:spacing w:line="480" w:lineRule="exact"/>
              <w:jc w:val="center"/>
              <w:rPr>
                <w:rFonts w:ascii="仿宋_GB2312" w:eastAsia="仿宋_GB2312" w:hAnsi="宋体" w:cs="宋体"/>
                <w:sz w:val="24"/>
              </w:rPr>
            </w:pPr>
          </w:p>
        </w:tc>
        <w:tc>
          <w:tcPr>
            <w:tcW w:w="739" w:type="dxa"/>
            <w:vMerge/>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12</w:t>
            </w:r>
          </w:p>
        </w:tc>
        <w:tc>
          <w:tcPr>
            <w:tcW w:w="1151" w:type="dxa"/>
            <w:vMerge/>
            <w:vAlign w:val="center"/>
          </w:tcPr>
          <w:p w:rsidR="00AA4100" w:rsidRDefault="00AA4100">
            <w:pPr>
              <w:spacing w:line="480" w:lineRule="exact"/>
              <w:jc w:val="center"/>
              <w:rPr>
                <w:rFonts w:ascii="仿宋_GB2312" w:eastAsia="仿宋_GB2312" w:hAnsi="宋体" w:cs="宋体"/>
                <w:sz w:val="24"/>
              </w:rPr>
            </w:pPr>
          </w:p>
        </w:tc>
      </w:tr>
      <w:tr w:rsidR="00AA4100">
        <w:trPr>
          <w:cantSplit/>
          <w:jc w:val="center"/>
        </w:trPr>
        <w:tc>
          <w:tcPr>
            <w:tcW w:w="2013" w:type="dxa"/>
            <w:vMerge w:val="restart"/>
            <w:vAlign w:val="center"/>
          </w:tcPr>
          <w:p w:rsidR="00AA4100" w:rsidRDefault="00AA4100">
            <w:pPr>
              <w:spacing w:line="480" w:lineRule="exact"/>
              <w:rPr>
                <w:rFonts w:ascii="仿宋_GB2312" w:eastAsia="仿宋_GB2312" w:hAnsi="宋体" w:cs="宋体"/>
                <w:sz w:val="24"/>
              </w:rPr>
            </w:pPr>
          </w:p>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AAA至AA-/A-1</w:t>
            </w:r>
          </w:p>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≤1年</w:t>
            </w:r>
          </w:p>
        </w:tc>
        <w:tc>
          <w:tcPr>
            <w:tcW w:w="2533" w:type="dxa"/>
            <w:gridSpan w:val="3"/>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0.5</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w:t>
            </w:r>
          </w:p>
        </w:tc>
        <w:tc>
          <w:tcPr>
            <w:tcW w:w="1151"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2</w:t>
            </w:r>
          </w:p>
        </w:tc>
      </w:tr>
      <w:tr w:rsidR="00AA4100">
        <w:trPr>
          <w:cantSplit/>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&gt;1年，≤3年</w:t>
            </w:r>
          </w:p>
        </w:tc>
        <w:tc>
          <w:tcPr>
            <w:tcW w:w="2533" w:type="dxa"/>
            <w:gridSpan w:val="3"/>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2</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3</w:t>
            </w:r>
          </w:p>
        </w:tc>
        <w:tc>
          <w:tcPr>
            <w:tcW w:w="1151"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8</w:t>
            </w:r>
          </w:p>
        </w:tc>
      </w:tr>
      <w:tr w:rsidR="00AA4100">
        <w:trPr>
          <w:cantSplit/>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&gt;3年，≤5年</w:t>
            </w:r>
          </w:p>
        </w:tc>
        <w:tc>
          <w:tcPr>
            <w:tcW w:w="2533" w:type="dxa"/>
            <w:gridSpan w:val="3"/>
            <w:vMerge/>
            <w:vAlign w:val="center"/>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4</w:t>
            </w:r>
          </w:p>
        </w:tc>
        <w:tc>
          <w:tcPr>
            <w:tcW w:w="1151" w:type="dxa"/>
            <w:vMerge/>
            <w:vAlign w:val="center"/>
          </w:tcPr>
          <w:p w:rsidR="00AA4100" w:rsidRDefault="00AA4100">
            <w:pPr>
              <w:spacing w:line="480" w:lineRule="exact"/>
              <w:jc w:val="center"/>
              <w:rPr>
                <w:rFonts w:ascii="仿宋_GB2312" w:eastAsia="仿宋_GB2312" w:hAnsi="宋体" w:cs="宋体"/>
                <w:sz w:val="24"/>
              </w:rPr>
            </w:pPr>
          </w:p>
        </w:tc>
      </w:tr>
      <w:tr w:rsidR="00AA4100">
        <w:trPr>
          <w:cantSplit/>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&gt;5年，≤10年</w:t>
            </w:r>
          </w:p>
        </w:tc>
        <w:tc>
          <w:tcPr>
            <w:tcW w:w="2533" w:type="dxa"/>
            <w:gridSpan w:val="3"/>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4</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6</w:t>
            </w:r>
          </w:p>
        </w:tc>
        <w:tc>
          <w:tcPr>
            <w:tcW w:w="1151"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16</w:t>
            </w:r>
          </w:p>
        </w:tc>
      </w:tr>
      <w:tr w:rsidR="00AA4100">
        <w:trPr>
          <w:cantSplit/>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&gt;10年</w:t>
            </w:r>
          </w:p>
        </w:tc>
        <w:tc>
          <w:tcPr>
            <w:tcW w:w="2533" w:type="dxa"/>
            <w:gridSpan w:val="3"/>
            <w:vMerge/>
            <w:vAlign w:val="center"/>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12</w:t>
            </w:r>
          </w:p>
        </w:tc>
        <w:tc>
          <w:tcPr>
            <w:tcW w:w="1151" w:type="dxa"/>
            <w:vMerge/>
            <w:vAlign w:val="center"/>
          </w:tcPr>
          <w:p w:rsidR="00AA4100" w:rsidRDefault="00AA4100">
            <w:pPr>
              <w:spacing w:line="480" w:lineRule="exact"/>
              <w:jc w:val="center"/>
              <w:rPr>
                <w:rFonts w:ascii="仿宋_GB2312" w:eastAsia="仿宋_GB2312" w:hAnsi="宋体" w:cs="宋体"/>
                <w:sz w:val="24"/>
              </w:rPr>
            </w:pPr>
          </w:p>
        </w:tc>
      </w:tr>
      <w:tr w:rsidR="00AA4100">
        <w:trPr>
          <w:cantSplit/>
          <w:trHeight w:val="330"/>
          <w:jc w:val="center"/>
        </w:trPr>
        <w:tc>
          <w:tcPr>
            <w:tcW w:w="2013" w:type="dxa"/>
            <w:vMerge w:val="restart"/>
            <w:vAlign w:val="center"/>
          </w:tcPr>
          <w:p w:rsidR="00AA4100" w:rsidRDefault="00174B88">
            <w:pPr>
              <w:spacing w:line="480" w:lineRule="exact"/>
              <w:jc w:val="left"/>
              <w:rPr>
                <w:rFonts w:ascii="仿宋_GB2312" w:eastAsia="仿宋_GB2312" w:hAnsi="宋体" w:cs="宋体"/>
                <w:sz w:val="24"/>
              </w:rPr>
            </w:pPr>
            <w:r>
              <w:rPr>
                <w:rFonts w:ascii="仿宋_GB2312" w:eastAsia="仿宋_GB2312" w:hAnsi="宋体" w:cs="宋体" w:hint="eastAsia"/>
                <w:sz w:val="24"/>
              </w:rPr>
              <w:t xml:space="preserve">A+至BBB-/A-2/A-3/P-3 </w:t>
            </w: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≤1年</w:t>
            </w:r>
          </w:p>
        </w:tc>
        <w:tc>
          <w:tcPr>
            <w:tcW w:w="2533" w:type="dxa"/>
            <w:gridSpan w:val="3"/>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2</w:t>
            </w:r>
          </w:p>
        </w:tc>
        <w:tc>
          <w:tcPr>
            <w:tcW w:w="1151"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4</w:t>
            </w:r>
          </w:p>
        </w:tc>
      </w:tr>
      <w:tr w:rsidR="00AA4100">
        <w:trPr>
          <w:cantSplit/>
          <w:trHeight w:val="330"/>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&gt;1年，≤3年</w:t>
            </w:r>
          </w:p>
        </w:tc>
        <w:tc>
          <w:tcPr>
            <w:tcW w:w="2533" w:type="dxa"/>
            <w:gridSpan w:val="3"/>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3</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4</w:t>
            </w:r>
          </w:p>
        </w:tc>
        <w:tc>
          <w:tcPr>
            <w:tcW w:w="1151"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12</w:t>
            </w:r>
          </w:p>
        </w:tc>
      </w:tr>
      <w:tr w:rsidR="00AA4100">
        <w:trPr>
          <w:cantSplit/>
          <w:trHeight w:val="330"/>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&gt;3年，≤5年</w:t>
            </w:r>
          </w:p>
        </w:tc>
        <w:tc>
          <w:tcPr>
            <w:tcW w:w="2533" w:type="dxa"/>
            <w:gridSpan w:val="3"/>
            <w:vMerge/>
            <w:vAlign w:val="center"/>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6</w:t>
            </w:r>
          </w:p>
        </w:tc>
        <w:tc>
          <w:tcPr>
            <w:tcW w:w="1151" w:type="dxa"/>
            <w:vMerge/>
            <w:vAlign w:val="center"/>
          </w:tcPr>
          <w:p w:rsidR="00AA4100" w:rsidRDefault="00AA4100">
            <w:pPr>
              <w:spacing w:line="480" w:lineRule="exact"/>
              <w:jc w:val="center"/>
              <w:rPr>
                <w:rFonts w:ascii="仿宋_GB2312" w:eastAsia="仿宋_GB2312" w:hAnsi="宋体" w:cs="宋体"/>
                <w:sz w:val="24"/>
              </w:rPr>
            </w:pPr>
          </w:p>
        </w:tc>
      </w:tr>
      <w:tr w:rsidR="00AA4100">
        <w:trPr>
          <w:cantSplit/>
          <w:trHeight w:val="330"/>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&gt;5年，≤10年</w:t>
            </w:r>
          </w:p>
        </w:tc>
        <w:tc>
          <w:tcPr>
            <w:tcW w:w="2533" w:type="dxa"/>
            <w:gridSpan w:val="3"/>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6</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12</w:t>
            </w:r>
          </w:p>
        </w:tc>
        <w:tc>
          <w:tcPr>
            <w:tcW w:w="1151" w:type="dxa"/>
            <w:vMerge w:val="restart"/>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24</w:t>
            </w:r>
          </w:p>
        </w:tc>
      </w:tr>
      <w:tr w:rsidR="00AA4100">
        <w:trPr>
          <w:cantSplit/>
          <w:trHeight w:val="330"/>
          <w:jc w:val="center"/>
        </w:trPr>
        <w:tc>
          <w:tcPr>
            <w:tcW w:w="2013" w:type="dxa"/>
            <w:vMerge/>
            <w:vAlign w:val="center"/>
          </w:tcPr>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&gt;10年</w:t>
            </w:r>
          </w:p>
        </w:tc>
        <w:tc>
          <w:tcPr>
            <w:tcW w:w="2533" w:type="dxa"/>
            <w:gridSpan w:val="3"/>
            <w:vMerge/>
            <w:vAlign w:val="center"/>
          </w:tcPr>
          <w:p w:rsidR="00AA4100" w:rsidRDefault="00AA4100">
            <w:pPr>
              <w:spacing w:line="480" w:lineRule="exact"/>
              <w:jc w:val="center"/>
              <w:rPr>
                <w:rFonts w:ascii="仿宋_GB2312" w:eastAsia="仿宋_GB2312" w:hAnsi="宋体" w:cs="宋体"/>
                <w:sz w:val="24"/>
              </w:rPr>
            </w:pP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20</w:t>
            </w:r>
          </w:p>
        </w:tc>
        <w:tc>
          <w:tcPr>
            <w:tcW w:w="1151" w:type="dxa"/>
            <w:vMerge/>
            <w:vAlign w:val="center"/>
          </w:tcPr>
          <w:p w:rsidR="00AA4100" w:rsidRDefault="00AA4100">
            <w:pPr>
              <w:spacing w:line="480" w:lineRule="exact"/>
              <w:jc w:val="center"/>
              <w:rPr>
                <w:rFonts w:ascii="仿宋_GB2312" w:eastAsia="仿宋_GB2312" w:hAnsi="宋体" w:cs="宋体"/>
                <w:sz w:val="24"/>
              </w:rPr>
            </w:pPr>
          </w:p>
        </w:tc>
      </w:tr>
      <w:tr w:rsidR="00AA4100">
        <w:trPr>
          <w:cantSplit/>
          <w:trHeight w:val="330"/>
          <w:jc w:val="center"/>
        </w:trPr>
        <w:tc>
          <w:tcPr>
            <w:tcW w:w="2013" w:type="dxa"/>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BB+到BB-</w:t>
            </w:r>
          </w:p>
          <w:p w:rsidR="00AA4100" w:rsidRDefault="00AA4100">
            <w:pPr>
              <w:spacing w:line="480" w:lineRule="exact"/>
              <w:rPr>
                <w:rFonts w:ascii="仿宋_GB2312" w:eastAsia="仿宋_GB2312" w:hAnsi="宋体" w:cs="宋体"/>
                <w:sz w:val="24"/>
              </w:rPr>
            </w:pPr>
          </w:p>
        </w:tc>
        <w:tc>
          <w:tcPr>
            <w:tcW w:w="1736"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不分期限</w:t>
            </w:r>
          </w:p>
        </w:tc>
        <w:tc>
          <w:tcPr>
            <w:tcW w:w="2533" w:type="dxa"/>
            <w:gridSpan w:val="3"/>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15</w:t>
            </w:r>
          </w:p>
        </w:tc>
        <w:tc>
          <w:tcPr>
            <w:tcW w:w="792"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不合格</w:t>
            </w:r>
          </w:p>
        </w:tc>
        <w:tc>
          <w:tcPr>
            <w:tcW w:w="1151" w:type="dxa"/>
            <w:vAlign w:val="center"/>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不合格</w:t>
            </w:r>
          </w:p>
        </w:tc>
      </w:tr>
      <w:tr w:rsidR="00AA4100">
        <w:trPr>
          <w:cantSplit/>
          <w:trHeight w:val="360"/>
          <w:jc w:val="center"/>
        </w:trPr>
        <w:tc>
          <w:tcPr>
            <w:tcW w:w="3749" w:type="dxa"/>
            <w:gridSpan w:val="2"/>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具有现金价值的人寿保险单</w:t>
            </w:r>
          </w:p>
        </w:tc>
        <w:tc>
          <w:tcPr>
            <w:tcW w:w="4476" w:type="dxa"/>
            <w:gridSpan w:val="5"/>
            <w:vAlign w:val="center"/>
          </w:tcPr>
          <w:p w:rsidR="00AA4100" w:rsidRDefault="00174B88">
            <w:pPr>
              <w:widowControl/>
              <w:jc w:val="center"/>
              <w:rPr>
                <w:rFonts w:ascii="仿宋_GB2312" w:eastAsia="仿宋_GB2312" w:hAnsi="宋体" w:cs="宋体"/>
                <w:sz w:val="24"/>
              </w:rPr>
            </w:pPr>
            <w:r>
              <w:rPr>
                <w:rFonts w:ascii="仿宋_GB2312" w:eastAsia="仿宋_GB2312" w:hAnsi="宋体" w:cs="宋体" w:hint="eastAsia"/>
                <w:sz w:val="24"/>
              </w:rPr>
              <w:t>10</w:t>
            </w:r>
          </w:p>
        </w:tc>
      </w:tr>
      <w:tr w:rsidR="00AA4100">
        <w:trPr>
          <w:cantSplit/>
          <w:trHeight w:val="360"/>
          <w:jc w:val="center"/>
        </w:trPr>
        <w:tc>
          <w:tcPr>
            <w:tcW w:w="3749" w:type="dxa"/>
            <w:gridSpan w:val="2"/>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主要指数股票、可转换债券和黄金</w:t>
            </w:r>
          </w:p>
        </w:tc>
        <w:tc>
          <w:tcPr>
            <w:tcW w:w="4476" w:type="dxa"/>
            <w:gridSpan w:val="5"/>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20</w:t>
            </w:r>
          </w:p>
        </w:tc>
      </w:tr>
      <w:tr w:rsidR="00AA4100">
        <w:trPr>
          <w:cantSplit/>
          <w:trHeight w:val="50"/>
          <w:jc w:val="center"/>
        </w:trPr>
        <w:tc>
          <w:tcPr>
            <w:tcW w:w="3749" w:type="dxa"/>
            <w:gridSpan w:val="2"/>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在认可交易所挂牌的其他股票、可转换债券</w:t>
            </w:r>
          </w:p>
        </w:tc>
        <w:tc>
          <w:tcPr>
            <w:tcW w:w="4476" w:type="dxa"/>
            <w:gridSpan w:val="5"/>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30</w:t>
            </w:r>
          </w:p>
        </w:tc>
      </w:tr>
      <w:tr w:rsidR="00AA4100">
        <w:trPr>
          <w:cantSplit/>
          <w:jc w:val="center"/>
        </w:trPr>
        <w:tc>
          <w:tcPr>
            <w:tcW w:w="3749" w:type="dxa"/>
            <w:gridSpan w:val="2"/>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可转让基金份额</w:t>
            </w:r>
          </w:p>
        </w:tc>
        <w:tc>
          <w:tcPr>
            <w:tcW w:w="4476" w:type="dxa"/>
            <w:gridSpan w:val="5"/>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基金所投资金融工具中最高的折扣系数</w:t>
            </w:r>
          </w:p>
        </w:tc>
      </w:tr>
      <w:tr w:rsidR="00AA4100">
        <w:trPr>
          <w:cantSplit/>
          <w:jc w:val="center"/>
        </w:trPr>
        <w:tc>
          <w:tcPr>
            <w:tcW w:w="3749" w:type="dxa"/>
            <w:gridSpan w:val="2"/>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同币种现金、保证金或其他类似的工具</w:t>
            </w:r>
          </w:p>
        </w:tc>
        <w:tc>
          <w:tcPr>
            <w:tcW w:w="4476" w:type="dxa"/>
            <w:gridSpan w:val="5"/>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0</w:t>
            </w:r>
          </w:p>
        </w:tc>
      </w:tr>
      <w:tr w:rsidR="00AA4100">
        <w:trPr>
          <w:cantSplit/>
          <w:jc w:val="center"/>
        </w:trPr>
        <w:tc>
          <w:tcPr>
            <w:tcW w:w="3749" w:type="dxa"/>
            <w:gridSpan w:val="2"/>
            <w:vAlign w:val="center"/>
          </w:tcPr>
          <w:p w:rsidR="00AA4100" w:rsidRDefault="00174B88">
            <w:pPr>
              <w:spacing w:line="480" w:lineRule="exact"/>
              <w:rPr>
                <w:rFonts w:ascii="仿宋_GB2312" w:eastAsia="仿宋_GB2312" w:hAnsi="宋体" w:cs="宋体"/>
                <w:sz w:val="24"/>
              </w:rPr>
            </w:pPr>
            <w:r>
              <w:rPr>
                <w:rFonts w:ascii="仿宋_GB2312" w:eastAsia="仿宋_GB2312" w:hAnsi="宋体" w:cs="宋体" w:hint="eastAsia"/>
                <w:sz w:val="24"/>
              </w:rPr>
              <w:t>其他风险暴露</w:t>
            </w:r>
          </w:p>
        </w:tc>
        <w:tc>
          <w:tcPr>
            <w:tcW w:w="4476" w:type="dxa"/>
            <w:gridSpan w:val="5"/>
          </w:tcPr>
          <w:p w:rsidR="00AA4100" w:rsidRDefault="00174B88">
            <w:pPr>
              <w:spacing w:line="480" w:lineRule="exact"/>
              <w:jc w:val="center"/>
              <w:rPr>
                <w:rFonts w:ascii="仿宋_GB2312" w:eastAsia="仿宋_GB2312" w:hAnsi="宋体" w:cs="宋体"/>
                <w:sz w:val="24"/>
              </w:rPr>
            </w:pPr>
            <w:r>
              <w:rPr>
                <w:rFonts w:ascii="仿宋_GB2312" w:eastAsia="仿宋_GB2312" w:hAnsi="宋体" w:cs="宋体" w:hint="eastAsia"/>
                <w:sz w:val="24"/>
              </w:rPr>
              <w:t>30</w:t>
            </w:r>
          </w:p>
        </w:tc>
      </w:tr>
    </w:tbl>
    <w:p w:rsidR="00AA4100" w:rsidRDefault="00174B88">
      <w:pPr>
        <w:spacing w:line="480" w:lineRule="exact"/>
        <w:ind w:firstLineChars="200" w:firstLine="600"/>
        <w:rPr>
          <w:rFonts w:ascii="仿宋_GB2312" w:eastAsia="仿宋_GB2312" w:hAnsi="仿宋" w:cs="仿宋"/>
          <w:b/>
          <w:bCs/>
          <w:sz w:val="30"/>
          <w:szCs w:val="30"/>
          <w:u w:val="single"/>
        </w:rPr>
      </w:pPr>
      <w:r>
        <w:rPr>
          <w:rFonts w:ascii="仿宋_GB2312" w:eastAsia="仿宋_GB2312" w:hAnsi="仿宋" w:cs="仿宋" w:hint="eastAsia"/>
          <w:sz w:val="30"/>
          <w:szCs w:val="30"/>
        </w:rPr>
        <w:t>对于证券融资交易，商业银行借出不合格工具，风险暴露的折扣系数应为30%；商业银行借入不合格工具，信用风险缓释不适用。</w:t>
      </w:r>
    </w:p>
    <w:p w:rsidR="00AA4100" w:rsidRDefault="00174B88">
      <w:pPr>
        <w:spacing w:line="480" w:lineRule="exact"/>
        <w:ind w:firstLineChars="200" w:firstLine="602"/>
        <w:rPr>
          <w:rFonts w:ascii="仿宋_GB2312" w:eastAsia="仿宋_GB2312" w:hAnsi="仿宋" w:cs="仿宋"/>
          <w:b/>
          <w:sz w:val="30"/>
          <w:szCs w:val="30"/>
        </w:rPr>
      </w:pPr>
      <w:r>
        <w:rPr>
          <w:rFonts w:ascii="仿宋_GB2312" w:eastAsia="仿宋_GB2312" w:hAnsi="仿宋" w:cs="仿宋" w:hint="eastAsia"/>
          <w:b/>
          <w:sz w:val="30"/>
          <w:szCs w:val="30"/>
        </w:rPr>
        <w:t>（二）对不同持有期、非逐日盯市，或非逐日调整保证金时折扣系数的调整</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计算质押品折扣系数分为回购类交易、其他资本市场交易和抵押贷款三种交易。每种交易的折扣系数取决于再评估的频率及交易的最低持有期。</w:t>
      </w:r>
    </w:p>
    <w:p w:rsidR="00AA4100" w:rsidRDefault="00174B88">
      <w:pPr>
        <w:jc w:val="center"/>
        <w:rPr>
          <w:rFonts w:ascii="楷体_GB2312" w:eastAsia="楷体_GB2312" w:hAnsi="宋体" w:cs="Times New Roman"/>
          <w:b/>
          <w:bCs/>
          <w:sz w:val="28"/>
          <w:szCs w:val="28"/>
        </w:rPr>
      </w:pPr>
      <w:r>
        <w:rPr>
          <w:rFonts w:ascii="楷体_GB2312" w:eastAsia="楷体_GB2312" w:hAnsi="宋体" w:cs="Times New Roman" w:hint="eastAsia"/>
          <w:b/>
          <w:bCs/>
          <w:sz w:val="28"/>
          <w:szCs w:val="28"/>
        </w:rPr>
        <w:t>表4 最低持有期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3"/>
        <w:gridCol w:w="2721"/>
        <w:gridCol w:w="3029"/>
      </w:tblGrid>
      <w:tr w:rsidR="00AA4100">
        <w:tc>
          <w:tcPr>
            <w:tcW w:w="2633" w:type="dxa"/>
          </w:tcPr>
          <w:p w:rsidR="00AA4100" w:rsidRDefault="00174B88">
            <w:pPr>
              <w:jc w:val="center"/>
              <w:rPr>
                <w:rFonts w:ascii="仿宋_GB2312" w:eastAsia="仿宋_GB2312" w:hAnsiTheme="majorEastAsia" w:cstheme="majorEastAsia"/>
                <w:sz w:val="24"/>
              </w:rPr>
            </w:pPr>
            <w:r>
              <w:rPr>
                <w:rFonts w:ascii="仿宋_GB2312" w:eastAsia="仿宋_GB2312" w:hAnsiTheme="majorEastAsia" w:cstheme="majorEastAsia" w:hint="eastAsia"/>
                <w:sz w:val="24"/>
              </w:rPr>
              <w:t>交易类型</w:t>
            </w:r>
          </w:p>
        </w:tc>
        <w:tc>
          <w:tcPr>
            <w:tcW w:w="2721" w:type="dxa"/>
          </w:tcPr>
          <w:p w:rsidR="00AA4100" w:rsidRDefault="00174B88">
            <w:pPr>
              <w:jc w:val="center"/>
              <w:rPr>
                <w:rFonts w:ascii="仿宋_GB2312" w:eastAsia="仿宋_GB2312" w:hAnsiTheme="majorEastAsia" w:cstheme="majorEastAsia"/>
                <w:sz w:val="24"/>
              </w:rPr>
            </w:pPr>
            <w:r>
              <w:rPr>
                <w:rFonts w:ascii="仿宋_GB2312" w:eastAsia="仿宋_GB2312" w:hAnsiTheme="majorEastAsia" w:cstheme="majorEastAsia" w:hint="eastAsia"/>
                <w:sz w:val="24"/>
              </w:rPr>
              <w:t>最低持有期</w:t>
            </w:r>
          </w:p>
        </w:tc>
        <w:tc>
          <w:tcPr>
            <w:tcW w:w="3029" w:type="dxa"/>
          </w:tcPr>
          <w:p w:rsidR="00AA4100" w:rsidRDefault="00174B88">
            <w:pPr>
              <w:jc w:val="center"/>
              <w:rPr>
                <w:rFonts w:ascii="仿宋_GB2312" w:eastAsia="仿宋_GB2312" w:hAnsiTheme="majorEastAsia" w:cstheme="majorEastAsia"/>
                <w:sz w:val="24"/>
              </w:rPr>
            </w:pPr>
            <w:r>
              <w:rPr>
                <w:rFonts w:ascii="仿宋_GB2312" w:eastAsia="仿宋_GB2312" w:hAnsiTheme="majorEastAsia" w:cstheme="majorEastAsia" w:hint="eastAsia"/>
                <w:sz w:val="24"/>
              </w:rPr>
              <w:t>条件</w:t>
            </w:r>
          </w:p>
        </w:tc>
      </w:tr>
      <w:tr w:rsidR="00AA4100">
        <w:tc>
          <w:tcPr>
            <w:tcW w:w="2633"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 xml:space="preserve">回购类交易 </w:t>
            </w:r>
          </w:p>
        </w:tc>
        <w:tc>
          <w:tcPr>
            <w:tcW w:w="2721"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5个交易日</w:t>
            </w:r>
          </w:p>
        </w:tc>
        <w:tc>
          <w:tcPr>
            <w:tcW w:w="3029"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当日调整保证金</w:t>
            </w:r>
          </w:p>
        </w:tc>
      </w:tr>
      <w:tr w:rsidR="00AA4100">
        <w:tc>
          <w:tcPr>
            <w:tcW w:w="2633"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其他资本市场交易</w:t>
            </w:r>
          </w:p>
        </w:tc>
        <w:tc>
          <w:tcPr>
            <w:tcW w:w="2721"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10个交易日</w:t>
            </w:r>
          </w:p>
        </w:tc>
        <w:tc>
          <w:tcPr>
            <w:tcW w:w="3029"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当日调整保证金</w:t>
            </w:r>
          </w:p>
        </w:tc>
      </w:tr>
      <w:tr w:rsidR="00AA4100">
        <w:tc>
          <w:tcPr>
            <w:tcW w:w="2633"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抵押贷款</w:t>
            </w:r>
          </w:p>
        </w:tc>
        <w:tc>
          <w:tcPr>
            <w:tcW w:w="2721"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20个交易日</w:t>
            </w:r>
          </w:p>
        </w:tc>
        <w:tc>
          <w:tcPr>
            <w:tcW w:w="3029" w:type="dxa"/>
          </w:tcPr>
          <w:p w:rsidR="00AA4100" w:rsidRDefault="00174B88">
            <w:pPr>
              <w:rPr>
                <w:rFonts w:ascii="仿宋_GB2312" w:eastAsia="仿宋_GB2312" w:hAnsiTheme="majorEastAsia" w:cstheme="majorEastAsia"/>
                <w:sz w:val="24"/>
              </w:rPr>
            </w:pPr>
            <w:r>
              <w:rPr>
                <w:rFonts w:ascii="仿宋_GB2312" w:eastAsia="仿宋_GB2312" w:hAnsiTheme="majorEastAsia" w:cstheme="majorEastAsia" w:hint="eastAsia"/>
                <w:sz w:val="24"/>
              </w:rPr>
              <w:t>当日重新估值</w:t>
            </w:r>
          </w:p>
        </w:tc>
      </w:tr>
    </w:tbl>
    <w:p w:rsidR="00AA4100" w:rsidRDefault="00174B88">
      <w:pPr>
        <w:spacing w:line="480" w:lineRule="exact"/>
        <w:ind w:firstLineChars="200" w:firstLine="600"/>
        <w:rPr>
          <w:rFonts w:ascii="仿宋_GB2312" w:eastAsia="仿宋_GB2312"/>
        </w:rPr>
      </w:pPr>
      <w:r>
        <w:rPr>
          <w:rFonts w:ascii="仿宋_GB2312" w:eastAsia="仿宋_GB2312" w:hAnsi="仿宋" w:cs="仿宋" w:hint="eastAsia"/>
          <w:noProof/>
          <w:sz w:val="30"/>
          <w:szCs w:val="30"/>
        </w:rPr>
        <w:drawing>
          <wp:anchor distT="0" distB="0" distL="114300" distR="114300" simplePos="0" relativeHeight="251656704" behindDoc="0" locked="0" layoutInCell="1" allowOverlap="1" wp14:anchorId="6F755E21" wp14:editId="04A90576">
            <wp:simplePos x="0" y="0"/>
            <wp:positionH relativeFrom="column">
              <wp:posOffset>457200</wp:posOffset>
            </wp:positionH>
            <wp:positionV relativeFrom="paragraph">
              <wp:posOffset>915035</wp:posOffset>
            </wp:positionV>
            <wp:extent cx="1831340" cy="488950"/>
            <wp:effectExtent l="0" t="0" r="0" b="635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0"/>
                    <a:stretch>
                      <a:fillRect/>
                    </a:stretch>
                  </pic:blipFill>
                  <pic:spPr>
                    <a:xfrm>
                      <a:off x="0" y="0"/>
                      <a:ext cx="1831340" cy="488950"/>
                    </a:xfrm>
                    <a:prstGeom prst="rect">
                      <a:avLst/>
                    </a:prstGeom>
                    <a:noFill/>
                    <a:ln>
                      <a:noFill/>
                    </a:ln>
                  </pic:spPr>
                </pic:pic>
              </a:graphicData>
            </a:graphic>
          </wp:anchor>
        </w:drawing>
      </w:r>
      <w:r>
        <w:rPr>
          <w:rFonts w:ascii="仿宋_GB2312" w:eastAsia="仿宋_GB2312" w:hAnsi="仿宋" w:cs="仿宋" w:hint="eastAsia"/>
          <w:sz w:val="30"/>
          <w:szCs w:val="30"/>
        </w:rPr>
        <w:t>如果交易持有期限不是10个交易日，或者不是标准折扣系数中约定的每日调整或重新估值，依据交易类型和再评估频率调整标准折扣系数：</w:t>
      </w:r>
    </w:p>
    <w:p w:rsidR="00AA4100" w:rsidRDefault="00174B88">
      <w:pPr>
        <w:spacing w:line="480" w:lineRule="exact"/>
        <w:ind w:leftChars="36" w:left="76"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85" w:dyaOrig="285">
          <v:shape id="_x0000_i1071" type="#_x0000_t75" style="width:14.4pt;height:14.4pt" o:ole="">
            <v:imagedata r:id="rId111" o:title=""/>
          </v:shape>
          <o:OLEObject Type="Embed" ProgID="Equation.3" ShapeID="_x0000_i1071" DrawAspect="Content" ObjectID="_1738154544" r:id="rId112"/>
        </w:object>
      </w:r>
      <w:r>
        <w:rPr>
          <w:rFonts w:ascii="仿宋_GB2312" w:eastAsia="仿宋_GB2312" w:hAnsi="仿宋" w:cs="仿宋" w:hint="eastAsia"/>
          <w:sz w:val="30"/>
          <w:szCs w:val="30"/>
        </w:rPr>
        <w:t>为折扣系数；</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442" w:dyaOrig="285">
          <v:shape id="_x0000_i1072" type="#_x0000_t75" style="width:21.95pt;height:14.4pt" o:ole="">
            <v:imagedata r:id="rId113" o:title=""/>
          </v:shape>
          <o:OLEObject Type="Embed" ProgID="Equation.3" ShapeID="_x0000_i1072" DrawAspect="Content" ObjectID="_1738154545" r:id="rId114"/>
        </w:object>
      </w:r>
      <w:r>
        <w:rPr>
          <w:rFonts w:ascii="仿宋_GB2312" w:eastAsia="仿宋_GB2312" w:hAnsi="仿宋" w:cs="仿宋" w:hint="eastAsia"/>
          <w:sz w:val="30"/>
          <w:szCs w:val="30"/>
        </w:rPr>
        <w:t>为最低持有期为10天的标准折扣系数；</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85" w:dyaOrig="285">
          <v:shape id="_x0000_i1073" type="#_x0000_t75" style="width:14.4pt;height:14.4pt" o:ole="">
            <v:imagedata r:id="rId115" o:title=""/>
          </v:shape>
          <o:OLEObject Type="Embed" ProgID="Equation.3" ShapeID="_x0000_i1073" DrawAspect="Content" ObjectID="_1738154546" r:id="rId116"/>
        </w:object>
      </w:r>
      <w:r>
        <w:rPr>
          <w:rFonts w:ascii="仿宋_GB2312" w:eastAsia="仿宋_GB2312" w:hAnsi="仿宋" w:cs="仿宋" w:hint="eastAsia"/>
          <w:sz w:val="30"/>
          <w:szCs w:val="30"/>
        </w:rPr>
        <w:t>为对资本市场交易保证金调整或对抵押贷款重新估值的实际间隔交易天数；</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object w:dxaOrig="285" w:dyaOrig="285">
          <v:shape id="_x0000_i1074" type="#_x0000_t75" style="width:14.4pt;height:14.4pt" o:ole="">
            <v:imagedata r:id="rId117" o:title=""/>
          </v:shape>
          <o:OLEObject Type="Embed" ProgID="Equation.3" ShapeID="_x0000_i1074" DrawAspect="Content" ObjectID="_1738154547" r:id="rId118"/>
        </w:object>
      </w:r>
      <w:r>
        <w:rPr>
          <w:rFonts w:ascii="仿宋_GB2312" w:eastAsia="仿宋_GB2312" w:hAnsi="仿宋" w:cs="仿宋" w:hint="eastAsia"/>
          <w:sz w:val="30"/>
          <w:szCs w:val="30"/>
        </w:rPr>
        <w:t>为该交易的最低持有期。</w:t>
      </w:r>
    </w:p>
    <w:p w:rsidR="00AA4100" w:rsidRDefault="00174B88">
      <w:pPr>
        <w:spacing w:line="480" w:lineRule="exact"/>
        <w:ind w:firstLineChars="200" w:firstLine="602"/>
        <w:rPr>
          <w:rFonts w:ascii="仿宋_GB2312" w:eastAsia="仿宋_GB2312" w:hAnsi="仿宋" w:cs="仿宋"/>
          <w:sz w:val="30"/>
          <w:szCs w:val="30"/>
        </w:rPr>
      </w:pPr>
      <w:r>
        <w:rPr>
          <w:rFonts w:ascii="仿宋_GB2312" w:eastAsia="仿宋_GB2312" w:hAnsi="仿宋" w:cs="仿宋" w:hint="eastAsia"/>
          <w:b/>
          <w:bCs/>
          <w:sz w:val="30"/>
          <w:szCs w:val="30"/>
        </w:rPr>
        <w:t>（三）特定交易的最低持有期</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1.对于同时包含回购类和其他资本市场交易的净额结算交易，商业银行应使用10个交易日的最低持有期。</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2.满足以下条件的交易应使用规定的最低持有期。</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（1）若在一个季度内的任意时点，净额结算组合的交易量均超过5000笔，商业银行应在下一个季度使用20个交易日作为最低持有期。</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（2）若净额结算组合中包含一个或多个缺乏流动性的质押品，商业银行应使用20个交易日作为最低持有期。缺乏流动性的质押品是指在压力环境下，在两个或更短的交易日内没有连续的活跃市场报价的质押品。</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3）对于具有争议的净额结算组合，最低持有期应是保证金期限的2倍。具有争议的净额结算组合是指商业银行与该净额结算组合内的交易对手，在过去6个月内发生2次以上因追加保证金引发的争议，且在规定的保证金期限内未能解决。</w:t>
      </w:r>
    </w:p>
    <w:p w:rsidR="00AA4100" w:rsidRDefault="00174B88">
      <w:pPr>
        <w:spacing w:line="480" w:lineRule="exact"/>
        <w:ind w:firstLineChars="200" w:firstLine="602"/>
        <w:rPr>
          <w:rFonts w:ascii="仿宋_GB2312" w:eastAsia="仿宋_GB2312" w:hAnsi="仿宋" w:cs="仿宋"/>
          <w:b/>
          <w:sz w:val="30"/>
          <w:szCs w:val="30"/>
        </w:rPr>
      </w:pPr>
      <w:r>
        <w:rPr>
          <w:rFonts w:ascii="仿宋_GB2312" w:eastAsia="仿宋_GB2312" w:hAnsi="仿宋" w:cs="仿宋" w:hint="eastAsia"/>
          <w:b/>
          <w:sz w:val="30"/>
          <w:szCs w:val="30"/>
        </w:rPr>
        <w:t>（四）折扣系数为零的条件</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1．对满足本办法附件3第六部分（二）、（三）要求的回购交易，对应的折扣系数为0%；</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2．对于净额结算组合，如果包含任何不满足本办法附件3第六部分（二）条件的回购交易，均不适用折扣系数为0%的规定。</w:t>
      </w:r>
    </w:p>
    <w:p w:rsidR="00AA4100" w:rsidRDefault="00174B88">
      <w:pPr>
        <w:pStyle w:val="2"/>
      </w:pPr>
      <w:r>
        <w:rPr>
          <w:rFonts w:hint="eastAsia"/>
        </w:rPr>
        <w:t>八、证券融资交易的最低折扣系数底线</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（一）商业银行与特定交易对手开展的特定非集中清算的证券融资交易，应满足本部分的折扣底线要求。</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（二）折扣系数底线适用于以下交易：</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1.质押品为除国债以外的证券，并且交易对手为非银行类金融机构的回购交易；</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2.交易对手为非银行类金融机构的担保升级交易。担保升级交易是指商业银行借出高质量证券给交易对手，交易对手以低质量证券作质押。折扣系数底线应按照本部分（九）所列的公式计算。</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（三）交易对手为中国人民银行的证券融资交易不受折扣系数底线的限制。</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（四）商业银行借出现金，同时收到交易对手提交的债券的回购交易中，如果交易对手在相同或更短期限内再投资或运用现金，则商业银行不受折扣系数底线的限制。</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（五）担保升级交易中，如果交易对手无法使用收到的证券，或向商业银行提供当前及将来都不会重新使用的证明，则商业银行不受折扣系数底线的限制。</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（六）上述证券融资交易的折扣系数底线（%）：</w:t>
      </w:r>
    </w:p>
    <w:p w:rsidR="00AA4100" w:rsidRDefault="00174B88">
      <w:pPr>
        <w:jc w:val="center"/>
        <w:rPr>
          <w:rFonts w:ascii="楷体_GB2312" w:eastAsia="楷体_GB2312" w:hAnsi="宋体" w:cs="Times New Roman"/>
          <w:b/>
          <w:bCs/>
          <w:sz w:val="28"/>
          <w:szCs w:val="28"/>
        </w:rPr>
      </w:pPr>
      <w:r>
        <w:rPr>
          <w:rFonts w:ascii="楷体_GB2312" w:eastAsia="楷体_GB2312" w:hAnsi="宋体" w:cs="Times New Roman" w:hint="eastAsia"/>
          <w:b/>
          <w:bCs/>
          <w:sz w:val="28"/>
          <w:szCs w:val="28"/>
        </w:rPr>
        <w:t>表5 证券融资交易的折扣系数底线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800"/>
        <w:gridCol w:w="2570"/>
        <w:gridCol w:w="2021"/>
      </w:tblGrid>
      <w:tr w:rsidR="00AA4100">
        <w:trPr>
          <w:trHeight w:val="285"/>
          <w:jc w:val="center"/>
        </w:trPr>
        <w:tc>
          <w:tcPr>
            <w:tcW w:w="3800" w:type="dxa"/>
            <w:vMerge w:val="restart"/>
            <w:vAlign w:val="center"/>
          </w:tcPr>
          <w:p w:rsidR="00AA4100" w:rsidRDefault="00174B88">
            <w:pPr>
              <w:ind w:firstLine="440"/>
              <w:jc w:val="center"/>
              <w:textAlignment w:val="center"/>
              <w:rPr>
                <w:rFonts w:ascii="仿宋_GB2312" w:eastAsia="仿宋_GB2312" w:hAnsi="宋体" w:cs="宋体"/>
                <w:b/>
                <w:sz w:val="24"/>
              </w:rPr>
            </w:pPr>
            <w:r>
              <w:rPr>
                <w:rFonts w:ascii="仿宋_GB2312" w:eastAsia="仿宋_GB2312" w:hAnsi="宋体" w:cs="宋体" w:hint="eastAsia"/>
                <w:b/>
                <w:sz w:val="24"/>
              </w:rPr>
              <w:t>金融质押品剩余期限</w:t>
            </w:r>
          </w:p>
        </w:tc>
        <w:tc>
          <w:tcPr>
            <w:tcW w:w="4591" w:type="dxa"/>
            <w:gridSpan w:val="2"/>
            <w:vAlign w:val="center"/>
          </w:tcPr>
          <w:p w:rsidR="00AA4100" w:rsidRDefault="00174B88">
            <w:pPr>
              <w:widowControl/>
              <w:ind w:firstLine="440"/>
              <w:jc w:val="center"/>
              <w:textAlignment w:val="center"/>
              <w:rPr>
                <w:rFonts w:ascii="仿宋_GB2312" w:eastAsia="仿宋_GB2312" w:hAnsi="宋体" w:cs="宋体"/>
                <w:b/>
                <w:sz w:val="24"/>
              </w:rPr>
            </w:pPr>
            <w:r>
              <w:rPr>
                <w:rFonts w:ascii="仿宋_GB2312" w:eastAsia="仿宋_GB2312" w:hAnsi="宋体" w:cs="宋体" w:hint="eastAsia"/>
                <w:b/>
                <w:sz w:val="24"/>
              </w:rPr>
              <w:t>折扣系数底线</w:t>
            </w:r>
          </w:p>
        </w:tc>
      </w:tr>
      <w:tr w:rsidR="00AA4100">
        <w:trPr>
          <w:trHeight w:val="235"/>
          <w:jc w:val="center"/>
        </w:trPr>
        <w:tc>
          <w:tcPr>
            <w:tcW w:w="3800" w:type="dxa"/>
            <w:vMerge/>
            <w:vAlign w:val="center"/>
          </w:tcPr>
          <w:p w:rsidR="00AA4100" w:rsidRDefault="00AA4100">
            <w:pPr>
              <w:widowControl/>
              <w:ind w:firstLine="440"/>
              <w:jc w:val="center"/>
              <w:textAlignment w:val="center"/>
              <w:rPr>
                <w:rFonts w:ascii="仿宋_GB2312" w:eastAsia="仿宋_GB2312" w:hAnsi="宋体" w:cs="宋体"/>
                <w:sz w:val="24"/>
              </w:rPr>
            </w:pPr>
          </w:p>
        </w:tc>
        <w:tc>
          <w:tcPr>
            <w:tcW w:w="2570" w:type="dxa"/>
            <w:vAlign w:val="center"/>
          </w:tcPr>
          <w:p w:rsidR="00AA4100" w:rsidRDefault="00174B88">
            <w:pPr>
              <w:widowControl/>
              <w:jc w:val="center"/>
              <w:textAlignment w:val="center"/>
              <w:rPr>
                <w:rFonts w:ascii="仿宋_GB2312" w:eastAsia="仿宋_GB2312" w:hAnsi="宋体" w:cs="宋体"/>
                <w:sz w:val="24"/>
              </w:rPr>
            </w:pPr>
            <w:r>
              <w:rPr>
                <w:rFonts w:ascii="仿宋_GB2312" w:eastAsia="仿宋_GB2312" w:hAnsi="宋体" w:cs="宋体" w:hint="eastAsia"/>
                <w:sz w:val="24"/>
              </w:rPr>
              <w:t>公司或其他发行主体</w:t>
            </w:r>
          </w:p>
        </w:tc>
        <w:tc>
          <w:tcPr>
            <w:tcW w:w="2021" w:type="dxa"/>
            <w:vAlign w:val="center"/>
          </w:tcPr>
          <w:p w:rsidR="00AA4100" w:rsidRDefault="00174B88">
            <w:pPr>
              <w:widowControl/>
              <w:jc w:val="center"/>
              <w:textAlignment w:val="center"/>
              <w:rPr>
                <w:rFonts w:ascii="仿宋_GB2312" w:eastAsia="仿宋_GB2312" w:hAnsi="宋体" w:cs="宋体"/>
                <w:sz w:val="24"/>
              </w:rPr>
            </w:pPr>
            <w:r>
              <w:rPr>
                <w:rFonts w:ascii="仿宋_GB2312" w:eastAsia="仿宋_GB2312" w:hAnsi="宋体" w:cs="宋体" w:hint="eastAsia"/>
                <w:sz w:val="24"/>
              </w:rPr>
              <w:t>证券化产品</w:t>
            </w:r>
          </w:p>
        </w:tc>
      </w:tr>
      <w:tr w:rsidR="00AA4100">
        <w:trPr>
          <w:trHeight w:val="235"/>
          <w:jc w:val="center"/>
        </w:trPr>
        <w:tc>
          <w:tcPr>
            <w:tcW w:w="3800" w:type="dxa"/>
            <w:vAlign w:val="center"/>
          </w:tcPr>
          <w:p w:rsidR="00AA4100" w:rsidRDefault="00174B88">
            <w:pPr>
              <w:widowControl/>
              <w:ind w:firstLine="440"/>
              <w:textAlignment w:val="center"/>
              <w:rPr>
                <w:rFonts w:ascii="仿宋_GB2312" w:eastAsia="仿宋_GB2312" w:hAnsi="宋体" w:cs="宋体"/>
                <w:sz w:val="24"/>
              </w:rPr>
            </w:pPr>
            <w:r>
              <w:rPr>
                <w:rFonts w:ascii="仿宋_GB2312" w:eastAsia="仿宋_GB2312" w:hAnsi="宋体" w:cs="宋体" w:hint="eastAsia"/>
                <w:color w:val="000000"/>
                <w:kern w:val="0"/>
                <w:sz w:val="24"/>
              </w:rPr>
              <w:t>≤1</w:t>
            </w:r>
            <w:r>
              <w:rPr>
                <w:rFonts w:ascii="仿宋_GB2312" w:eastAsia="仿宋_GB2312" w:hAnsi="宋体" w:cs="宋体" w:hint="eastAsia"/>
                <w:sz w:val="24"/>
              </w:rPr>
              <w:t>年的债券，和浮动利率票据</w:t>
            </w:r>
          </w:p>
        </w:tc>
        <w:tc>
          <w:tcPr>
            <w:tcW w:w="2570" w:type="dxa"/>
            <w:vAlign w:val="center"/>
          </w:tcPr>
          <w:p w:rsidR="00AA4100" w:rsidRDefault="00174B88">
            <w:pPr>
              <w:ind w:firstLine="440"/>
              <w:jc w:val="center"/>
              <w:rPr>
                <w:rFonts w:ascii="仿宋_GB2312" w:eastAsia="仿宋_GB2312" w:hAnsi="宋体" w:cs="宋体"/>
                <w:sz w:val="24"/>
              </w:rPr>
            </w:pPr>
            <w:r>
              <w:rPr>
                <w:rFonts w:ascii="仿宋_GB2312" w:eastAsia="仿宋_GB2312" w:hAnsi="宋体" w:cs="宋体" w:hint="eastAsia"/>
                <w:sz w:val="24"/>
              </w:rPr>
              <w:t>0.5</w:t>
            </w:r>
          </w:p>
        </w:tc>
        <w:tc>
          <w:tcPr>
            <w:tcW w:w="2021"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1</w:t>
            </w:r>
          </w:p>
        </w:tc>
      </w:tr>
      <w:tr w:rsidR="00AA4100">
        <w:trPr>
          <w:trHeight w:val="300"/>
          <w:jc w:val="center"/>
        </w:trPr>
        <w:tc>
          <w:tcPr>
            <w:tcW w:w="3800"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&gt;1年，≤5年的债券</w:t>
            </w:r>
          </w:p>
        </w:tc>
        <w:tc>
          <w:tcPr>
            <w:tcW w:w="2570" w:type="dxa"/>
            <w:vAlign w:val="center"/>
          </w:tcPr>
          <w:p w:rsidR="00AA4100" w:rsidRDefault="00174B88">
            <w:pPr>
              <w:ind w:firstLine="440"/>
              <w:jc w:val="center"/>
              <w:rPr>
                <w:rFonts w:ascii="仿宋_GB2312" w:eastAsia="仿宋_GB2312" w:hAnsi="宋体" w:cs="宋体"/>
                <w:sz w:val="24"/>
              </w:rPr>
            </w:pPr>
            <w:r>
              <w:rPr>
                <w:rFonts w:ascii="仿宋_GB2312" w:eastAsia="仿宋_GB2312" w:hAnsi="宋体" w:cs="宋体" w:hint="eastAsia"/>
                <w:sz w:val="24"/>
              </w:rPr>
              <w:t>1.5</w:t>
            </w:r>
          </w:p>
        </w:tc>
        <w:tc>
          <w:tcPr>
            <w:tcW w:w="2021"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4</w:t>
            </w:r>
          </w:p>
        </w:tc>
      </w:tr>
      <w:tr w:rsidR="00AA4100">
        <w:trPr>
          <w:trHeight w:val="320"/>
          <w:jc w:val="center"/>
        </w:trPr>
        <w:tc>
          <w:tcPr>
            <w:tcW w:w="3800"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&gt;5年，≤10年的债券</w:t>
            </w:r>
          </w:p>
        </w:tc>
        <w:tc>
          <w:tcPr>
            <w:tcW w:w="2570" w:type="dxa"/>
            <w:vAlign w:val="center"/>
          </w:tcPr>
          <w:p w:rsidR="00AA4100" w:rsidRDefault="00174B88">
            <w:pPr>
              <w:ind w:firstLine="440"/>
              <w:jc w:val="center"/>
              <w:rPr>
                <w:rFonts w:ascii="仿宋_GB2312" w:eastAsia="仿宋_GB2312" w:hAnsi="宋体" w:cs="宋体"/>
                <w:sz w:val="24"/>
              </w:rPr>
            </w:pPr>
            <w:r>
              <w:rPr>
                <w:rFonts w:ascii="仿宋_GB2312" w:eastAsia="仿宋_GB2312" w:hAnsi="宋体" w:cs="宋体" w:hint="eastAsia"/>
                <w:sz w:val="24"/>
              </w:rPr>
              <w:t>3</w:t>
            </w:r>
          </w:p>
        </w:tc>
        <w:tc>
          <w:tcPr>
            <w:tcW w:w="2021"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6</w:t>
            </w:r>
          </w:p>
        </w:tc>
      </w:tr>
      <w:tr w:rsidR="00AA4100">
        <w:trPr>
          <w:trHeight w:val="285"/>
          <w:jc w:val="center"/>
        </w:trPr>
        <w:tc>
          <w:tcPr>
            <w:tcW w:w="3800"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&gt;10年的债券</w:t>
            </w:r>
          </w:p>
        </w:tc>
        <w:tc>
          <w:tcPr>
            <w:tcW w:w="2570" w:type="dxa"/>
            <w:vAlign w:val="center"/>
          </w:tcPr>
          <w:p w:rsidR="00AA4100" w:rsidRDefault="00174B88">
            <w:pPr>
              <w:ind w:firstLine="440"/>
              <w:jc w:val="center"/>
              <w:rPr>
                <w:rFonts w:ascii="仿宋_GB2312" w:eastAsia="仿宋_GB2312" w:hAnsi="宋体" w:cs="宋体"/>
                <w:sz w:val="24"/>
              </w:rPr>
            </w:pPr>
            <w:r>
              <w:rPr>
                <w:rFonts w:ascii="仿宋_GB2312" w:eastAsia="仿宋_GB2312" w:hAnsi="宋体" w:cs="宋体" w:hint="eastAsia"/>
                <w:sz w:val="24"/>
              </w:rPr>
              <w:t>4</w:t>
            </w:r>
          </w:p>
        </w:tc>
        <w:tc>
          <w:tcPr>
            <w:tcW w:w="2021"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7</w:t>
            </w:r>
          </w:p>
        </w:tc>
      </w:tr>
      <w:tr w:rsidR="00AA4100">
        <w:trPr>
          <w:trHeight w:val="90"/>
          <w:jc w:val="center"/>
        </w:trPr>
        <w:tc>
          <w:tcPr>
            <w:tcW w:w="3800"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纳入主要市场指数的股票</w:t>
            </w:r>
          </w:p>
        </w:tc>
        <w:tc>
          <w:tcPr>
            <w:tcW w:w="4591" w:type="dxa"/>
            <w:gridSpan w:val="2"/>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6</w:t>
            </w:r>
          </w:p>
        </w:tc>
      </w:tr>
      <w:tr w:rsidR="00AA4100">
        <w:trPr>
          <w:trHeight w:val="285"/>
          <w:jc w:val="center"/>
        </w:trPr>
        <w:tc>
          <w:tcPr>
            <w:tcW w:w="3800" w:type="dxa"/>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其他金融质押品</w:t>
            </w:r>
          </w:p>
        </w:tc>
        <w:tc>
          <w:tcPr>
            <w:tcW w:w="4591" w:type="dxa"/>
            <w:gridSpan w:val="2"/>
            <w:vAlign w:val="center"/>
          </w:tcPr>
          <w:p w:rsidR="00AA4100" w:rsidRDefault="00174B88">
            <w:pPr>
              <w:widowControl/>
              <w:ind w:firstLine="440"/>
              <w:jc w:val="center"/>
              <w:textAlignment w:val="center"/>
              <w:rPr>
                <w:rFonts w:ascii="仿宋_GB2312" w:eastAsia="仿宋_GB2312" w:hAnsi="宋体" w:cs="宋体"/>
                <w:sz w:val="24"/>
              </w:rPr>
            </w:pPr>
            <w:r>
              <w:rPr>
                <w:rFonts w:ascii="仿宋_GB2312" w:eastAsia="仿宋_GB2312" w:hAnsi="宋体" w:cs="宋体" w:hint="eastAsia"/>
                <w:sz w:val="24"/>
              </w:rPr>
              <w:t>10</w:t>
            </w:r>
          </w:p>
        </w:tc>
      </w:tr>
    </w:tbl>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七）商业银行应比较上述证券融资交易的金融质押品的折扣系数H（真实的或按照下述规则计算的）和折扣系数底线f（本部分（六）给定的或按照下述规则计算的）。若H低于f，则该交易应按照对交易对手的无担保风险暴露处理，适用本部分（八）和（九）规则。</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（八）对于非净额结算的上述证券融资交易，折扣系数H和折扣系数底线f应按以下规则计算：</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1.对于回购交易，H由金融质押品价值和</w:t>
      </w:r>
      <w:proofErr w:type="gramStart"/>
      <w:r>
        <w:rPr>
          <w:rFonts w:ascii="仿宋_GB2312" w:eastAsia="仿宋_GB2312" w:hAnsi="仿宋" w:cs="仿宋" w:hint="eastAsia"/>
          <w:sz w:val="30"/>
          <w:szCs w:val="30"/>
        </w:rPr>
        <w:t>融出</w:t>
      </w:r>
      <w:proofErr w:type="gramEnd"/>
      <w:r>
        <w:rPr>
          <w:rFonts w:ascii="仿宋_GB2312" w:eastAsia="仿宋_GB2312" w:hAnsi="仿宋" w:cs="仿宋" w:hint="eastAsia"/>
          <w:sz w:val="30"/>
          <w:szCs w:val="30"/>
        </w:rPr>
        <w:t>的现金确定，f由本部分（六）给定。</w:t>
      </w:r>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2.对于证券借贷，商业银行借出证券A，收到证券B。H由收到的证券B的价值</w:t>
      </w:r>
      <w:r>
        <w:rPr>
          <w:rFonts w:ascii="仿宋_GB2312" w:eastAsia="仿宋_GB2312" w:hAnsi="仿宋" w:cs="仿宋" w:hint="eastAsia"/>
          <w:noProof/>
          <w:sz w:val="30"/>
          <w:szCs w:val="30"/>
        </w:rPr>
        <w:drawing>
          <wp:inline distT="0" distB="0" distL="114300" distR="114300" wp14:anchorId="646A42C5" wp14:editId="5B907B6C">
            <wp:extent cx="209550" cy="209550"/>
            <wp:effectExtent l="0" t="0" r="0" b="0"/>
            <wp:docPr id="34"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68"/>
                    <pic:cNvPicPr>
                      <a:picLocks noChangeAspect="1"/>
                    </pic:cNvPicPr>
                  </pic:nvPicPr>
                  <pic:blipFill>
                    <a:blip r:embed="rId119" cstate="print"/>
                    <a:stretch>
                      <a:fillRect/>
                    </a:stretch>
                  </pic:blipFill>
                  <pic:spPr>
                    <a:xfrm>
                      <a:off x="0" y="0"/>
                      <a:ext cx="209550" cy="209550"/>
                    </a:xfrm>
                    <a:prstGeom prst="rect">
                      <a:avLst/>
                    </a:prstGeom>
                    <a:noFill/>
                    <a:ln>
                      <a:noFill/>
                    </a:ln>
                  </pic:spPr>
                </pic:pic>
              </a:graphicData>
            </a:graphic>
          </wp:inline>
        </w:drawing>
      </w:r>
      <w:r>
        <w:rPr>
          <w:rFonts w:ascii="仿宋_GB2312" w:eastAsia="仿宋_GB2312" w:hAnsi="仿宋" w:cs="仿宋" w:hint="eastAsia"/>
          <w:sz w:val="30"/>
          <w:szCs w:val="30"/>
        </w:rPr>
        <w:t>和借出的证券A的价值</w:t>
      </w:r>
      <w:r>
        <w:rPr>
          <w:rFonts w:ascii="仿宋_GB2312" w:eastAsia="仿宋_GB2312" w:hint="eastAsia"/>
          <w:noProof/>
        </w:rPr>
        <w:drawing>
          <wp:inline distT="0" distB="0" distL="114300" distR="114300" wp14:anchorId="50DBC1BD" wp14:editId="19A451E5">
            <wp:extent cx="209550" cy="209550"/>
            <wp:effectExtent l="0" t="0" r="0" b="6985"/>
            <wp:docPr id="15"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7"/>
                    <pic:cNvPicPr>
                      <a:picLocks noChangeAspect="1"/>
                    </pic:cNvPicPr>
                  </pic:nvPicPr>
                  <pic:blipFill>
                    <a:blip r:embed="rId120"/>
                    <a:stretch>
                      <a:fillRect/>
                    </a:stretch>
                  </pic:blipFill>
                  <pic:spPr>
                    <a:xfrm>
                      <a:off x="0" y="0"/>
                      <a:ext cx="209550" cy="209550"/>
                    </a:xfrm>
                    <a:prstGeom prst="rect">
                      <a:avLst/>
                    </a:prstGeom>
                    <a:noFill/>
                    <a:ln>
                      <a:noFill/>
                    </a:ln>
                  </pic:spPr>
                </pic:pic>
              </a:graphicData>
            </a:graphic>
          </wp:inline>
        </w:drawing>
      </w:r>
      <w:r>
        <w:rPr>
          <w:rFonts w:ascii="仿宋_GB2312" w:eastAsia="仿宋_GB2312" w:hAnsi="仿宋" w:cs="仿宋" w:hint="eastAsia"/>
          <w:sz w:val="30"/>
          <w:szCs w:val="30"/>
        </w:rPr>
        <w:t>确定，f由证券A和证券B的折扣底线综合确定。具体公式如下：</w:t>
      </w:r>
    </w:p>
    <w:p w:rsidR="00AA4100" w:rsidRDefault="00174B88">
      <w:pPr>
        <w:spacing w:line="240" w:lineRule="atLeast"/>
        <w:ind w:firstLineChars="200" w:firstLine="600"/>
        <w:rPr>
          <w:rFonts w:ascii="仿宋_GB2312" w:eastAsia="仿宋_GB2312" w:hAnsi="Cambria" w:cs="Cambria"/>
          <w:i/>
          <w:sz w:val="30"/>
          <w:szCs w:val="30"/>
        </w:rPr>
      </w:pPr>
      <m:oMathPara>
        <m:oMathParaPr>
          <m:jc m:val="center"/>
        </m:oMathParaPr>
        <m:oMath>
          <m:r>
            <w:rPr>
              <w:rFonts w:ascii="Cambria Math" w:eastAsia="仿宋_GB2312" w:hAnsi="Cambria Math" w:cs="Cambria" w:hint="eastAsia"/>
              <w:sz w:val="30"/>
              <w:szCs w:val="30"/>
            </w:rPr>
            <m:t>H=</m:t>
          </m:r>
          <m:f>
            <m:fPr>
              <m:ctrlPr>
                <w:rPr>
                  <w:rFonts w:ascii="Cambria Math" w:eastAsia="仿宋_GB2312" w:hAnsi="Cambria Math" w:cs="Cambria"/>
                  <w:i/>
                  <w:sz w:val="30"/>
                  <w:szCs w:val="30"/>
                </w:rPr>
              </m:ctrlPr>
            </m:fPr>
            <m:num>
              <m:sSub>
                <m:sSubPr>
                  <m:ctrlPr>
                    <w:rPr>
                      <w:rFonts w:ascii="Cambria Math" w:eastAsia="仿宋_GB2312" w:hAnsi="Cambria Math" w:cs="Cambria"/>
                      <w:i/>
                      <w:sz w:val="30"/>
                      <w:szCs w:val="30"/>
                    </w:rPr>
                  </m:ctrlPr>
                </m:sSubPr>
                <m:e>
                  <m:r>
                    <w:rPr>
                      <w:rFonts w:ascii="Cambria Math" w:eastAsia="仿宋_GB2312" w:hAnsi="Cambria Math" w:cs="Cambria" w:hint="eastAsia"/>
                      <w:sz w:val="30"/>
                      <w:szCs w:val="30"/>
                    </w:rPr>
                    <m:t>C</m:t>
                  </m:r>
                </m:e>
                <m:sub>
                  <m:r>
                    <w:rPr>
                      <w:rFonts w:ascii="Cambria Math" w:eastAsia="仿宋_GB2312" w:hAnsi="Cambria Math" w:cs="Cambria" w:hint="eastAsia"/>
                      <w:sz w:val="30"/>
                      <w:szCs w:val="30"/>
                    </w:rPr>
                    <m:t>B</m:t>
                  </m:r>
                </m:sub>
              </m:sSub>
            </m:num>
            <m:den>
              <m:sSub>
                <m:sSubPr>
                  <m:ctrlPr>
                    <w:rPr>
                      <w:rFonts w:ascii="Cambria Math" w:eastAsia="仿宋_GB2312" w:hAnsi="Cambria Math" w:cs="Cambria"/>
                      <w:i/>
                      <w:sz w:val="30"/>
                      <w:szCs w:val="30"/>
                    </w:rPr>
                  </m:ctrlPr>
                </m:sSubPr>
                <m:e>
                  <m:r>
                    <w:rPr>
                      <w:rFonts w:ascii="Cambria Math" w:eastAsia="仿宋_GB2312" w:hAnsi="Cambria Math" w:cs="Cambria" w:hint="eastAsia"/>
                      <w:sz w:val="30"/>
                      <w:szCs w:val="30"/>
                    </w:rPr>
                    <m:t>C</m:t>
                  </m:r>
                </m:e>
                <m:sub>
                  <m:r>
                    <w:rPr>
                      <w:rFonts w:ascii="Cambria Math" w:eastAsia="仿宋_GB2312" w:hAnsi="Cambria Math" w:cs="Cambria" w:hint="eastAsia"/>
                      <w:sz w:val="30"/>
                      <w:szCs w:val="30"/>
                    </w:rPr>
                    <m:t>A</m:t>
                  </m:r>
                </m:sub>
              </m:sSub>
            </m:den>
          </m:f>
          <m:r>
            <w:rPr>
              <w:rFonts w:ascii="Cambria Math" w:eastAsia="MS Mincho" w:hAnsi="Cambria Math" w:cs="MS Mincho" w:hint="eastAsia"/>
              <w:sz w:val="30"/>
              <w:szCs w:val="30"/>
            </w:rPr>
            <m:t>-</m:t>
          </m:r>
          <m:r>
            <w:rPr>
              <w:rFonts w:ascii="Cambria Math" w:eastAsia="仿宋_GB2312" w:hAnsi="Cambria Math" w:cs="Cambria" w:hint="eastAsia"/>
              <w:sz w:val="30"/>
              <w:szCs w:val="30"/>
            </w:rPr>
            <m:t>1</m:t>
          </m:r>
        </m:oMath>
      </m:oMathPara>
    </w:p>
    <w:p w:rsidR="00AA4100" w:rsidRDefault="00174B88" w:rsidP="000227F5">
      <w:pPr>
        <w:jc w:val="center"/>
        <w:rPr>
          <w:rFonts w:ascii="仿宋_GB2312" w:eastAsia="仿宋_GB2312" w:hAnsi="仿宋" w:cs="仿宋"/>
          <w:sz w:val="30"/>
          <w:szCs w:val="30"/>
        </w:rPr>
      </w:pPr>
      <w:r>
        <w:rPr>
          <w:rFonts w:ascii="仿宋_GB2312" w:eastAsia="仿宋_GB2312" w:hAnsi="Cambria Math" w:cs="仿宋" w:hint="eastAsia"/>
          <w:i/>
          <w:iCs/>
          <w:position w:val="-30"/>
          <w:sz w:val="30"/>
          <w:szCs w:val="30"/>
        </w:rPr>
        <w:object w:dxaOrig="1566" w:dyaOrig="783">
          <v:shape id="_x0000_i1075" type="#_x0000_t75" style="width:78.15pt;height:39.1pt" o:ole="">
            <v:imagedata r:id="rId121" o:title=""/>
          </v:shape>
          <o:OLEObject Type="Embed" ProgID="Equation.KSEE3" ShapeID="_x0000_i1075" DrawAspect="Content" ObjectID="_1738154548" r:id="rId122"/>
        </w:object>
      </w:r>
    </w:p>
    <w:p w:rsidR="00AA4100" w:rsidRDefault="00174B88">
      <w:pPr>
        <w:numPr>
          <w:ilvl w:val="0"/>
          <w:numId w:val="1"/>
        </w:num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对于净额结算的证券融资交易，H、f应按以下公式计算：</w:t>
      </w:r>
    </w:p>
    <w:p w:rsidR="00AA4100" w:rsidRDefault="00174B88">
      <w:pPr>
        <w:jc w:val="center"/>
        <w:rPr>
          <w:rFonts w:ascii="仿宋_GB2312" w:eastAsia="仿宋_GB2312" w:hAnsi="仿宋" w:cs="仿宋"/>
          <w:sz w:val="30"/>
          <w:szCs w:val="30"/>
        </w:rPr>
      </w:pPr>
      <w:r>
        <w:rPr>
          <w:rFonts w:ascii="仿宋_GB2312" w:eastAsia="仿宋_GB2312" w:hAnsi="仿宋" w:cs="仿宋" w:hint="eastAsia"/>
          <w:position w:val="-32"/>
          <w:sz w:val="30"/>
          <w:szCs w:val="30"/>
        </w:rPr>
        <w:object w:dxaOrig="2007" w:dyaOrig="855">
          <v:shape id="_x0000_i1076" type="#_x0000_t75" style="width:100.45pt;height:42.85pt" o:ole="">
            <v:imagedata r:id="rId123" o:title=""/>
          </v:shape>
          <o:OLEObject Type="Embed" ProgID="Equation.KSEE3" ShapeID="_x0000_i1076" DrawAspect="Content" ObjectID="_1738154549" r:id="rId124"/>
        </w:object>
      </w:r>
    </w:p>
    <w:p w:rsidR="00AA4100" w:rsidRDefault="00174B88">
      <w:pPr>
        <w:jc w:val="center"/>
        <w:rPr>
          <w:rFonts w:ascii="仿宋_GB2312" w:eastAsia="仿宋_GB2312" w:hAnsi="仿宋" w:cs="仿宋"/>
          <w:sz w:val="30"/>
          <w:szCs w:val="30"/>
        </w:rPr>
      </w:pPr>
      <m:oMathPara>
        <m:oMath>
          <m:r>
            <w:rPr>
              <w:rFonts w:ascii="Cambria Math" w:eastAsia="仿宋_GB2312" w:hAnsi="Cambria Math" w:cs="仿宋"/>
              <w:sz w:val="30"/>
              <w:szCs w:val="30"/>
            </w:rPr>
            <m:t>f=</m:t>
          </m:r>
          <m:d>
            <m:dPr>
              <m:begChr m:val="["/>
              <m:endChr m:val="]"/>
              <m:ctrlPr>
                <w:rPr>
                  <w:rFonts w:ascii="Cambria Math" w:eastAsia="仿宋_GB2312" w:hAnsi="Cambria Math" w:cs="仿宋"/>
                  <w:i/>
                  <w:sz w:val="30"/>
                  <w:szCs w:val="30"/>
                </w:rPr>
              </m:ctrlPr>
            </m:dPr>
            <m:e>
              <m:d>
                <m:dPr>
                  <m:ctrlPr>
                    <w:rPr>
                      <w:rFonts w:ascii="Cambria Math" w:eastAsia="仿宋_GB2312" w:hAnsi="Cambria Math" w:cs="仿宋"/>
                      <w:i/>
                      <w:sz w:val="30"/>
                      <w:szCs w:val="30"/>
                    </w:rPr>
                  </m:ctrlPr>
                </m:dPr>
                <m:e>
                  <m:f>
                    <m:fPr>
                      <m:ctrlPr>
                        <w:rPr>
                          <w:rFonts w:ascii="Cambria Math" w:eastAsia="仿宋_GB2312" w:hAnsi="Cambria Math" w:cs="仿宋"/>
                          <w:i/>
                          <w:sz w:val="30"/>
                          <w:szCs w:val="30"/>
                        </w:rPr>
                      </m:ctrlPr>
                    </m:fPr>
                    <m:num>
                      <m:nary>
                        <m:naryPr>
                          <m:chr m:val="∑"/>
                          <m:limLoc m:val="subSup"/>
                          <m:supHide m:val="1"/>
                          <m:ctrlPr>
                            <w:rPr>
                              <w:rFonts w:ascii="Cambria Math" w:eastAsia="仿宋_GB2312" w:hAnsi="Cambria Math" w:cs="仿宋"/>
                              <w:i/>
                              <w:sz w:val="30"/>
                              <w:szCs w:val="30"/>
                            </w:rPr>
                          </m:ctrlPr>
                        </m:naryPr>
                        <m:sub>
                          <m:r>
                            <w:rPr>
                              <w:rFonts w:ascii="Cambria Math" w:eastAsia="仿宋_GB2312" w:hAnsi="Cambria Math" w:cs="仿宋"/>
                              <w:sz w:val="30"/>
                              <w:szCs w:val="30"/>
                            </w:rPr>
                            <m:t>s</m:t>
                          </m:r>
                        </m:sub>
                        <m:sup/>
                        <m:e>
                          <m:sSub>
                            <m:sSubPr>
                              <m:ctrlPr>
                                <w:rPr>
                                  <w:rFonts w:ascii="Cambria Math" w:eastAsia="仿宋_GB2312" w:hAnsi="Cambria Math" w:cs="仿宋"/>
                                  <w:i/>
                                  <w:sz w:val="30"/>
                                  <w:szCs w:val="30"/>
                                </w:rPr>
                              </m:ctrlPr>
                            </m:sSubPr>
                            <m:e>
                              <m:r>
                                <w:rPr>
                                  <w:rFonts w:ascii="Cambria Math" w:eastAsia="仿宋_GB2312" w:hAnsi="Cambria Math" w:cs="仿宋"/>
                                  <w:sz w:val="30"/>
                                  <w:szCs w:val="30"/>
                                </w:rPr>
                                <m:t>E</m:t>
                              </m:r>
                            </m:e>
                            <m:sub>
                              <m:r>
                                <w:rPr>
                                  <w:rFonts w:ascii="Cambria Math" w:eastAsia="仿宋_GB2312" w:hAnsi="Cambria Math" w:cs="仿宋"/>
                                  <w:sz w:val="30"/>
                                  <w:szCs w:val="30"/>
                                </w:rPr>
                                <m:t>s</m:t>
                              </m:r>
                            </m:sub>
                          </m:sSub>
                        </m:e>
                      </m:nary>
                    </m:num>
                    <m:den>
                      <m:nary>
                        <m:naryPr>
                          <m:chr m:val="∑"/>
                          <m:limLoc m:val="subSup"/>
                          <m:supHide m:val="1"/>
                          <m:ctrlPr>
                            <w:rPr>
                              <w:rFonts w:ascii="Cambria Math" w:eastAsia="仿宋_GB2312" w:hAnsi="Cambria Math" w:cs="仿宋"/>
                              <w:i/>
                              <w:sz w:val="30"/>
                              <w:szCs w:val="30"/>
                            </w:rPr>
                          </m:ctrlPr>
                        </m:naryPr>
                        <m:sub>
                          <m:r>
                            <w:rPr>
                              <w:rFonts w:ascii="Cambria Math" w:eastAsia="仿宋_GB2312" w:hAnsi="Cambria Math" w:cs="仿宋"/>
                              <w:sz w:val="30"/>
                              <w:szCs w:val="30"/>
                            </w:rPr>
                            <m:t>s</m:t>
                          </m:r>
                        </m:sub>
                        <m:sup/>
                        <m:e>
                          <m:sSub>
                            <m:sSubPr>
                              <m:ctrlPr>
                                <w:rPr>
                                  <w:rFonts w:ascii="Cambria Math" w:eastAsia="仿宋_GB2312" w:hAnsi="Cambria Math" w:cs="仿宋"/>
                                  <w:i/>
                                  <w:sz w:val="30"/>
                                  <w:szCs w:val="30"/>
                                </w:rPr>
                              </m:ctrlPr>
                            </m:sSubPr>
                            <m:e>
                              <m:r>
                                <w:rPr>
                                  <w:rFonts w:ascii="Cambria Math" w:eastAsia="仿宋_GB2312" w:hAnsi="Cambria Math" w:cs="仿宋"/>
                                  <w:sz w:val="30"/>
                                  <w:szCs w:val="30"/>
                                </w:rPr>
                                <m:t>E</m:t>
                              </m:r>
                            </m:e>
                            <m:sub>
                              <m:r>
                                <w:rPr>
                                  <w:rFonts w:ascii="Cambria Math" w:eastAsia="仿宋_GB2312" w:hAnsi="Cambria Math" w:cs="仿宋"/>
                                  <w:sz w:val="30"/>
                                  <w:szCs w:val="30"/>
                                </w:rPr>
                                <m:t>s</m:t>
                              </m:r>
                            </m:sub>
                          </m:sSub>
                        </m:e>
                      </m:nary>
                      <m:r>
                        <w:rPr>
                          <w:rFonts w:ascii="Cambria Math" w:eastAsia="仿宋_GB2312" w:hAnsi="Cambria Math" w:cs="仿宋"/>
                          <w:sz w:val="30"/>
                          <w:szCs w:val="30"/>
                        </w:rPr>
                        <m:t>×(1+</m:t>
                      </m:r>
                      <m:sSub>
                        <m:sSubPr>
                          <m:ctrlPr>
                            <w:rPr>
                              <w:rFonts w:ascii="Cambria Math" w:eastAsia="仿宋_GB2312" w:hAnsi="Cambria Math" w:cs="仿宋"/>
                              <w:i/>
                              <w:sz w:val="30"/>
                              <w:szCs w:val="30"/>
                            </w:rPr>
                          </m:ctrlPr>
                        </m:sSubPr>
                        <m:e>
                          <m:r>
                            <w:rPr>
                              <w:rFonts w:ascii="Cambria Math" w:eastAsia="仿宋_GB2312" w:hAnsi="Cambria Math" w:cs="仿宋"/>
                              <w:sz w:val="30"/>
                              <w:szCs w:val="30"/>
                            </w:rPr>
                            <m:t>f</m:t>
                          </m:r>
                        </m:e>
                        <m:sub>
                          <m:r>
                            <w:rPr>
                              <w:rFonts w:ascii="Cambria Math" w:eastAsia="仿宋_GB2312" w:hAnsi="Cambria Math" w:cs="仿宋"/>
                              <w:sz w:val="30"/>
                              <w:szCs w:val="30"/>
                            </w:rPr>
                            <m:t>s</m:t>
                          </m:r>
                        </m:sub>
                      </m:sSub>
                      <m:r>
                        <w:rPr>
                          <w:rFonts w:ascii="Cambria Math" w:eastAsia="仿宋_GB2312" w:hAnsi="Cambria Math" w:cs="仿宋"/>
                          <w:sz w:val="30"/>
                          <w:szCs w:val="30"/>
                        </w:rPr>
                        <m:t>)</m:t>
                      </m:r>
                    </m:den>
                  </m:f>
                </m:e>
              </m:d>
              <m:r>
                <w:rPr>
                  <w:rFonts w:ascii="Cambria Math" w:eastAsia="仿宋_GB2312" w:hAnsi="Cambria Math" w:cs="仿宋"/>
                  <w:sz w:val="30"/>
                  <w:szCs w:val="30"/>
                </w:rPr>
                <m:t>/</m:t>
              </m:r>
              <m:d>
                <m:dPr>
                  <m:ctrlPr>
                    <w:rPr>
                      <w:rFonts w:ascii="Cambria Math" w:eastAsia="仿宋_GB2312" w:hAnsi="Cambria Math" w:cs="仿宋"/>
                      <w:i/>
                      <w:sz w:val="30"/>
                      <w:szCs w:val="30"/>
                    </w:rPr>
                  </m:ctrlPr>
                </m:dPr>
                <m:e>
                  <m:f>
                    <m:fPr>
                      <m:ctrlPr>
                        <w:rPr>
                          <w:rFonts w:ascii="Cambria Math" w:eastAsia="仿宋_GB2312" w:hAnsi="Cambria Math" w:cs="仿宋"/>
                          <w:i/>
                          <w:sz w:val="30"/>
                          <w:szCs w:val="30"/>
                        </w:rPr>
                      </m:ctrlPr>
                    </m:fPr>
                    <m:num>
                      <m:nary>
                        <m:naryPr>
                          <m:chr m:val="∑"/>
                          <m:limLoc m:val="subSup"/>
                          <m:supHide m:val="1"/>
                          <m:ctrlPr>
                            <w:rPr>
                              <w:rFonts w:ascii="Cambria Math" w:eastAsia="仿宋_GB2312" w:hAnsi="Cambria Math" w:cs="仿宋"/>
                              <w:i/>
                              <w:sz w:val="30"/>
                              <w:szCs w:val="30"/>
                            </w:rPr>
                          </m:ctrlPr>
                        </m:naryPr>
                        <m:sub>
                          <m:r>
                            <w:rPr>
                              <w:rFonts w:ascii="Cambria Math" w:eastAsia="仿宋_GB2312" w:hAnsi="Cambria Math" w:cs="仿宋"/>
                              <w:sz w:val="30"/>
                              <w:szCs w:val="30"/>
                            </w:rPr>
                            <m:t>t</m:t>
                          </m:r>
                        </m:sub>
                        <m:sup/>
                        <m:e>
                          <m:sSub>
                            <m:sSubPr>
                              <m:ctrlPr>
                                <w:rPr>
                                  <w:rFonts w:ascii="Cambria Math" w:eastAsia="仿宋_GB2312" w:hAnsi="Cambria Math" w:cs="仿宋"/>
                                  <w:i/>
                                  <w:sz w:val="30"/>
                                  <w:szCs w:val="30"/>
                                </w:rPr>
                              </m:ctrlPr>
                            </m:sSubPr>
                            <m:e>
                              <m:r>
                                <w:rPr>
                                  <w:rFonts w:ascii="Cambria Math" w:eastAsia="仿宋_GB2312" w:hAnsi="Cambria Math" w:cs="仿宋"/>
                                  <w:sz w:val="30"/>
                                  <w:szCs w:val="30"/>
                                </w:rPr>
                                <m:t>C</m:t>
                              </m:r>
                            </m:e>
                            <m:sub>
                              <m:r>
                                <w:rPr>
                                  <w:rFonts w:ascii="Cambria Math" w:eastAsia="仿宋_GB2312" w:hAnsi="Cambria Math" w:cs="仿宋"/>
                                  <w:sz w:val="30"/>
                                  <w:szCs w:val="30"/>
                                </w:rPr>
                                <m:t>t</m:t>
                              </m:r>
                            </m:sub>
                          </m:sSub>
                        </m:e>
                      </m:nary>
                    </m:num>
                    <m:den>
                      <m:nary>
                        <m:naryPr>
                          <m:chr m:val="∑"/>
                          <m:limLoc m:val="subSup"/>
                          <m:supHide m:val="1"/>
                          <m:ctrlPr>
                            <w:rPr>
                              <w:rFonts w:ascii="Cambria Math" w:eastAsia="仿宋_GB2312" w:hAnsi="Cambria Math" w:cs="仿宋"/>
                              <w:i/>
                              <w:sz w:val="30"/>
                              <w:szCs w:val="30"/>
                            </w:rPr>
                          </m:ctrlPr>
                        </m:naryPr>
                        <m:sub>
                          <m:r>
                            <w:rPr>
                              <w:rFonts w:ascii="Cambria Math" w:eastAsia="仿宋_GB2312" w:hAnsi="Cambria Math" w:cs="仿宋"/>
                              <w:sz w:val="30"/>
                              <w:szCs w:val="30"/>
                            </w:rPr>
                            <m:t>t</m:t>
                          </m:r>
                        </m:sub>
                        <m:sup/>
                        <m:e>
                          <m:sSub>
                            <m:sSubPr>
                              <m:ctrlPr>
                                <w:rPr>
                                  <w:rFonts w:ascii="Cambria Math" w:eastAsia="仿宋_GB2312" w:hAnsi="Cambria Math" w:cs="仿宋"/>
                                  <w:i/>
                                  <w:sz w:val="30"/>
                                  <w:szCs w:val="30"/>
                                </w:rPr>
                              </m:ctrlPr>
                            </m:sSubPr>
                            <m:e>
                              <m:r>
                                <w:rPr>
                                  <w:rFonts w:ascii="Cambria Math" w:eastAsia="仿宋_GB2312" w:hAnsi="Cambria Math" w:cs="仿宋"/>
                                  <w:sz w:val="30"/>
                                  <w:szCs w:val="30"/>
                                </w:rPr>
                                <m:t>C</m:t>
                              </m:r>
                            </m:e>
                            <m:sub>
                              <m:r>
                                <w:rPr>
                                  <w:rFonts w:ascii="Cambria Math" w:eastAsia="仿宋_GB2312" w:hAnsi="Cambria Math" w:cs="仿宋"/>
                                  <w:sz w:val="30"/>
                                  <w:szCs w:val="30"/>
                                </w:rPr>
                                <m:t>t</m:t>
                              </m:r>
                            </m:sub>
                          </m:sSub>
                          <m:r>
                            <w:rPr>
                              <w:rFonts w:ascii="Cambria Math" w:eastAsia="仿宋_GB2312" w:hAnsi="Cambria Math" w:cs="仿宋"/>
                              <w:sz w:val="30"/>
                              <w:szCs w:val="30"/>
                            </w:rPr>
                            <m:t>×(1+</m:t>
                          </m:r>
                          <m:sSub>
                            <m:sSubPr>
                              <m:ctrlPr>
                                <w:rPr>
                                  <w:rFonts w:ascii="Cambria Math" w:eastAsia="仿宋_GB2312" w:hAnsi="Cambria Math" w:cs="仿宋"/>
                                  <w:i/>
                                  <w:sz w:val="30"/>
                                  <w:szCs w:val="30"/>
                                </w:rPr>
                              </m:ctrlPr>
                            </m:sSubPr>
                            <m:e>
                              <m:r>
                                <w:rPr>
                                  <w:rFonts w:ascii="Cambria Math" w:eastAsia="仿宋_GB2312" w:hAnsi="Cambria Math" w:cs="仿宋"/>
                                  <w:sz w:val="30"/>
                                  <w:szCs w:val="30"/>
                                </w:rPr>
                                <m:t>f</m:t>
                              </m:r>
                            </m:e>
                            <m:sub>
                              <m:r>
                                <w:rPr>
                                  <w:rFonts w:ascii="Cambria Math" w:eastAsia="仿宋_GB2312" w:hAnsi="Cambria Math" w:cs="仿宋"/>
                                  <w:sz w:val="30"/>
                                  <w:szCs w:val="30"/>
                                </w:rPr>
                                <m:t>t</m:t>
                              </m:r>
                            </m:sub>
                          </m:sSub>
                          <m:r>
                            <w:rPr>
                              <w:rFonts w:ascii="Cambria Math" w:eastAsia="仿宋_GB2312" w:hAnsi="Cambria Math" w:cs="仿宋"/>
                              <w:sz w:val="30"/>
                              <w:szCs w:val="30"/>
                            </w:rPr>
                            <m:t>)</m:t>
                          </m:r>
                        </m:e>
                      </m:nary>
                    </m:den>
                  </m:f>
                </m:e>
              </m:d>
            </m:e>
          </m:d>
          <m:r>
            <w:rPr>
              <w:rFonts w:ascii="Cambria Math" w:eastAsia="仿宋_GB2312" w:hAnsi="Cambria Math" w:cs="仿宋"/>
              <w:sz w:val="30"/>
              <w:szCs w:val="30"/>
            </w:rPr>
            <m:t>-1</m:t>
          </m:r>
        </m:oMath>
      </m:oMathPara>
    </w:p>
    <w:p w:rsidR="00AA4100" w:rsidRDefault="00174B88">
      <w:pPr>
        <w:spacing w:line="480" w:lineRule="exact"/>
        <w:ind w:firstLineChars="200" w:firstLine="600"/>
        <w:rPr>
          <w:rFonts w:ascii="仿宋_GB2312" w:eastAsia="仿宋_GB2312" w:hAnsi="仿宋" w:cs="仿宋"/>
          <w:sz w:val="30"/>
          <w:szCs w:val="30"/>
        </w:rPr>
      </w:pPr>
      <w:r>
        <w:rPr>
          <w:rFonts w:ascii="仿宋_GB2312" w:eastAsia="仿宋_GB2312" w:hAnsi="仿宋" w:cs="仿宋" w:hint="eastAsia"/>
          <w:sz w:val="30"/>
          <w:szCs w:val="30"/>
        </w:rPr>
        <w:t>其中，</w:t>
      </w:r>
      <w:r>
        <w:rPr>
          <w:rFonts w:ascii="仿宋_GB2312" w:eastAsia="仿宋_GB2312" w:hAnsi="仿宋" w:cs="仿宋" w:hint="eastAsia"/>
          <w:position w:val="-12"/>
          <w:sz w:val="30"/>
          <w:szCs w:val="30"/>
        </w:rPr>
        <w:object w:dxaOrig="328" w:dyaOrig="356">
          <v:shape id="_x0000_i1078" type="#_x0000_t75" style="width:16.45pt;height:17.85pt" o:ole="">
            <v:imagedata r:id="rId125" o:title=""/>
          </v:shape>
          <o:OLEObject Type="Embed" ProgID="Equation.3" ShapeID="_x0000_i1078" DrawAspect="Content" ObjectID="_1738154550" r:id="rId126"/>
        </w:object>
      </w:r>
      <w:r>
        <w:rPr>
          <w:rFonts w:ascii="仿宋_GB2312" w:eastAsia="仿宋_GB2312" w:hAnsi="仿宋" w:cs="仿宋" w:hint="eastAsia"/>
          <w:sz w:val="30"/>
          <w:szCs w:val="30"/>
        </w:rPr>
        <w:t>是借出证券（或现金）的净头寸，</w:t>
      </w:r>
      <w:r>
        <w:rPr>
          <w:rFonts w:ascii="仿宋_GB2312" w:eastAsia="仿宋_GB2312" w:hAnsi="仿宋" w:cs="仿宋" w:hint="eastAsia"/>
          <w:position w:val="-12"/>
          <w:sz w:val="30"/>
          <w:szCs w:val="30"/>
        </w:rPr>
        <w:object w:dxaOrig="285" w:dyaOrig="356">
          <v:shape id="_x0000_i1079" type="#_x0000_t75" style="width:14.4pt;height:17.85pt" o:ole="">
            <v:imagedata r:id="rId127" o:title=""/>
          </v:shape>
          <o:OLEObject Type="Embed" ProgID="Equation.3" ShapeID="_x0000_i1079" DrawAspect="Content" ObjectID="_1738154551" r:id="rId128"/>
        </w:object>
      </w:r>
      <w:r>
        <w:rPr>
          <w:rFonts w:ascii="仿宋_GB2312" w:eastAsia="仿宋_GB2312" w:hAnsi="仿宋" w:cs="仿宋" w:hint="eastAsia"/>
          <w:sz w:val="30"/>
          <w:szCs w:val="30"/>
        </w:rPr>
        <w:t>是借入证券（或现金）的净头寸，</w:t>
      </w:r>
      <w:r>
        <w:rPr>
          <w:rFonts w:ascii="仿宋_GB2312" w:eastAsia="仿宋_GB2312" w:hAnsi="仿宋" w:cs="仿宋" w:hint="eastAsia"/>
          <w:position w:val="-12"/>
          <w:sz w:val="30"/>
          <w:szCs w:val="30"/>
        </w:rPr>
        <w:object w:dxaOrig="299" w:dyaOrig="356">
          <v:shape id="_x0000_i1080" type="#_x0000_t75" style="width:15.1pt;height:17.85pt" o:ole="">
            <v:imagedata r:id="rId129" o:title=""/>
          </v:shape>
          <o:OLEObject Type="Embed" ProgID="Equation.3" ShapeID="_x0000_i1080" DrawAspect="Content" ObjectID="_1738154552" r:id="rId130"/>
        </w:object>
      </w:r>
      <w:r>
        <w:rPr>
          <w:rFonts w:ascii="仿宋_GB2312" w:eastAsia="仿宋_GB2312" w:hAnsi="仿宋" w:cs="仿宋" w:hint="eastAsia"/>
          <w:sz w:val="30"/>
          <w:szCs w:val="30"/>
        </w:rPr>
        <w:t>和</w:t>
      </w:r>
      <w:r>
        <w:rPr>
          <w:rFonts w:ascii="仿宋_GB2312" w:eastAsia="仿宋_GB2312" w:hAnsi="仿宋" w:cs="仿宋" w:hint="eastAsia"/>
          <w:position w:val="-12"/>
          <w:sz w:val="30"/>
          <w:szCs w:val="30"/>
        </w:rPr>
        <w:object w:dxaOrig="242" w:dyaOrig="356">
          <v:shape id="_x0000_i1081" type="#_x0000_t75" style="width:12pt;height:17.85pt" o:ole="">
            <v:imagedata r:id="rId131" o:title=""/>
          </v:shape>
          <o:OLEObject Type="Embed" ProgID="Equation.3" ShapeID="_x0000_i1081" DrawAspect="Content" ObjectID="_1738154553" r:id="rId132"/>
        </w:object>
      </w:r>
      <w:r>
        <w:rPr>
          <w:rFonts w:ascii="仿宋_GB2312" w:eastAsia="仿宋_GB2312" w:hAnsi="仿宋" w:cs="仿宋" w:hint="eastAsia"/>
          <w:sz w:val="30"/>
          <w:szCs w:val="30"/>
        </w:rPr>
        <w:t>分别是净借出和净借入证券的折扣底线。</w:t>
      </w:r>
    </w:p>
    <w:p w:rsidR="00AA4100" w:rsidRDefault="00174B88">
      <w:pPr>
        <w:spacing w:line="480" w:lineRule="exact"/>
        <w:ind w:firstLineChars="200" w:firstLine="600"/>
        <w:rPr>
          <w:rFonts w:ascii="仿宋_GB2312" w:eastAsia="仿宋_GB2312" w:hAnsi="仿宋" w:cs="仿宋"/>
          <w:bCs/>
          <w:i/>
          <w:iCs/>
          <w:kern w:val="0"/>
          <w:sz w:val="30"/>
          <w:szCs w:val="30"/>
          <w:u w:val="single"/>
        </w:rPr>
      </w:pPr>
      <w:r>
        <w:rPr>
          <w:rFonts w:ascii="仿宋_GB2312" w:eastAsia="仿宋_GB2312" w:hAnsi="仿宋" w:cs="仿宋" w:hint="eastAsia"/>
          <w:sz w:val="30"/>
          <w:szCs w:val="30"/>
        </w:rPr>
        <w:t>出于计算需要，收到的证券独立于交易的结算周期。能够被交易对手使用的证券视为收到的证券。</w:t>
      </w:r>
    </w:p>
    <w:p w:rsidR="00AA4100" w:rsidRDefault="00AA4100">
      <w:pPr>
        <w:spacing w:line="480" w:lineRule="exact"/>
        <w:rPr>
          <w:rFonts w:ascii="仿宋_GB2312" w:eastAsia="仿宋_GB2312" w:hAnsi="仿宋" w:cs="仿宋"/>
          <w:b/>
          <w:sz w:val="30"/>
          <w:szCs w:val="30"/>
        </w:rPr>
      </w:pPr>
    </w:p>
    <w:sectPr w:rsidR="00AA4100">
      <w:footerReference w:type="default" r:id="rId1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B88" w:rsidRDefault="00174B88">
      <w:r>
        <w:separator/>
      </w:r>
    </w:p>
  </w:endnote>
  <w:endnote w:type="continuationSeparator" w:id="0">
    <w:p w:rsidR="00174B88" w:rsidRDefault="0017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937248"/>
      <w:docPartObj>
        <w:docPartGallery w:val="Page Numbers (Bottom of Page)"/>
        <w:docPartUnique/>
      </w:docPartObj>
    </w:sdtPr>
    <w:sdtEndPr/>
    <w:sdtContent>
      <w:p w:rsidR="004663EB" w:rsidRDefault="004663EB">
        <w:pPr>
          <w:pStyle w:val="a5"/>
          <w:jc w:val="center"/>
        </w:pPr>
        <w:r>
          <w:fldChar w:fldCharType="begin"/>
        </w:r>
        <w:r>
          <w:instrText>PAGE   \* MERGEFORMAT</w:instrText>
        </w:r>
        <w:r>
          <w:fldChar w:fldCharType="separate"/>
        </w:r>
        <w:r w:rsidR="000227F5" w:rsidRPr="000227F5">
          <w:rPr>
            <w:noProof/>
            <w:lang w:val="zh-CN"/>
          </w:rPr>
          <w:t>1</w:t>
        </w:r>
        <w:r>
          <w:fldChar w:fldCharType="end"/>
        </w:r>
      </w:p>
    </w:sdtContent>
  </w:sdt>
  <w:p w:rsidR="00174B88" w:rsidRDefault="00174B8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B88" w:rsidRDefault="00174B88">
      <w:r>
        <w:separator/>
      </w:r>
    </w:p>
  </w:footnote>
  <w:footnote w:type="continuationSeparator" w:id="0">
    <w:p w:rsidR="00174B88" w:rsidRDefault="00174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669EBE"/>
    <w:multiLevelType w:val="singleLevel"/>
    <w:tmpl w:val="5D669EBE"/>
    <w:lvl w:ilvl="0">
      <w:start w:val="9"/>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亚苹">
    <w15:presenceInfo w15:providerId="None" w15:userId="李亚苹"/>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3FED685E"/>
    <w:rsid w:val="000227F5"/>
    <w:rsid w:val="00067888"/>
    <w:rsid w:val="000C7A8A"/>
    <w:rsid w:val="00174B88"/>
    <w:rsid w:val="0023025E"/>
    <w:rsid w:val="004663EB"/>
    <w:rsid w:val="004B21D8"/>
    <w:rsid w:val="005416E1"/>
    <w:rsid w:val="00583792"/>
    <w:rsid w:val="00635E79"/>
    <w:rsid w:val="00637BA0"/>
    <w:rsid w:val="00643180"/>
    <w:rsid w:val="00660F3C"/>
    <w:rsid w:val="006A47B4"/>
    <w:rsid w:val="00717B19"/>
    <w:rsid w:val="00735A2B"/>
    <w:rsid w:val="0079762F"/>
    <w:rsid w:val="00901BDA"/>
    <w:rsid w:val="00AA4100"/>
    <w:rsid w:val="00BE4553"/>
    <w:rsid w:val="00C279D6"/>
    <w:rsid w:val="00C521B7"/>
    <w:rsid w:val="00D45F20"/>
    <w:rsid w:val="00DE666A"/>
    <w:rsid w:val="00F3765D"/>
    <w:rsid w:val="04B37CD6"/>
    <w:rsid w:val="21657B00"/>
    <w:rsid w:val="25DF4DD4"/>
    <w:rsid w:val="27245DB1"/>
    <w:rsid w:val="28115E29"/>
    <w:rsid w:val="28B93087"/>
    <w:rsid w:val="3FED685E"/>
    <w:rsid w:val="4245759C"/>
    <w:rsid w:val="61DF06A5"/>
    <w:rsid w:val="61E34FA8"/>
    <w:rsid w:val="6D537124"/>
    <w:rsid w:val="738070E6"/>
    <w:rsid w:val="77F7CE92"/>
    <w:rsid w:val="7C7985CE"/>
    <w:rsid w:val="7FBE099F"/>
    <w:rsid w:val="7FCF2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qFormat/>
    <w:pPr>
      <w:ind w:firstLineChars="0" w:firstLine="0"/>
      <w:jc w:val="cente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cs="Times New Roman"/>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qFormat/>
    <w:pPr>
      <w:ind w:leftChars="200" w:left="420"/>
    </w:pPr>
  </w:style>
  <w:style w:type="paragraph" w:styleId="a3">
    <w:name w:val="Body Text"/>
    <w:basedOn w:val="a"/>
    <w:link w:val="Char"/>
    <w:qFormat/>
    <w:pPr>
      <w:spacing w:after="120"/>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a7">
    <w:name w:val="Title"/>
    <w:basedOn w:val="a3"/>
    <w:next w:val="a"/>
    <w:link w:val="Char2"/>
    <w:qFormat/>
    <w:pPr>
      <w:jc w:val="center"/>
    </w:pPr>
    <w:rPr>
      <w:rFonts w:ascii="仿宋_GB2312" w:eastAsia="仿宋_GB2312" w:hAnsi="仿宋" w:cs="Times New Roman"/>
    </w:rPr>
  </w:style>
  <w:style w:type="character" w:customStyle="1" w:styleId="Char2">
    <w:name w:val="标题 Char"/>
    <w:basedOn w:val="a0"/>
    <w:link w:val="a7"/>
    <w:qFormat/>
    <w:rPr>
      <w:rFonts w:ascii="仿宋_GB2312" w:eastAsia="仿宋_GB2312" w:hAnsi="仿宋" w:cs="Times New Roman"/>
      <w:kern w:val="2"/>
      <w:sz w:val="21"/>
      <w:szCs w:val="24"/>
    </w:rPr>
  </w:style>
  <w:style w:type="character" w:customStyle="1" w:styleId="Char">
    <w:name w:val="正文文本 Char"/>
    <w:basedOn w:val="a0"/>
    <w:link w:val="a3"/>
    <w:qFormat/>
    <w:rPr>
      <w:kern w:val="2"/>
      <w:sz w:val="21"/>
      <w:szCs w:val="24"/>
    </w:rPr>
  </w:style>
  <w:style w:type="character" w:customStyle="1" w:styleId="Char0">
    <w:name w:val="批注框文本 Char"/>
    <w:basedOn w:val="a0"/>
    <w:link w:val="a4"/>
    <w:qFormat/>
    <w:rPr>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qFormat/>
    <w:rPr>
      <w:rFonts w:ascii="黑体" w:eastAsia="黑体" w:hAnsi="黑体" w:cs="Times New Roman"/>
      <w:smallCaps/>
      <w:kern w:val="2"/>
      <w:sz w:val="44"/>
      <w:szCs w:val="30"/>
    </w:rPr>
  </w:style>
  <w:style w:type="character" w:customStyle="1" w:styleId="3Char">
    <w:name w:val="标题 3 Char"/>
    <w:basedOn w:val="a0"/>
    <w:link w:val="3"/>
    <w:qFormat/>
    <w:rPr>
      <w:rFonts w:ascii="黑体" w:eastAsia="黑体" w:hAnsi="黑体" w:cs="Times New Roman"/>
      <w:smallCaps/>
      <w:kern w:val="2"/>
      <w:sz w:val="30"/>
      <w:szCs w:val="30"/>
    </w:rPr>
  </w:style>
  <w:style w:type="character" w:styleId="a8">
    <w:name w:val="Placeholder Text"/>
    <w:basedOn w:val="a0"/>
    <w:uiPriority w:val="99"/>
    <w:unhideWhenUsed/>
    <w:rsid w:val="00635E79"/>
    <w:rPr>
      <w:color w:val="808080"/>
    </w:rPr>
  </w:style>
  <w:style w:type="character" w:customStyle="1" w:styleId="Char1">
    <w:name w:val="页脚 Char"/>
    <w:basedOn w:val="a0"/>
    <w:link w:val="a5"/>
    <w:uiPriority w:val="99"/>
    <w:rsid w:val="004663EB"/>
    <w:rPr>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qFormat/>
    <w:pPr>
      <w:ind w:firstLineChars="0" w:firstLine="0"/>
      <w:jc w:val="cente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cs="Times New Roman"/>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qFormat/>
    <w:pPr>
      <w:ind w:leftChars="200" w:left="420"/>
    </w:pPr>
  </w:style>
  <w:style w:type="paragraph" w:styleId="a3">
    <w:name w:val="Body Text"/>
    <w:basedOn w:val="a"/>
    <w:link w:val="Char"/>
    <w:qFormat/>
    <w:pPr>
      <w:spacing w:after="120"/>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a7">
    <w:name w:val="Title"/>
    <w:basedOn w:val="a3"/>
    <w:next w:val="a"/>
    <w:link w:val="Char2"/>
    <w:qFormat/>
    <w:pPr>
      <w:jc w:val="center"/>
    </w:pPr>
    <w:rPr>
      <w:rFonts w:ascii="仿宋_GB2312" w:eastAsia="仿宋_GB2312" w:hAnsi="仿宋" w:cs="Times New Roman"/>
    </w:rPr>
  </w:style>
  <w:style w:type="character" w:customStyle="1" w:styleId="Char2">
    <w:name w:val="标题 Char"/>
    <w:basedOn w:val="a0"/>
    <w:link w:val="a7"/>
    <w:qFormat/>
    <w:rPr>
      <w:rFonts w:ascii="仿宋_GB2312" w:eastAsia="仿宋_GB2312" w:hAnsi="仿宋" w:cs="Times New Roman"/>
      <w:kern w:val="2"/>
      <w:sz w:val="21"/>
      <w:szCs w:val="24"/>
    </w:rPr>
  </w:style>
  <w:style w:type="character" w:customStyle="1" w:styleId="Char">
    <w:name w:val="正文文本 Char"/>
    <w:basedOn w:val="a0"/>
    <w:link w:val="a3"/>
    <w:qFormat/>
    <w:rPr>
      <w:kern w:val="2"/>
      <w:sz w:val="21"/>
      <w:szCs w:val="24"/>
    </w:rPr>
  </w:style>
  <w:style w:type="character" w:customStyle="1" w:styleId="Char0">
    <w:name w:val="批注框文本 Char"/>
    <w:basedOn w:val="a0"/>
    <w:link w:val="a4"/>
    <w:qFormat/>
    <w:rPr>
      <w:kern w:val="2"/>
      <w:sz w:val="18"/>
      <w:szCs w:val="18"/>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qFormat/>
    <w:rPr>
      <w:rFonts w:ascii="黑体" w:eastAsia="黑体" w:hAnsi="黑体" w:cs="Times New Roman"/>
      <w:smallCaps/>
      <w:kern w:val="2"/>
      <w:sz w:val="44"/>
      <w:szCs w:val="30"/>
    </w:rPr>
  </w:style>
  <w:style w:type="character" w:customStyle="1" w:styleId="3Char">
    <w:name w:val="标题 3 Char"/>
    <w:basedOn w:val="a0"/>
    <w:link w:val="3"/>
    <w:qFormat/>
    <w:rPr>
      <w:rFonts w:ascii="黑体" w:eastAsia="黑体" w:hAnsi="黑体" w:cs="Times New Roman"/>
      <w:smallCaps/>
      <w:kern w:val="2"/>
      <w:sz w:val="30"/>
      <w:szCs w:val="30"/>
    </w:rPr>
  </w:style>
  <w:style w:type="character" w:styleId="a8">
    <w:name w:val="Placeholder Text"/>
    <w:basedOn w:val="a0"/>
    <w:uiPriority w:val="99"/>
    <w:unhideWhenUsed/>
    <w:rsid w:val="00635E79"/>
    <w:rPr>
      <w:color w:val="808080"/>
    </w:rPr>
  </w:style>
  <w:style w:type="character" w:customStyle="1" w:styleId="Char1">
    <w:name w:val="页脚 Char"/>
    <w:basedOn w:val="a0"/>
    <w:link w:val="a5"/>
    <w:uiPriority w:val="99"/>
    <w:rsid w:val="004663EB"/>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60.wmf"/><Relationship Id="rId21" Type="http://schemas.openxmlformats.org/officeDocument/2006/relationships/oleObject" Target="embeddings/oleObject4.bin"/><Relationship Id="rId42" Type="http://schemas.openxmlformats.org/officeDocument/2006/relationships/oleObject" Target="embeddings/oleObject12.bin"/><Relationship Id="rId47" Type="http://schemas.openxmlformats.org/officeDocument/2006/relationships/image" Target="media/image25.wmf"/><Relationship Id="rId63" Type="http://schemas.openxmlformats.org/officeDocument/2006/relationships/oleObject" Target="embeddings/oleObject20.bin"/><Relationship Id="rId68" Type="http://schemas.openxmlformats.org/officeDocument/2006/relationships/image" Target="media/image38.wmf"/><Relationship Id="rId84" Type="http://schemas.openxmlformats.org/officeDocument/2006/relationships/image" Target="media/image44.wmf"/><Relationship Id="rId89" Type="http://schemas.openxmlformats.org/officeDocument/2006/relationships/image" Target="media/image46.wmf"/><Relationship Id="rId112" Type="http://schemas.openxmlformats.org/officeDocument/2006/relationships/oleObject" Target="embeddings/oleObject47.bin"/><Relationship Id="rId133" Type="http://schemas.openxmlformats.org/officeDocument/2006/relationships/footer" Target="footer1.xml"/><Relationship Id="rId16" Type="http://schemas.openxmlformats.org/officeDocument/2006/relationships/oleObject" Target="embeddings/oleObject2.bin"/><Relationship Id="rId107" Type="http://schemas.openxmlformats.org/officeDocument/2006/relationships/oleObject" Target="embeddings/oleObject45.bin"/><Relationship Id="rId11" Type="http://schemas.openxmlformats.org/officeDocument/2006/relationships/image" Target="media/image2.wmf"/><Relationship Id="rId32" Type="http://schemas.openxmlformats.org/officeDocument/2006/relationships/image" Target="media/image18.wmf"/><Relationship Id="rId37" Type="http://schemas.openxmlformats.org/officeDocument/2006/relationships/image" Target="media/image20.wmf"/><Relationship Id="rId53" Type="http://schemas.openxmlformats.org/officeDocument/2006/relationships/image" Target="media/image29.wmf"/><Relationship Id="rId58"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oleObject" Target="embeddings/oleObject28.bin"/><Relationship Id="rId102" Type="http://schemas.openxmlformats.org/officeDocument/2006/relationships/image" Target="media/image53.wmf"/><Relationship Id="rId123" Type="http://schemas.openxmlformats.org/officeDocument/2006/relationships/image" Target="media/image64.wmf"/><Relationship Id="rId128" Type="http://schemas.openxmlformats.org/officeDocument/2006/relationships/oleObject" Target="embeddings/oleObject54.bin"/><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oleObject" Target="embeddings/oleObject38.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oleObject" Target="embeddings/oleObject8.bin"/><Relationship Id="rId43" Type="http://schemas.openxmlformats.org/officeDocument/2006/relationships/image" Target="media/image23.wmf"/><Relationship Id="rId48" Type="http://schemas.openxmlformats.org/officeDocument/2006/relationships/oleObject" Target="embeddings/oleObject15.bin"/><Relationship Id="rId56" Type="http://schemas.openxmlformats.org/officeDocument/2006/relationships/image" Target="media/image32.wmf"/><Relationship Id="rId64" Type="http://schemas.openxmlformats.org/officeDocument/2006/relationships/image" Target="media/image36.wmf"/><Relationship Id="rId69" Type="http://schemas.openxmlformats.org/officeDocument/2006/relationships/oleObject" Target="embeddings/oleObject23.bin"/><Relationship Id="rId77" Type="http://schemas.openxmlformats.org/officeDocument/2006/relationships/oleObject" Target="embeddings/oleObject27.bin"/><Relationship Id="rId100" Type="http://schemas.openxmlformats.org/officeDocument/2006/relationships/image" Target="media/image52.wmf"/><Relationship Id="rId105" Type="http://schemas.openxmlformats.org/officeDocument/2006/relationships/oleObject" Target="embeddings/oleObject43.bin"/><Relationship Id="rId113" Type="http://schemas.openxmlformats.org/officeDocument/2006/relationships/image" Target="media/image58.wmf"/><Relationship Id="rId118" Type="http://schemas.openxmlformats.org/officeDocument/2006/relationships/oleObject" Target="embeddings/oleObject50.bin"/><Relationship Id="rId126" Type="http://schemas.openxmlformats.org/officeDocument/2006/relationships/oleObject" Target="embeddings/oleObject53.bin"/><Relationship Id="rId134" Type="http://schemas.openxmlformats.org/officeDocument/2006/relationships/fontTable" Target="fontTable.xml"/><Relationship Id="rId13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8.wmf"/><Relationship Id="rId72" Type="http://schemas.openxmlformats.org/officeDocument/2006/relationships/image" Target="media/image40.wmf"/><Relationship Id="rId80" Type="http://schemas.openxmlformats.org/officeDocument/2006/relationships/oleObject" Target="embeddings/oleObject29.bin"/><Relationship Id="rId85" Type="http://schemas.openxmlformats.org/officeDocument/2006/relationships/oleObject" Target="embeddings/oleObject33.bin"/><Relationship Id="rId93" Type="http://schemas.openxmlformats.org/officeDocument/2006/relationships/oleObject" Target="embeddings/oleObject37.bin"/><Relationship Id="rId98" Type="http://schemas.openxmlformats.org/officeDocument/2006/relationships/image" Target="media/image51.wmf"/><Relationship Id="rId121" Type="http://schemas.openxmlformats.org/officeDocument/2006/relationships/image" Target="media/image6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5.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18.bin"/><Relationship Id="rId67" Type="http://schemas.openxmlformats.org/officeDocument/2006/relationships/oleObject" Target="embeddings/oleObject22.bin"/><Relationship Id="rId103" Type="http://schemas.openxmlformats.org/officeDocument/2006/relationships/oleObject" Target="embeddings/oleObject42.bin"/><Relationship Id="rId108" Type="http://schemas.openxmlformats.org/officeDocument/2006/relationships/image" Target="media/image55.wmf"/><Relationship Id="rId116" Type="http://schemas.openxmlformats.org/officeDocument/2006/relationships/oleObject" Target="embeddings/oleObject49.bin"/><Relationship Id="rId124" Type="http://schemas.openxmlformats.org/officeDocument/2006/relationships/oleObject" Target="embeddings/oleObject52.bin"/><Relationship Id="rId129" Type="http://schemas.openxmlformats.org/officeDocument/2006/relationships/image" Target="media/image67.wmf"/><Relationship Id="rId20" Type="http://schemas.openxmlformats.org/officeDocument/2006/relationships/image" Target="media/image9.wmf"/><Relationship Id="rId41" Type="http://schemas.openxmlformats.org/officeDocument/2006/relationships/image" Target="media/image22.wmf"/><Relationship Id="rId54" Type="http://schemas.openxmlformats.org/officeDocument/2006/relationships/image" Target="media/image30.wmf"/><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oleObject" Target="embeddings/oleObject26.bin"/><Relationship Id="rId83" Type="http://schemas.openxmlformats.org/officeDocument/2006/relationships/oleObject" Target="embeddings/oleObject32.bin"/><Relationship Id="rId88" Type="http://schemas.openxmlformats.org/officeDocument/2006/relationships/oleObject" Target="embeddings/oleObject35.bin"/><Relationship Id="rId91" Type="http://schemas.openxmlformats.org/officeDocument/2006/relationships/image" Target="media/image47.wmf"/><Relationship Id="rId96" Type="http://schemas.openxmlformats.org/officeDocument/2006/relationships/image" Target="media/image50.wmf"/><Relationship Id="rId111" Type="http://schemas.openxmlformats.org/officeDocument/2006/relationships/image" Target="media/image57.wmf"/><Relationship Id="rId132" Type="http://schemas.openxmlformats.org/officeDocument/2006/relationships/oleObject" Target="embeddings/oleObject5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image" Target="media/image15.wmf"/><Relationship Id="rId36" Type="http://schemas.openxmlformats.org/officeDocument/2006/relationships/oleObject" Target="embeddings/oleObject9.bin"/><Relationship Id="rId49" Type="http://schemas.openxmlformats.org/officeDocument/2006/relationships/image" Target="media/image26.wmf"/><Relationship Id="rId57" Type="http://schemas.openxmlformats.org/officeDocument/2006/relationships/oleObject" Target="embeddings/oleObject17.bin"/><Relationship Id="rId106" Type="http://schemas.openxmlformats.org/officeDocument/2006/relationships/oleObject" Target="embeddings/oleObject44.bin"/><Relationship Id="rId114" Type="http://schemas.openxmlformats.org/officeDocument/2006/relationships/oleObject" Target="embeddings/oleObject48.bin"/><Relationship Id="rId119" Type="http://schemas.openxmlformats.org/officeDocument/2006/relationships/image" Target="media/image61.wmf"/><Relationship Id="rId127" Type="http://schemas.openxmlformats.org/officeDocument/2006/relationships/image" Target="media/image66.wmf"/><Relationship Id="rId10" Type="http://schemas.openxmlformats.org/officeDocument/2006/relationships/oleObject" Target="embeddings/oleObject1.bin"/><Relationship Id="rId31" Type="http://schemas.openxmlformats.org/officeDocument/2006/relationships/image" Target="media/image17.wmf"/><Relationship Id="rId44" Type="http://schemas.openxmlformats.org/officeDocument/2006/relationships/oleObject" Target="embeddings/oleObject13.bin"/><Relationship Id="rId52" Type="http://schemas.openxmlformats.org/officeDocument/2006/relationships/oleObject" Target="embeddings/oleObject16.bin"/><Relationship Id="rId60" Type="http://schemas.openxmlformats.org/officeDocument/2006/relationships/image" Target="media/image34.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43.wmf"/><Relationship Id="rId81" Type="http://schemas.openxmlformats.org/officeDocument/2006/relationships/oleObject" Target="embeddings/oleObject30.bin"/><Relationship Id="rId86" Type="http://schemas.openxmlformats.org/officeDocument/2006/relationships/image" Target="media/image45.wmf"/><Relationship Id="rId94" Type="http://schemas.openxmlformats.org/officeDocument/2006/relationships/image" Target="media/image49.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1.bin"/><Relationship Id="rId130" Type="http://schemas.openxmlformats.org/officeDocument/2006/relationships/oleObject" Target="embeddings/oleObject55.bin"/><Relationship Id="rId13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3.bin"/><Relationship Id="rId39" Type="http://schemas.openxmlformats.org/officeDocument/2006/relationships/image" Target="media/image21.wmf"/><Relationship Id="rId109" Type="http://schemas.openxmlformats.org/officeDocument/2006/relationships/oleObject" Target="embeddings/oleObject46.bin"/><Relationship Id="rId34" Type="http://schemas.openxmlformats.org/officeDocument/2006/relationships/image" Target="media/image19.wmf"/><Relationship Id="rId50" Type="http://schemas.openxmlformats.org/officeDocument/2006/relationships/image" Target="media/image27.wmf"/><Relationship Id="rId55" Type="http://schemas.openxmlformats.org/officeDocument/2006/relationships/image" Target="media/image31.wmf"/><Relationship Id="rId76" Type="http://schemas.openxmlformats.org/officeDocument/2006/relationships/image" Target="media/image42.wmf"/><Relationship Id="rId97" Type="http://schemas.openxmlformats.org/officeDocument/2006/relationships/oleObject" Target="embeddings/oleObject39.bin"/><Relationship Id="rId104" Type="http://schemas.openxmlformats.org/officeDocument/2006/relationships/image" Target="media/image54.wmf"/><Relationship Id="rId120" Type="http://schemas.openxmlformats.org/officeDocument/2006/relationships/image" Target="media/image62.wmf"/><Relationship Id="rId125"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48.wmf"/><Relationship Id="rId2" Type="http://schemas.openxmlformats.org/officeDocument/2006/relationships/numbering" Target="numbering.xml"/><Relationship Id="rId29" Type="http://schemas.openxmlformats.org/officeDocument/2006/relationships/oleObject" Target="embeddings/oleObject6.bin"/><Relationship Id="rId24" Type="http://schemas.openxmlformats.org/officeDocument/2006/relationships/image" Target="media/image12.wmf"/><Relationship Id="rId40" Type="http://schemas.openxmlformats.org/officeDocument/2006/relationships/oleObject" Target="embeddings/oleObject11.bin"/><Relationship Id="rId45" Type="http://schemas.openxmlformats.org/officeDocument/2006/relationships/image" Target="media/image24.wmf"/><Relationship Id="rId66" Type="http://schemas.openxmlformats.org/officeDocument/2006/relationships/image" Target="media/image37.wmf"/><Relationship Id="rId87" Type="http://schemas.openxmlformats.org/officeDocument/2006/relationships/oleObject" Target="embeddings/oleObject34.bin"/><Relationship Id="rId110" Type="http://schemas.openxmlformats.org/officeDocument/2006/relationships/image" Target="media/image56.wmf"/><Relationship Id="rId115" Type="http://schemas.openxmlformats.org/officeDocument/2006/relationships/image" Target="media/image59.wmf"/><Relationship Id="rId131" Type="http://schemas.openxmlformats.org/officeDocument/2006/relationships/image" Target="media/image68.wmf"/><Relationship Id="rId61" Type="http://schemas.openxmlformats.org/officeDocument/2006/relationships/oleObject" Target="embeddings/oleObject19.bin"/><Relationship Id="rId82" Type="http://schemas.openxmlformats.org/officeDocument/2006/relationships/oleObject" Target="embeddings/oleObject31.bin"/><Relationship Id="rId19"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24</Pages>
  <Words>13440</Words>
  <Characters>2055</Characters>
  <Application>Microsoft Office Word</Application>
  <DocSecurity>0</DocSecurity>
  <Lines>17</Lines>
  <Paragraphs>30</Paragraphs>
  <ScaleCrop>false</ScaleCrop>
  <Company/>
  <LinksUpToDate>false</LinksUpToDate>
  <CharactersWithSpaces>15465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He</dc:creator>
  <cp:lastModifiedBy>梁爽</cp:lastModifiedBy>
  <cp:revision>23</cp:revision>
  <dcterms:created xsi:type="dcterms:W3CDTF">2021-12-21T09:18:00Z</dcterms:created>
  <dcterms:modified xsi:type="dcterms:W3CDTF">2023-02-17T07:54:00Z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881C31C9A97E47DBA326DD2FF5F19B0E</vt:lpwstr>
  </property>
</Properties>
</file>