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0AE" w:rsidRDefault="001E1DDD">
      <w:pPr>
        <w:pStyle w:val="a7"/>
        <w:jc w:val="both"/>
        <w:rPr>
          <w:rFonts w:ascii="楷体_GB2312" w:eastAsia="楷体_GB2312"/>
          <w:sz w:val="32"/>
          <w:szCs w:val="30"/>
        </w:rPr>
      </w:pPr>
      <w:bookmarkStart w:id="0" w:name="_GoBack"/>
      <w:bookmarkEnd w:id="0"/>
      <w:r>
        <w:rPr>
          <w:rFonts w:ascii="楷体_GB2312" w:eastAsia="楷体_GB2312"/>
          <w:sz w:val="32"/>
          <w:szCs w:val="30"/>
        </w:rPr>
        <w:t>附件</w:t>
      </w:r>
      <w:r>
        <w:rPr>
          <w:rFonts w:ascii="楷体_GB2312" w:eastAsia="楷体_GB2312" w:hint="eastAsia"/>
          <w:sz w:val="32"/>
          <w:szCs w:val="30"/>
        </w:rPr>
        <w:t>9</w:t>
      </w:r>
      <w:r>
        <w:rPr>
          <w:rFonts w:ascii="楷体_GB2312" w:eastAsia="楷体_GB2312"/>
          <w:sz w:val="32"/>
          <w:szCs w:val="30"/>
        </w:rPr>
        <w:t>：</w:t>
      </w:r>
    </w:p>
    <w:p w:rsidR="008850AE" w:rsidRDefault="001E1DDD">
      <w:pPr>
        <w:pStyle w:val="1"/>
        <w:ind w:firstLineChars="0" w:firstLine="0"/>
        <w:jc w:val="center"/>
      </w:pPr>
      <w:r>
        <w:t>交易对手信用风险加权资产计量规则</w:t>
      </w:r>
    </w:p>
    <w:p w:rsidR="008850AE" w:rsidRDefault="008850AE">
      <w:pPr>
        <w:spacing w:line="480" w:lineRule="exact"/>
        <w:rPr>
          <w:rFonts w:ascii="Times New Roman" w:eastAsia="黑体" w:hAnsi="Times New Roman" w:cs="Times New Roman"/>
          <w:b/>
          <w:sz w:val="36"/>
          <w:szCs w:val="36"/>
        </w:rPr>
      </w:pPr>
    </w:p>
    <w:p w:rsidR="008850AE" w:rsidRDefault="001E1DDD">
      <w:pPr>
        <w:pStyle w:val="2"/>
        <w:jc w:val="both"/>
      </w:pPr>
      <w:r>
        <w:t>一、总体要求</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一）交易对手信用风险是指针对衍生工具、证券融资交易的交易对手在交易相关的现金流结算完成前，因为交易对手违约所导致的风险。当违约发生时，若与该交易对手相关的交易或涉及该交易的资产组合市场价值为正数，则会产生损失。与发放贷款所产生的单向信用风险不同，交易对手信用风险产生双向的损失风险，相关交易的市场价值对于交易双方来说具有不确定性和双向性。</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（二）商业银行应制定与其交易活动的特征、复杂程度和风险暴露水平相适应的交易对手信用风险管理政策和程序。</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（三）商业银行应计算交易对手信用风险暴露的风险加权资产，包括与交易对手的衍生工具交易和证券融资交易形成的交易对手信用风险。</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（四）本规则所指的衍生工具包括场外衍生工具、交易所交易的衍生工具和长期限结算交易。长期限结算交易的认定标准为：金融工具结算日远于交易日后五个交易日，或远于其市场惯例结算日。</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衍生工具的资产类别包括：利率类工具、汇率类工具、信用类工具、股票类工具和商品类工具。资产分类的依据是衍生工具的主要风险因子，由其参考标的工具决定。当一个衍生工具同时包含不同类型的风险因子时，商业银行应根据不同风险因子的敏感性和波动率来确定主要风险因子，并保持主要风险因子判断方法的一致性。若商业银行难以辨别主要风险因子，则应按照监管因子孰高的原则审慎认定。</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lastRenderedPageBreak/>
        <w:t>（五）本规则所指的证券融资交易包括证券回购、证券借贷和保证金贷款等交易，其价值取决于风险暴露与押品的市场价值，押品收取</w:t>
      </w:r>
      <w:proofErr w:type="gramStart"/>
      <w:r>
        <w:rPr>
          <w:rFonts w:ascii="仿宋_GB2312" w:eastAsia="仿宋_GB2312" w:hAnsi="Times New Roman" w:cs="Times New Roman" w:hint="eastAsia"/>
          <w:bCs/>
          <w:sz w:val="30"/>
          <w:szCs w:val="30"/>
        </w:rPr>
        <w:t>方收到</w:t>
      </w:r>
      <w:proofErr w:type="gramEnd"/>
      <w:r>
        <w:rPr>
          <w:rFonts w:ascii="仿宋_GB2312" w:eastAsia="仿宋_GB2312" w:hAnsi="Times New Roman" w:cs="Times New Roman" w:hint="eastAsia"/>
          <w:bCs/>
          <w:sz w:val="30"/>
          <w:szCs w:val="30"/>
        </w:rPr>
        <w:t>即</w:t>
      </w:r>
      <w:proofErr w:type="gramStart"/>
      <w:r>
        <w:rPr>
          <w:rFonts w:ascii="仿宋_GB2312" w:eastAsia="仿宋_GB2312" w:hAnsi="Times New Roman" w:cs="Times New Roman" w:hint="eastAsia"/>
          <w:bCs/>
          <w:sz w:val="30"/>
          <w:szCs w:val="30"/>
        </w:rPr>
        <w:t>占有该押品</w:t>
      </w:r>
      <w:proofErr w:type="gramEnd"/>
      <w:r>
        <w:rPr>
          <w:rFonts w:ascii="仿宋_GB2312" w:eastAsia="仿宋_GB2312" w:hAnsi="Times New Roman" w:cs="Times New Roman" w:hint="eastAsia"/>
          <w:bCs/>
          <w:sz w:val="30"/>
          <w:szCs w:val="30"/>
        </w:rPr>
        <w:t>，押品所有权发生转移。</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（六）与非中央交易对手交易的衍生工具和证券融资交易的交易对手信用风险加权资产包括交易对手违约风险加权资产与信用估值调整风险加权资产两部分。</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信用估值调整风险是指交易对手信用状况恶化、信用利差扩大导致商业银行衍生工具和证券融资交易发生损失的风险。对信用估值调整风险加权资产计量</w:t>
      </w:r>
      <w:proofErr w:type="gramStart"/>
      <w:r>
        <w:rPr>
          <w:rFonts w:ascii="仿宋_GB2312" w:eastAsia="仿宋_GB2312" w:hAnsi="Times New Roman" w:cs="Times New Roman" w:hint="eastAsia"/>
          <w:bCs/>
          <w:sz w:val="30"/>
          <w:szCs w:val="30"/>
        </w:rPr>
        <w:t>规则见</w:t>
      </w:r>
      <w:proofErr w:type="gramEnd"/>
      <w:r>
        <w:rPr>
          <w:rFonts w:ascii="仿宋_GB2312" w:eastAsia="仿宋_GB2312" w:hAnsi="Times New Roman" w:cs="Times New Roman" w:hint="eastAsia"/>
          <w:bCs/>
          <w:sz w:val="30"/>
          <w:szCs w:val="30"/>
        </w:rPr>
        <w:t>本办法附件17。</w:t>
      </w:r>
    </w:p>
    <w:p w:rsidR="008850AE" w:rsidRDefault="001E1DDD">
      <w:pPr>
        <w:spacing w:line="480" w:lineRule="exact"/>
        <w:ind w:firstLineChars="200" w:firstLine="600"/>
        <w:rPr>
          <w:rFonts w:ascii="仿宋_GB2312" w:eastAsia="仿宋_GB2312" w:hAnsi="Times New Roman" w:cs="Times New Roman"/>
          <w:bCs/>
          <w:sz w:val="28"/>
          <w:szCs w:val="28"/>
        </w:rPr>
      </w:pPr>
      <w:r>
        <w:rPr>
          <w:rFonts w:ascii="仿宋_GB2312" w:eastAsia="仿宋_GB2312" w:hAnsi="Times New Roman" w:cs="Times New Roman" w:hint="eastAsia"/>
          <w:bCs/>
          <w:sz w:val="30"/>
          <w:szCs w:val="30"/>
        </w:rPr>
        <w:t>（七）对中央交易对手风险暴露的风险加权资产计量</w:t>
      </w:r>
      <w:proofErr w:type="gramStart"/>
      <w:r>
        <w:rPr>
          <w:rFonts w:ascii="仿宋_GB2312" w:eastAsia="仿宋_GB2312" w:hAnsi="Times New Roman" w:cs="Times New Roman" w:hint="eastAsia"/>
          <w:bCs/>
          <w:sz w:val="30"/>
          <w:szCs w:val="30"/>
        </w:rPr>
        <w:t>规则见</w:t>
      </w:r>
      <w:proofErr w:type="gramEnd"/>
      <w:r>
        <w:rPr>
          <w:rFonts w:ascii="仿宋_GB2312" w:eastAsia="仿宋_GB2312" w:hAnsi="Times New Roman" w:cs="Times New Roman" w:hint="eastAsia"/>
          <w:bCs/>
          <w:sz w:val="30"/>
          <w:szCs w:val="30"/>
        </w:rPr>
        <w:t>本办法附件10。</w:t>
      </w:r>
    </w:p>
    <w:p w:rsidR="008850AE" w:rsidRDefault="001E1DDD">
      <w:pPr>
        <w:pStyle w:val="2"/>
        <w:jc w:val="both"/>
      </w:pPr>
      <w:r>
        <w:t>二、与非中央交易对手交易的衍生工具的交易对手违约风险加权资产的计量</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（一）商业银行可采用权重法或内部评级法计算与非中央交易对手交易的衍生工具的交易对手违约风险加权资产。</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（二）商业银行采用权重法的，交易对手违约风险加权资产为与非中央交易对手交易的衍生工具交易的违约风险暴露乘以本办法附件3规定的交易对手的风险权重。</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（三）商业银行采用内部评级法的，应按照本办法附件6的规定计量交易对手违约风险加权资产。</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（四）商业银行应按照本部分标准法和现期风险暴露法的要求，计算衍生工具的交易对手违约风险暴露。衍生工具名义本金达到5000亿元或占总资产比例达到30%以上的商业银行应使用标准法计量违约风险暴露。</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（五）商业银行使用标准法计量违约风险暴露，应满足下列要求：</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1．商业银行应制定分类政策，确定净额结算组合定义。净额结算组合是商业银行与单个交易对手在同一个有效净额结算</w:t>
      </w:r>
      <w:r>
        <w:rPr>
          <w:rFonts w:ascii="仿宋_GB2312" w:eastAsia="仿宋_GB2312" w:hAnsi="Times New Roman" w:cs="Times New Roman" w:hint="eastAsia"/>
          <w:bCs/>
          <w:sz w:val="30"/>
          <w:szCs w:val="30"/>
        </w:rPr>
        <w:lastRenderedPageBreak/>
        <w:t>协议下所发生全部交易的集合，应符合下列标准：</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（1）商业银行应与交易对手签订净额结算协议。在交易对手违约或者被清算时，对包含收取权利和支付义务相关交易的盯市价值，商业银行可采取净额结算方式进行清算。</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2）商业银行应确保净额结算协议合法有效，就净额结算协议涉及的法律问题获得书面法律审查意见，以确保净额结算能够有效实施。法律审查意见应至少包括：交易对手所在国的法律；如净额结算涉及交易对手的境外分支机构，该境外分支机构所在国的法律；净额结算协议覆盖的每笔交易适用的法律；其他可能影响净额结算协议适用的法律。</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（3）在净额结算协议适用的法律发生变化时，商业银行应确保相关协议仍合法有效。</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4）如商业银行的交易对手为经我国金融监督管理部门批准设立的金融机构，且交易双方签署《中国银行间市场金融衍生产品交易主协议》《中国证券期货市场衍生品交易主协议》《中国银行间市场债券回购交易主协议》《国际掉期及衍生工具协会2002年主协议》或者银保监会认可的其他合法有效净额结算主协议的，商业银行可按照净额计算对应产品的交易对手违约风险暴露。</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2．商业银行应将衍生工具划分</w:t>
      </w:r>
      <w:proofErr w:type="gramStart"/>
      <w:r>
        <w:rPr>
          <w:rFonts w:ascii="仿宋_GB2312" w:eastAsia="仿宋_GB2312" w:hAnsi="Times New Roman" w:cs="Times New Roman" w:hint="eastAsia"/>
          <w:bCs/>
          <w:sz w:val="30"/>
          <w:szCs w:val="30"/>
        </w:rPr>
        <w:t>至相应</w:t>
      </w:r>
      <w:proofErr w:type="gramEnd"/>
      <w:r>
        <w:rPr>
          <w:rFonts w:ascii="仿宋_GB2312" w:eastAsia="仿宋_GB2312" w:hAnsi="Times New Roman" w:cs="Times New Roman" w:hint="eastAsia"/>
          <w:bCs/>
          <w:sz w:val="30"/>
          <w:szCs w:val="30"/>
        </w:rPr>
        <w:t>的资产类别和抵消组合。商业银行应遵循唯一性、一致性原则及审慎监管要求来制定衍生工具分类流程和标准。</w:t>
      </w:r>
    </w:p>
    <w:p w:rsidR="008850AE" w:rsidRDefault="001E1DDD">
      <w:pPr>
        <w:spacing w:line="480" w:lineRule="exact"/>
        <w:ind w:firstLineChars="200" w:firstLine="600"/>
        <w:rPr>
          <w:rFonts w:ascii="仿宋_GB2312" w:eastAsia="仿宋_GB2312" w:hAnsi="Times New Roman" w:cs="Times New Roman"/>
          <w:bCs/>
          <w:sz w:val="28"/>
          <w:szCs w:val="28"/>
        </w:rPr>
      </w:pPr>
      <w:r>
        <w:rPr>
          <w:rFonts w:ascii="仿宋_GB2312" w:eastAsia="仿宋_GB2312" w:hAnsi="Times New Roman" w:cs="Times New Roman" w:hint="eastAsia"/>
          <w:bCs/>
          <w:sz w:val="30"/>
          <w:szCs w:val="30"/>
        </w:rPr>
        <w:t>3．商业银行应在资产类别划分的基础上，制定抵消组合划分标准，并将各类资产类别的衍生工具划分至抵消组合。资产类别和抵消组合划分方式如下表。</w:t>
      </w:r>
    </w:p>
    <w:p w:rsidR="008850AE" w:rsidRDefault="001E1DDD" w:rsidP="00CF7888">
      <w:pPr>
        <w:widowControl/>
        <w:spacing w:line="480" w:lineRule="exact"/>
        <w:ind w:firstLineChars="200" w:firstLine="562"/>
        <w:jc w:val="center"/>
        <w:rPr>
          <w:rFonts w:ascii="楷体_GB2312" w:eastAsia="楷体_GB2312" w:hAnsi="Times New Roman" w:cs="Times New Roman"/>
          <w:b/>
          <w:sz w:val="28"/>
          <w:szCs w:val="28"/>
        </w:rPr>
      </w:pPr>
      <w:r>
        <w:rPr>
          <w:rFonts w:ascii="楷体_GB2312" w:eastAsia="楷体_GB2312" w:hAnsi="Times New Roman" w:cs="Times New Roman"/>
          <w:b/>
          <w:sz w:val="28"/>
          <w:szCs w:val="28"/>
        </w:rPr>
        <w:t>表</w:t>
      </w:r>
      <w:r>
        <w:rPr>
          <w:rFonts w:ascii="楷体_GB2312" w:eastAsia="楷体_GB2312" w:hAnsi="Times New Roman" w:cs="Times New Roman" w:hint="eastAsia"/>
          <w:b/>
          <w:sz w:val="28"/>
          <w:szCs w:val="28"/>
        </w:rPr>
        <w:t>1</w:t>
      </w:r>
      <w:r>
        <w:rPr>
          <w:rFonts w:ascii="楷体_GB2312" w:eastAsia="楷体_GB2312" w:hAnsi="Times New Roman" w:cs="Times New Roman"/>
          <w:b/>
          <w:sz w:val="28"/>
          <w:szCs w:val="28"/>
        </w:rPr>
        <w:t xml:space="preserve"> 资产类别和抵消组合划分方式</w:t>
      </w:r>
    </w:p>
    <w:tbl>
      <w:tblPr>
        <w:tblStyle w:val="a8"/>
        <w:tblW w:w="7996" w:type="dxa"/>
        <w:tblLayout w:type="fixed"/>
        <w:tblLook w:val="04A0" w:firstRow="1" w:lastRow="0" w:firstColumn="1" w:lastColumn="0" w:noHBand="0" w:noVBand="1"/>
      </w:tblPr>
      <w:tblGrid>
        <w:gridCol w:w="2578"/>
        <w:gridCol w:w="5418"/>
      </w:tblGrid>
      <w:tr w:rsidR="008850AE">
        <w:tc>
          <w:tcPr>
            <w:tcW w:w="257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sz w:val="22"/>
              </w:rPr>
              <w:t>资产类别</w:t>
            </w:r>
          </w:p>
        </w:tc>
        <w:tc>
          <w:tcPr>
            <w:tcW w:w="541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sz w:val="22"/>
              </w:rPr>
              <w:t>抵消组合</w:t>
            </w:r>
          </w:p>
        </w:tc>
      </w:tr>
      <w:tr w:rsidR="008850AE">
        <w:tc>
          <w:tcPr>
            <w:tcW w:w="257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sz w:val="22"/>
              </w:rPr>
              <w:t>利率类工具</w:t>
            </w:r>
          </w:p>
        </w:tc>
        <w:tc>
          <w:tcPr>
            <w:tcW w:w="541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sz w:val="22"/>
              </w:rPr>
              <w:t>同一币种的交易</w:t>
            </w:r>
          </w:p>
        </w:tc>
      </w:tr>
      <w:tr w:rsidR="008850AE">
        <w:tc>
          <w:tcPr>
            <w:tcW w:w="257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hint="eastAsia"/>
                <w:sz w:val="22"/>
              </w:rPr>
              <w:t>汇率</w:t>
            </w:r>
            <w:r>
              <w:rPr>
                <w:rFonts w:ascii="宋体" w:eastAsia="宋体" w:hAnsi="宋体" w:cs="Times New Roman"/>
                <w:sz w:val="22"/>
              </w:rPr>
              <w:t>类工具</w:t>
            </w:r>
          </w:p>
        </w:tc>
        <w:tc>
          <w:tcPr>
            <w:tcW w:w="541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sz w:val="22"/>
              </w:rPr>
              <w:t>同一货币对的交易</w:t>
            </w:r>
          </w:p>
        </w:tc>
      </w:tr>
      <w:tr w:rsidR="008850AE">
        <w:tc>
          <w:tcPr>
            <w:tcW w:w="257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sz w:val="22"/>
              </w:rPr>
              <w:t>信用类工具</w:t>
            </w:r>
          </w:p>
        </w:tc>
        <w:tc>
          <w:tcPr>
            <w:tcW w:w="541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sz w:val="22"/>
              </w:rPr>
              <w:t>同一参考实体（单一实体或指数）</w:t>
            </w:r>
          </w:p>
        </w:tc>
      </w:tr>
      <w:tr w:rsidR="008850AE">
        <w:tc>
          <w:tcPr>
            <w:tcW w:w="257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sz w:val="22"/>
              </w:rPr>
              <w:lastRenderedPageBreak/>
              <w:t>股票类工具</w:t>
            </w:r>
          </w:p>
        </w:tc>
        <w:tc>
          <w:tcPr>
            <w:tcW w:w="541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sz w:val="22"/>
              </w:rPr>
              <w:t>同一参考实体（单一实体或指数）</w:t>
            </w:r>
          </w:p>
        </w:tc>
      </w:tr>
      <w:tr w:rsidR="008850AE">
        <w:tc>
          <w:tcPr>
            <w:tcW w:w="257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sz w:val="22"/>
              </w:rPr>
              <w:t>商品类工具</w:t>
            </w:r>
          </w:p>
        </w:tc>
        <w:tc>
          <w:tcPr>
            <w:tcW w:w="5418" w:type="dxa"/>
            <w:vAlign w:val="center"/>
          </w:tcPr>
          <w:p w:rsidR="008850AE" w:rsidRDefault="001E1DDD" w:rsidP="00CF7888">
            <w:pPr>
              <w:jc w:val="center"/>
              <w:rPr>
                <w:rFonts w:ascii="宋体" w:eastAsia="宋体" w:hAnsi="宋体" w:cs="Times New Roman"/>
                <w:sz w:val="22"/>
              </w:rPr>
            </w:pPr>
            <w:r>
              <w:rPr>
                <w:rFonts w:ascii="宋体" w:eastAsia="宋体" w:hAnsi="宋体" w:cs="Times New Roman"/>
                <w:sz w:val="22"/>
              </w:rPr>
              <w:t>四大类商品：能源（包括电力、油、气）、金属、农产品、其他</w:t>
            </w:r>
          </w:p>
        </w:tc>
      </w:tr>
    </w:tbl>
    <w:p w:rsidR="008850AE" w:rsidRDefault="008850AE">
      <w:pPr>
        <w:rPr>
          <w:rFonts w:ascii="Times New Roman" w:eastAsia="宋体" w:hAnsi="Times New Roman" w:cs="Times New Roman"/>
          <w:sz w:val="24"/>
          <w:szCs w:val="24"/>
        </w:rPr>
      </w:pP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4．商业银行应区分保证金衍生工具交易和无保证金衍生工具交易。对于同一净额结算组合，保证金衍生工具交易的违约暴露以无保证金衍生工具交易的违约暴露为上限。</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5．对保证金衍生工具交易，商业银行应与交易对手签订保证金和押品收付协议。其中，商业银行承担支付单向变动保证金</w:t>
      </w:r>
      <w:proofErr w:type="gramStart"/>
      <w:r>
        <w:rPr>
          <w:rFonts w:ascii="仿宋_GB2312" w:eastAsia="仿宋_GB2312" w:hAnsi="Times New Roman" w:cs="Times New Roman" w:hint="eastAsia"/>
          <w:bCs/>
          <w:sz w:val="30"/>
          <w:szCs w:val="30"/>
        </w:rPr>
        <w:t>或押品义务</w:t>
      </w:r>
      <w:proofErr w:type="gramEnd"/>
      <w:r>
        <w:rPr>
          <w:rFonts w:ascii="仿宋_GB2312" w:eastAsia="仿宋_GB2312" w:hAnsi="Times New Roman" w:cs="Times New Roman" w:hint="eastAsia"/>
          <w:bCs/>
          <w:sz w:val="30"/>
          <w:szCs w:val="30"/>
        </w:rPr>
        <w:t>的交易应认定为无保证金交易。</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（六）违约风险暴露标准法</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1．违约风险暴露的计算公式如下：</w:t>
      </w:r>
    </w:p>
    <w:p w:rsidR="008850AE" w:rsidRDefault="001E1DDD" w:rsidP="00CF7888">
      <w:pPr>
        <w:spacing w:beforeLines="50" w:before="156" w:line="600" w:lineRule="exact"/>
        <w:ind w:firstLineChars="200" w:firstLine="600"/>
        <w:jc w:val="center"/>
        <w:rPr>
          <w:rFonts w:ascii="仿宋_GB2312" w:eastAsia="仿宋_GB2312" w:hAnsi="Times New Roman" w:cs="Times New Roman"/>
          <w:kern w:val="0"/>
          <w:sz w:val="30"/>
          <w:szCs w:val="30"/>
        </w:rPr>
      </w:pPr>
      <w:r>
        <w:rPr>
          <w:rFonts w:ascii="仿宋_GB2312" w:eastAsia="仿宋_GB2312" w:hAnsi="Times New Roman" w:cs="Times New Roman"/>
          <w:noProof/>
          <w:kern w:val="0"/>
          <w:sz w:val="30"/>
          <w:szCs w:val="30"/>
        </w:rPr>
        <w:drawing>
          <wp:inline distT="0" distB="0" distL="114300" distR="114300" wp14:anchorId="0C22285D" wp14:editId="157323FF">
            <wp:extent cx="1965960" cy="23622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stretch>
                      <a:fillRect/>
                    </a:stretch>
                  </pic:blipFill>
                  <pic:spPr>
                    <a:xfrm>
                      <a:off x="0" y="0"/>
                      <a:ext cx="1965960" cy="23622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（1）RC为重置成本，代表当前风险暴露；</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（2）PFE为潜在风险暴露。</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2．重置成本的计算方法</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（1）对于无保证金交易，重置成本计算公式如下：</w:t>
      </w:r>
    </w:p>
    <w:p w:rsidR="008850AE" w:rsidRDefault="001E1DDD" w:rsidP="00CF7888">
      <w:pPr>
        <w:spacing w:beforeLines="50" w:before="156" w:line="600" w:lineRule="exact"/>
        <w:ind w:firstLineChars="200" w:firstLine="600"/>
        <w:jc w:val="center"/>
        <w:rPr>
          <w:rFonts w:ascii="仿宋_GB2312" w:eastAsia="仿宋_GB2312" w:hAnsi="Times New Roman" w:cs="Times New Roman"/>
          <w:kern w:val="0"/>
          <w:sz w:val="30"/>
          <w:szCs w:val="30"/>
        </w:rPr>
      </w:pPr>
      <w:r>
        <w:rPr>
          <w:rFonts w:ascii="仿宋_GB2312" w:eastAsia="仿宋_GB2312" w:hAnsi="Times New Roman" w:cs="Times New Roman"/>
          <w:noProof/>
          <w:kern w:val="0"/>
          <w:sz w:val="30"/>
          <w:szCs w:val="30"/>
        </w:rPr>
        <w:drawing>
          <wp:inline distT="0" distB="0" distL="114300" distR="114300" wp14:anchorId="7A612AA1" wp14:editId="7CAD5E31">
            <wp:extent cx="1790700" cy="28956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a:stretch>
                      <a:fillRect/>
                    </a:stretch>
                  </pic:blipFill>
                  <pic:spPr>
                    <a:xfrm>
                      <a:off x="0" y="0"/>
                      <a:ext cx="1790700" cy="28956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V为净额结算组合衍生工具的盯市价值；</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C为银行持有的抵质押品净额（收到的抵质押品扣除提交的抵质押品）经折扣调整后的价值，不包括银行向独立的破产隔离账户提交的抵质押品。合格抵质押品折扣率见本办法附件7第二、第六和七部分。以破产隔离方式持有的定义见本办法附件10第二部分。</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（2）对于保证金交易，重置成本计算公式如下：</w:t>
      </w:r>
    </w:p>
    <w:p w:rsidR="008850AE" w:rsidRDefault="001E1DDD" w:rsidP="00CF7888">
      <w:pPr>
        <w:spacing w:beforeLines="50" w:before="156" w:line="600" w:lineRule="exact"/>
        <w:ind w:firstLineChars="200" w:firstLine="600"/>
        <w:jc w:val="center"/>
        <w:rPr>
          <w:rFonts w:ascii="仿宋_GB2312" w:eastAsia="仿宋_GB2312" w:hAnsi="Times New Roman" w:cs="Times New Roman"/>
          <w:kern w:val="0"/>
          <w:sz w:val="30"/>
          <w:szCs w:val="30"/>
        </w:rPr>
      </w:pPr>
      <w:r>
        <w:rPr>
          <w:rFonts w:ascii="仿宋_GB2312" w:eastAsia="仿宋_GB2312" w:hAnsi="Times New Roman" w:cs="Times New Roman"/>
          <w:noProof/>
          <w:kern w:val="0"/>
          <w:sz w:val="30"/>
          <w:szCs w:val="30"/>
        </w:rPr>
        <w:drawing>
          <wp:inline distT="0" distB="0" distL="114300" distR="114300" wp14:anchorId="7142BEF2" wp14:editId="28A44EC4">
            <wp:extent cx="3497580" cy="28956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a:stretch>
                      <a:fillRect/>
                    </a:stretch>
                  </pic:blipFill>
                  <pic:spPr>
                    <a:xfrm>
                      <a:off x="0" y="0"/>
                      <a:ext cx="3497580" cy="28956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lastRenderedPageBreak/>
        <w:t>其中：</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V和C的定义与无保证金交易相同；</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TH是一个正的阈值。</w:t>
      </w:r>
      <w:proofErr w:type="gramStart"/>
      <w:r>
        <w:rPr>
          <w:rFonts w:ascii="仿宋_GB2312" w:eastAsia="仿宋_GB2312" w:hAnsi="Times New Roman" w:cs="Times New Roman" w:hint="eastAsia"/>
          <w:bCs/>
          <w:sz w:val="30"/>
          <w:szCs w:val="30"/>
        </w:rPr>
        <w:t>盯</w:t>
      </w:r>
      <w:proofErr w:type="gramEnd"/>
      <w:r>
        <w:rPr>
          <w:rFonts w:ascii="仿宋_GB2312" w:eastAsia="仿宋_GB2312" w:hAnsi="Times New Roman" w:cs="Times New Roman" w:hint="eastAsia"/>
          <w:bCs/>
          <w:sz w:val="30"/>
          <w:szCs w:val="30"/>
        </w:rPr>
        <w:t>市价值超过该阈值，交易对手须向银行提交抵质押品；</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MTA为交易对手追加可变保证金最低触发值；</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NICA为净</w:t>
      </w:r>
      <w:proofErr w:type="gramStart"/>
      <w:r>
        <w:rPr>
          <w:rFonts w:ascii="仿宋_GB2312" w:eastAsia="仿宋_GB2312" w:hAnsi="Times New Roman" w:cs="Times New Roman" w:hint="eastAsia"/>
          <w:bCs/>
          <w:sz w:val="30"/>
          <w:szCs w:val="30"/>
        </w:rPr>
        <w:t>独立抵</w:t>
      </w:r>
      <w:proofErr w:type="gramEnd"/>
      <w:r>
        <w:rPr>
          <w:rFonts w:ascii="仿宋_GB2312" w:eastAsia="仿宋_GB2312" w:hAnsi="Times New Roman" w:cs="Times New Roman" w:hint="eastAsia"/>
          <w:bCs/>
          <w:sz w:val="30"/>
          <w:szCs w:val="30"/>
        </w:rPr>
        <w:t>质押品的价值，即在交易对手违约情况下，银行可以用来抵消风险暴露的抵质押品价值。NICA不包括变动保证金，也不包括银行向独立的破产隔离账户提交的抵质押品。</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TH+MTA-NICA为触发可变保证金补充之前的最大风险暴露，代表银行需保持的抵质押品水平。</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3．潜在风险暴露的计算方法</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（1）潜在风险暴露的计算公式如下：</w:t>
      </w:r>
    </w:p>
    <w:p w:rsidR="008850AE" w:rsidRDefault="001E1DDD" w:rsidP="00CF7888">
      <w:pPr>
        <w:spacing w:beforeLines="50" w:before="156" w:line="600" w:lineRule="exact"/>
        <w:ind w:firstLineChars="200" w:firstLine="600"/>
        <w:jc w:val="center"/>
        <w:rPr>
          <w:rFonts w:ascii="仿宋_GB2312" w:eastAsia="仿宋_GB2312" w:hAnsi="Times New Roman" w:cs="Times New Roman"/>
          <w:kern w:val="0"/>
          <w:sz w:val="30"/>
          <w:szCs w:val="30"/>
        </w:rPr>
      </w:pPr>
      <w:r>
        <w:rPr>
          <w:rFonts w:ascii="仿宋_GB2312" w:eastAsia="仿宋_GB2312" w:hAnsi="Times New Roman" w:cs="Times New Roman"/>
          <w:noProof/>
          <w:kern w:val="0"/>
          <w:sz w:val="30"/>
          <w:szCs w:val="30"/>
        </w:rPr>
        <w:drawing>
          <wp:inline distT="0" distB="0" distL="114300" distR="114300" wp14:anchorId="107B8600" wp14:editId="6DD06E5C">
            <wp:extent cx="2590800" cy="28956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1"/>
                    <a:stretch>
                      <a:fillRect/>
                    </a:stretch>
                  </pic:blipFill>
                  <pic:spPr>
                    <a:xfrm>
                      <a:off x="0" y="0"/>
                      <a:ext cx="2590800" cy="28956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w:t>
      </w:r>
    </w:p>
    <w:p w:rsidR="008850AE" w:rsidRDefault="001E1DDD">
      <w:pPr>
        <w:spacing w:line="480" w:lineRule="exact"/>
        <w:ind w:firstLineChars="200" w:firstLine="600"/>
        <w:rPr>
          <w:rFonts w:ascii="仿宋_GB2312" w:eastAsia="仿宋_GB2312" w:hAnsi="Times New Roman" w:cs="Times New Roman"/>
          <w:bCs/>
          <w:sz w:val="30"/>
          <w:szCs w:val="30"/>
        </w:rPr>
      </w:pPr>
      <w:proofErr w:type="spellStart"/>
      <w:r>
        <w:rPr>
          <w:rFonts w:ascii="仿宋_GB2312" w:eastAsia="仿宋_GB2312" w:hAnsi="Times New Roman" w:cs="Times New Roman" w:hint="eastAsia"/>
          <w:kern w:val="0"/>
          <w:sz w:val="30"/>
          <w:szCs w:val="30"/>
        </w:rPr>
        <w:t>AddOn</w:t>
      </w:r>
      <w:r>
        <w:rPr>
          <w:rFonts w:ascii="仿宋_GB2312" w:eastAsia="仿宋_GB2312" w:hAnsi="Times New Roman" w:cs="Times New Roman" w:hint="eastAsia"/>
          <w:kern w:val="0"/>
          <w:sz w:val="30"/>
          <w:szCs w:val="30"/>
          <w:vertAlign w:val="superscript"/>
        </w:rPr>
        <w:t>aggregate</w:t>
      </w:r>
      <w:proofErr w:type="spellEnd"/>
      <w:r>
        <w:rPr>
          <w:rFonts w:ascii="仿宋_GB2312" w:eastAsia="仿宋_GB2312" w:hAnsi="Times New Roman" w:cs="Times New Roman" w:hint="eastAsia"/>
          <w:bCs/>
          <w:sz w:val="30"/>
          <w:szCs w:val="30"/>
        </w:rPr>
        <w:t>为净额结算组合下全部衍生工具交易的总附加暴露；</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multiplier为认可超值抵押</w:t>
      </w:r>
      <w:proofErr w:type="gramStart"/>
      <w:r>
        <w:rPr>
          <w:rFonts w:ascii="仿宋_GB2312" w:eastAsia="仿宋_GB2312" w:hAnsi="Times New Roman" w:cs="Times New Roman" w:hint="eastAsia"/>
          <w:bCs/>
          <w:sz w:val="30"/>
          <w:szCs w:val="30"/>
        </w:rPr>
        <w:t>或负盯市价</w:t>
      </w:r>
      <w:proofErr w:type="gramEnd"/>
      <w:r>
        <w:rPr>
          <w:rFonts w:ascii="仿宋_GB2312" w:eastAsia="仿宋_GB2312" w:hAnsi="Times New Roman" w:cs="Times New Roman" w:hint="eastAsia"/>
          <w:bCs/>
          <w:sz w:val="30"/>
          <w:szCs w:val="30"/>
        </w:rPr>
        <w:t>值的乘数因子。</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（2）乘数因子计算公式如下：</w:t>
      </w:r>
    </w:p>
    <w:p w:rsidR="008850AE" w:rsidRDefault="001E1DDD">
      <w:pPr>
        <w:spacing w:beforeLines="50" w:before="156" w:line="800" w:lineRule="exact"/>
        <w:ind w:firstLineChars="200" w:firstLine="600"/>
        <w:rPr>
          <w:rFonts w:ascii="仿宋_GB2312" w:eastAsia="仿宋_GB2312" w:hAnsi="Times New Roman" w:cs="Times New Roman"/>
          <w:position w:val="-10"/>
          <w:sz w:val="30"/>
          <w:szCs w:val="30"/>
        </w:rPr>
      </w:pPr>
      <w:r>
        <w:rPr>
          <w:rFonts w:ascii="仿宋_GB2312" w:eastAsia="仿宋_GB2312" w:hAnsi="Times New Roman" w:cs="Times New Roman"/>
          <w:noProof/>
          <w:position w:val="-10"/>
          <w:sz w:val="30"/>
          <w:szCs w:val="30"/>
        </w:rPr>
        <w:drawing>
          <wp:inline distT="0" distB="0" distL="114300" distR="114300" wp14:anchorId="128ACF61" wp14:editId="72426539">
            <wp:extent cx="3840480" cy="4343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3840480" cy="43434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其中：V和C的定义与本部分2（1）的规定一致；</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（3）总附加暴露的计算公式为：</w:t>
      </w:r>
    </w:p>
    <w:p w:rsidR="008850AE" w:rsidRDefault="001E1DDD" w:rsidP="00CF7888">
      <w:pPr>
        <w:spacing w:beforeLines="50" w:before="156" w:line="600" w:lineRule="exact"/>
        <w:ind w:firstLineChars="200" w:firstLine="600"/>
        <w:jc w:val="center"/>
        <w:rPr>
          <w:rFonts w:ascii="仿宋_GB2312" w:eastAsia="仿宋_GB2312" w:hAnsi="Times New Roman" w:cs="Times New Roman"/>
          <w:position w:val="-28"/>
          <w:sz w:val="30"/>
          <w:szCs w:val="30"/>
        </w:rPr>
      </w:pPr>
      <w:r>
        <w:rPr>
          <w:rFonts w:ascii="仿宋_GB2312" w:eastAsia="仿宋_GB2312" w:hAnsi="Times New Roman" w:cs="Times New Roman"/>
          <w:noProof/>
          <w:position w:val="-28"/>
          <w:sz w:val="30"/>
          <w:szCs w:val="30"/>
        </w:rPr>
        <w:drawing>
          <wp:inline distT="0" distB="0" distL="114300" distR="114300" wp14:anchorId="78322341" wp14:editId="367F75DE">
            <wp:extent cx="2156460" cy="4495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2156460" cy="44958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其中：AddOn表示各资产类别下所有衍生工具的附加暴露总和。</w:t>
      </w:r>
    </w:p>
    <w:p w:rsidR="008850AE" w:rsidRDefault="001E1DDD">
      <w:pPr>
        <w:spacing w:line="480" w:lineRule="exact"/>
        <w:ind w:firstLineChars="200" w:firstLine="600"/>
        <w:rPr>
          <w:rFonts w:ascii="仿宋_GB2312" w:eastAsia="仿宋_GB2312" w:hAnsi="Times New Roman" w:cs="Times New Roman"/>
          <w:bCs/>
          <w:sz w:val="28"/>
          <w:szCs w:val="28"/>
        </w:rPr>
      </w:pPr>
      <w:r>
        <w:rPr>
          <w:rFonts w:ascii="仿宋_GB2312" w:eastAsia="仿宋_GB2312" w:hAnsi="Times New Roman" w:cs="Times New Roman" w:hint="eastAsia"/>
          <w:bCs/>
          <w:sz w:val="30"/>
          <w:szCs w:val="30"/>
        </w:rPr>
        <w:t>（4）商业银行计算单个资产类别的附加暴露时，应当先将该资产类别下的全部衍生工具按照不同抵消组合划分，并分别</w:t>
      </w:r>
      <w:r>
        <w:rPr>
          <w:rFonts w:ascii="仿宋_GB2312" w:eastAsia="仿宋_GB2312" w:hAnsi="Times New Roman" w:cs="Times New Roman" w:hint="eastAsia"/>
          <w:bCs/>
          <w:sz w:val="30"/>
          <w:szCs w:val="30"/>
        </w:rPr>
        <w:lastRenderedPageBreak/>
        <w:t>计算每个抵消组合的附加暴露。各资产类别下所有交易的附加暴露总和计算公式如下：</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237"/>
      </w:tblGrid>
      <w:tr w:rsidR="008850AE">
        <w:tc>
          <w:tcPr>
            <w:tcW w:w="2376" w:type="dxa"/>
            <w:tcBorders>
              <w:top w:val="single" w:sz="4" w:space="0" w:color="auto"/>
              <w:left w:val="single" w:sz="4" w:space="0" w:color="auto"/>
              <w:bottom w:val="single" w:sz="4" w:space="0" w:color="auto"/>
              <w:right w:val="single" w:sz="4" w:space="0" w:color="auto"/>
            </w:tcBorders>
            <w:vAlign w:val="center"/>
          </w:tcPr>
          <w:p w:rsidR="008850AE" w:rsidRDefault="001E1DDD">
            <w:pPr>
              <w:pStyle w:val="11"/>
              <w:ind w:firstLineChars="0" w:firstLine="0"/>
              <w:rPr>
                <w:rFonts w:ascii="宋体" w:hAnsi="宋体"/>
                <w:sz w:val="22"/>
                <w:szCs w:val="22"/>
              </w:rPr>
            </w:pPr>
            <w:r>
              <w:rPr>
                <w:rFonts w:ascii="宋体" w:hAnsi="宋体"/>
                <w:sz w:val="22"/>
                <w:szCs w:val="22"/>
              </w:rPr>
              <w:t>利率、</w:t>
            </w:r>
            <w:r>
              <w:rPr>
                <w:rFonts w:ascii="宋体" w:hAnsi="宋体" w:hint="eastAsia"/>
                <w:sz w:val="22"/>
                <w:szCs w:val="22"/>
              </w:rPr>
              <w:t>汇率</w:t>
            </w:r>
            <w:r>
              <w:rPr>
                <w:rFonts w:ascii="宋体" w:hAnsi="宋体"/>
                <w:sz w:val="22"/>
                <w:szCs w:val="22"/>
              </w:rPr>
              <w:t>和商品类</w:t>
            </w:r>
          </w:p>
        </w:tc>
        <w:tc>
          <w:tcPr>
            <w:tcW w:w="6237" w:type="dxa"/>
            <w:tcBorders>
              <w:top w:val="single" w:sz="4" w:space="0" w:color="auto"/>
              <w:left w:val="single" w:sz="4" w:space="0" w:color="auto"/>
              <w:bottom w:val="single" w:sz="4" w:space="0" w:color="auto"/>
              <w:right w:val="single" w:sz="4" w:space="0" w:color="auto"/>
            </w:tcBorders>
          </w:tcPr>
          <w:p w:rsidR="008850AE" w:rsidRDefault="001E1DDD">
            <w:pPr>
              <w:pStyle w:val="11"/>
              <w:ind w:firstLineChars="0" w:firstLine="0"/>
              <w:rPr>
                <w:rFonts w:ascii="宋体" w:hAnsi="宋体"/>
                <w:sz w:val="22"/>
                <w:szCs w:val="22"/>
              </w:rPr>
            </w:pPr>
            <w:r>
              <w:rPr>
                <w:rFonts w:ascii="宋体" w:hAnsi="宋体"/>
                <w:noProof/>
                <w:position w:val="-30"/>
                <w:sz w:val="22"/>
                <w:szCs w:val="22"/>
              </w:rPr>
              <w:drawing>
                <wp:inline distT="0" distB="0" distL="114300" distR="114300" wp14:anchorId="27E28DFB" wp14:editId="396D91C1">
                  <wp:extent cx="1440180" cy="35052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4"/>
                          <a:stretch>
                            <a:fillRect/>
                          </a:stretch>
                        </pic:blipFill>
                        <pic:spPr>
                          <a:xfrm>
                            <a:off x="0" y="0"/>
                            <a:ext cx="1440180" cy="350520"/>
                          </a:xfrm>
                          <a:prstGeom prst="rect">
                            <a:avLst/>
                          </a:prstGeom>
                          <a:noFill/>
                          <a:ln>
                            <a:noFill/>
                          </a:ln>
                        </pic:spPr>
                      </pic:pic>
                    </a:graphicData>
                  </a:graphic>
                </wp:inline>
              </w:drawing>
            </w:r>
          </w:p>
        </w:tc>
      </w:tr>
      <w:tr w:rsidR="008850AE">
        <w:tc>
          <w:tcPr>
            <w:tcW w:w="2376" w:type="dxa"/>
            <w:tcBorders>
              <w:top w:val="single" w:sz="4" w:space="0" w:color="auto"/>
              <w:left w:val="single" w:sz="4" w:space="0" w:color="auto"/>
              <w:bottom w:val="single" w:sz="4" w:space="0" w:color="auto"/>
              <w:right w:val="single" w:sz="4" w:space="0" w:color="auto"/>
            </w:tcBorders>
          </w:tcPr>
          <w:p w:rsidR="008850AE" w:rsidRDefault="008850AE">
            <w:pPr>
              <w:pStyle w:val="11"/>
              <w:ind w:firstLineChars="0" w:firstLine="0"/>
              <w:rPr>
                <w:rFonts w:ascii="宋体" w:hAnsi="宋体"/>
                <w:sz w:val="22"/>
                <w:szCs w:val="22"/>
              </w:rPr>
            </w:pPr>
          </w:p>
          <w:p w:rsidR="008850AE" w:rsidRDefault="001E1DDD">
            <w:pPr>
              <w:pStyle w:val="11"/>
              <w:ind w:firstLineChars="0" w:firstLine="0"/>
              <w:rPr>
                <w:rFonts w:ascii="宋体" w:hAnsi="宋体"/>
                <w:sz w:val="22"/>
                <w:szCs w:val="22"/>
              </w:rPr>
            </w:pPr>
            <w:r>
              <w:rPr>
                <w:rFonts w:ascii="宋体" w:hAnsi="宋体"/>
                <w:sz w:val="22"/>
                <w:szCs w:val="22"/>
              </w:rPr>
              <w:t>信用、股票类</w:t>
            </w:r>
          </w:p>
        </w:tc>
        <w:tc>
          <w:tcPr>
            <w:tcW w:w="6237" w:type="dxa"/>
            <w:tcBorders>
              <w:top w:val="single" w:sz="4" w:space="0" w:color="auto"/>
              <w:left w:val="single" w:sz="4" w:space="0" w:color="auto"/>
              <w:bottom w:val="single" w:sz="4" w:space="0" w:color="auto"/>
              <w:right w:val="single" w:sz="4" w:space="0" w:color="auto"/>
            </w:tcBorders>
          </w:tcPr>
          <w:p w:rsidR="008850AE" w:rsidRDefault="001E1DDD">
            <w:pPr>
              <w:pStyle w:val="11"/>
              <w:ind w:firstLineChars="0" w:firstLine="0"/>
              <w:rPr>
                <w:rFonts w:ascii="宋体" w:hAnsi="宋体"/>
                <w:sz w:val="22"/>
                <w:szCs w:val="22"/>
              </w:rPr>
            </w:pPr>
            <w:r>
              <w:rPr>
                <w:rFonts w:ascii="宋体" w:hAnsi="宋体"/>
                <w:noProof/>
                <w:position w:val="-40"/>
                <w:sz w:val="22"/>
                <w:szCs w:val="22"/>
              </w:rPr>
              <w:drawing>
                <wp:inline distT="0" distB="0" distL="114300" distR="114300" wp14:anchorId="3B7D5C1A" wp14:editId="534313C2">
                  <wp:extent cx="3810000" cy="50292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3810000" cy="502920"/>
                          </a:xfrm>
                          <a:prstGeom prst="rect">
                            <a:avLst/>
                          </a:prstGeom>
                          <a:noFill/>
                          <a:ln>
                            <a:noFill/>
                          </a:ln>
                        </pic:spPr>
                      </pic:pic>
                    </a:graphicData>
                  </a:graphic>
                </wp:inline>
              </w:drawing>
            </w:r>
          </w:p>
        </w:tc>
      </w:tr>
      <w:tr w:rsidR="008850AE">
        <w:tc>
          <w:tcPr>
            <w:tcW w:w="8613" w:type="dxa"/>
            <w:gridSpan w:val="2"/>
            <w:tcBorders>
              <w:top w:val="single" w:sz="4" w:space="0" w:color="auto"/>
              <w:left w:val="single" w:sz="4" w:space="0" w:color="auto"/>
              <w:bottom w:val="single" w:sz="4" w:space="0" w:color="auto"/>
              <w:right w:val="single" w:sz="4" w:space="0" w:color="auto"/>
            </w:tcBorders>
          </w:tcPr>
          <w:p w:rsidR="008850AE" w:rsidRDefault="001E1DDD">
            <w:pPr>
              <w:pStyle w:val="11"/>
              <w:snapToGrid w:val="0"/>
              <w:ind w:firstLineChars="0" w:firstLine="0"/>
              <w:rPr>
                <w:rFonts w:ascii="宋体" w:hAnsi="宋体"/>
                <w:sz w:val="22"/>
                <w:szCs w:val="22"/>
              </w:rPr>
            </w:pPr>
            <w:r>
              <w:rPr>
                <w:rFonts w:ascii="宋体" w:hAnsi="宋体"/>
                <w:noProof/>
                <w:position w:val="-14"/>
                <w:sz w:val="22"/>
                <w:szCs w:val="22"/>
              </w:rPr>
              <w:drawing>
                <wp:inline distT="0" distB="0" distL="114300" distR="114300" wp14:anchorId="4F59C9CD" wp14:editId="429F8C86">
                  <wp:extent cx="533400" cy="23622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533400" cy="236220"/>
                          </a:xfrm>
                          <a:prstGeom prst="rect">
                            <a:avLst/>
                          </a:prstGeom>
                          <a:noFill/>
                          <a:ln>
                            <a:noFill/>
                          </a:ln>
                        </pic:spPr>
                      </pic:pic>
                    </a:graphicData>
                  </a:graphic>
                </wp:inline>
              </w:drawing>
            </w:r>
            <w:r>
              <w:rPr>
                <w:rFonts w:ascii="宋体" w:hAnsi="宋体"/>
                <w:sz w:val="22"/>
                <w:szCs w:val="22"/>
              </w:rPr>
              <w:t>为每个抵消组合内全部交易的附加暴露；</w:t>
            </w:r>
            <w:r>
              <w:rPr>
                <w:rFonts w:ascii="宋体" w:hAnsi="宋体"/>
                <w:noProof/>
                <w:position w:val="-14"/>
                <w:sz w:val="22"/>
                <w:szCs w:val="22"/>
              </w:rPr>
              <w:drawing>
                <wp:inline distT="0" distB="0" distL="114300" distR="114300" wp14:anchorId="7DDEBC5B" wp14:editId="64ECDA6E">
                  <wp:extent cx="190500" cy="236220"/>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90500" cy="236220"/>
                          </a:xfrm>
                          <a:prstGeom prst="rect">
                            <a:avLst/>
                          </a:prstGeom>
                          <a:noFill/>
                          <a:ln>
                            <a:noFill/>
                          </a:ln>
                        </pic:spPr>
                      </pic:pic>
                    </a:graphicData>
                  </a:graphic>
                </wp:inline>
              </w:drawing>
            </w:r>
            <w:r>
              <w:rPr>
                <w:rFonts w:ascii="宋体" w:hAnsi="宋体"/>
                <w:sz w:val="22"/>
                <w:szCs w:val="22"/>
              </w:rPr>
              <w:t>为监管相关系数，详见表2。</w:t>
            </w:r>
          </w:p>
        </w:tc>
      </w:tr>
    </w:tbl>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t>（5）单个抵消组合内附加暴露的计算公式如下：</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237"/>
      </w:tblGrid>
      <w:tr w:rsidR="008850AE">
        <w:tc>
          <w:tcPr>
            <w:tcW w:w="2376" w:type="dxa"/>
            <w:tcBorders>
              <w:top w:val="single" w:sz="4" w:space="0" w:color="auto"/>
              <w:left w:val="single" w:sz="4" w:space="0" w:color="auto"/>
              <w:bottom w:val="single" w:sz="4" w:space="0" w:color="auto"/>
              <w:right w:val="single" w:sz="4" w:space="0" w:color="auto"/>
            </w:tcBorders>
            <w:vAlign w:val="center"/>
          </w:tcPr>
          <w:p w:rsidR="008850AE" w:rsidRDefault="001E1DDD">
            <w:pPr>
              <w:pStyle w:val="11"/>
              <w:ind w:firstLineChars="0" w:firstLine="0"/>
              <w:rPr>
                <w:rFonts w:ascii="宋体" w:hAnsi="宋体"/>
                <w:sz w:val="22"/>
                <w:szCs w:val="22"/>
              </w:rPr>
            </w:pPr>
            <w:r>
              <w:rPr>
                <w:rFonts w:ascii="宋体" w:hAnsi="宋体" w:hint="eastAsia"/>
                <w:sz w:val="22"/>
                <w:szCs w:val="22"/>
              </w:rPr>
              <w:t>汇率</w:t>
            </w:r>
            <w:r>
              <w:rPr>
                <w:rFonts w:ascii="宋体" w:hAnsi="宋体"/>
                <w:sz w:val="22"/>
                <w:szCs w:val="22"/>
              </w:rPr>
              <w:t>类</w:t>
            </w:r>
          </w:p>
        </w:tc>
        <w:tc>
          <w:tcPr>
            <w:tcW w:w="6237" w:type="dxa"/>
            <w:tcBorders>
              <w:top w:val="single" w:sz="4" w:space="0" w:color="auto"/>
              <w:left w:val="single" w:sz="4" w:space="0" w:color="auto"/>
              <w:bottom w:val="single" w:sz="4" w:space="0" w:color="auto"/>
              <w:right w:val="single" w:sz="4" w:space="0" w:color="auto"/>
            </w:tcBorders>
          </w:tcPr>
          <w:p w:rsidR="008850AE" w:rsidRDefault="001E1DDD">
            <w:pPr>
              <w:pStyle w:val="11"/>
              <w:ind w:firstLineChars="0" w:firstLine="0"/>
              <w:rPr>
                <w:rFonts w:ascii="宋体" w:hAnsi="宋体"/>
                <w:sz w:val="22"/>
                <w:szCs w:val="22"/>
              </w:rPr>
            </w:pPr>
            <w:r>
              <w:rPr>
                <w:rFonts w:ascii="宋体" w:hAnsi="宋体"/>
                <w:noProof/>
                <w:sz w:val="22"/>
                <w:szCs w:val="22"/>
              </w:rPr>
              <w:drawing>
                <wp:inline distT="0" distB="0" distL="114300" distR="114300" wp14:anchorId="6D849309" wp14:editId="1209C1C0">
                  <wp:extent cx="2209800" cy="274320"/>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2209800" cy="274320"/>
                          </a:xfrm>
                          <a:prstGeom prst="rect">
                            <a:avLst/>
                          </a:prstGeom>
                          <a:noFill/>
                          <a:ln>
                            <a:noFill/>
                          </a:ln>
                        </pic:spPr>
                      </pic:pic>
                    </a:graphicData>
                  </a:graphic>
                </wp:inline>
              </w:drawing>
            </w:r>
          </w:p>
        </w:tc>
      </w:tr>
      <w:tr w:rsidR="008850AE">
        <w:tc>
          <w:tcPr>
            <w:tcW w:w="2376" w:type="dxa"/>
            <w:tcBorders>
              <w:top w:val="single" w:sz="4" w:space="0" w:color="auto"/>
              <w:left w:val="single" w:sz="4" w:space="0" w:color="auto"/>
              <w:bottom w:val="single" w:sz="4" w:space="0" w:color="auto"/>
              <w:right w:val="single" w:sz="4" w:space="0" w:color="auto"/>
            </w:tcBorders>
            <w:vAlign w:val="center"/>
          </w:tcPr>
          <w:p w:rsidR="008850AE" w:rsidRDefault="001E1DDD">
            <w:pPr>
              <w:pStyle w:val="11"/>
              <w:ind w:firstLineChars="0" w:firstLine="0"/>
              <w:rPr>
                <w:rFonts w:ascii="宋体" w:hAnsi="宋体"/>
                <w:sz w:val="22"/>
                <w:szCs w:val="22"/>
              </w:rPr>
            </w:pPr>
            <w:r>
              <w:rPr>
                <w:rFonts w:ascii="宋体" w:hAnsi="宋体"/>
                <w:sz w:val="22"/>
                <w:szCs w:val="22"/>
              </w:rPr>
              <w:t>商品类</w:t>
            </w:r>
          </w:p>
        </w:tc>
        <w:tc>
          <w:tcPr>
            <w:tcW w:w="6237" w:type="dxa"/>
            <w:tcBorders>
              <w:top w:val="single" w:sz="4" w:space="0" w:color="auto"/>
              <w:left w:val="single" w:sz="4" w:space="0" w:color="auto"/>
              <w:bottom w:val="single" w:sz="4" w:space="0" w:color="auto"/>
              <w:right w:val="single" w:sz="4" w:space="0" w:color="auto"/>
            </w:tcBorders>
          </w:tcPr>
          <w:p w:rsidR="008850AE" w:rsidRDefault="001E1DDD">
            <w:pPr>
              <w:pStyle w:val="11"/>
              <w:ind w:firstLineChars="0" w:firstLine="0"/>
              <w:rPr>
                <w:rFonts w:ascii="宋体" w:hAnsi="宋体"/>
                <w:sz w:val="22"/>
                <w:szCs w:val="22"/>
              </w:rPr>
            </w:pPr>
            <w:r>
              <w:rPr>
                <w:rFonts w:ascii="宋体" w:hAnsi="宋体"/>
                <w:noProof/>
                <w:position w:val="-36"/>
                <w:sz w:val="22"/>
                <w:szCs w:val="22"/>
              </w:rPr>
              <w:drawing>
                <wp:inline distT="0" distB="0" distL="114300" distR="114300" wp14:anchorId="1B5A916F" wp14:editId="7C8A0904">
                  <wp:extent cx="3878580" cy="617220"/>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9"/>
                          <a:stretch>
                            <a:fillRect/>
                          </a:stretch>
                        </pic:blipFill>
                        <pic:spPr>
                          <a:xfrm>
                            <a:off x="0" y="0"/>
                            <a:ext cx="3878580" cy="617220"/>
                          </a:xfrm>
                          <a:prstGeom prst="rect">
                            <a:avLst/>
                          </a:prstGeom>
                          <a:noFill/>
                          <a:ln>
                            <a:noFill/>
                          </a:ln>
                        </pic:spPr>
                      </pic:pic>
                    </a:graphicData>
                  </a:graphic>
                </wp:inline>
              </w:drawing>
            </w:r>
            <w:r>
              <w:rPr>
                <w:rFonts w:ascii="宋体" w:hAnsi="宋体"/>
                <w:sz w:val="22"/>
                <w:szCs w:val="22"/>
              </w:rPr>
              <w:t>其中，</w:t>
            </w:r>
            <w:r>
              <w:rPr>
                <w:rFonts w:ascii="宋体" w:hAnsi="宋体"/>
                <w:noProof/>
                <w:position w:val="-12"/>
                <w:sz w:val="22"/>
                <w:szCs w:val="22"/>
              </w:rPr>
              <w:drawing>
                <wp:inline distT="0" distB="0" distL="114300" distR="114300" wp14:anchorId="5688D969" wp14:editId="5B096DD4">
                  <wp:extent cx="533400" cy="228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0"/>
                          <a:stretch>
                            <a:fillRect/>
                          </a:stretch>
                        </pic:blipFill>
                        <pic:spPr>
                          <a:xfrm>
                            <a:off x="0" y="0"/>
                            <a:ext cx="533400" cy="228600"/>
                          </a:xfrm>
                          <a:prstGeom prst="rect">
                            <a:avLst/>
                          </a:prstGeom>
                          <a:noFill/>
                          <a:ln>
                            <a:noFill/>
                          </a:ln>
                        </pic:spPr>
                      </pic:pic>
                    </a:graphicData>
                  </a:graphic>
                </wp:inline>
              </w:drawing>
            </w:r>
            <w:r>
              <w:rPr>
                <w:rFonts w:ascii="宋体" w:hAnsi="宋体"/>
                <w:sz w:val="22"/>
                <w:szCs w:val="22"/>
              </w:rPr>
              <w:t>为每个商品子类</w:t>
            </w:r>
            <w:r>
              <w:rPr>
                <w:rFonts w:ascii="宋体" w:hAnsi="宋体"/>
                <w:i/>
                <w:iCs/>
                <w:sz w:val="22"/>
                <w:szCs w:val="22"/>
              </w:rPr>
              <w:t>k</w:t>
            </w:r>
            <w:r>
              <w:rPr>
                <w:rFonts w:ascii="宋体" w:hAnsi="宋体"/>
                <w:sz w:val="22"/>
                <w:szCs w:val="22"/>
              </w:rPr>
              <w:t>的附加暴露，计算方法为：</w:t>
            </w:r>
          </w:p>
          <w:p w:rsidR="008850AE" w:rsidRDefault="001E1DDD">
            <w:pPr>
              <w:pStyle w:val="11"/>
              <w:ind w:firstLineChars="0" w:firstLine="0"/>
              <w:rPr>
                <w:rFonts w:ascii="宋体" w:hAnsi="宋体"/>
                <w:sz w:val="22"/>
                <w:szCs w:val="22"/>
              </w:rPr>
            </w:pPr>
            <w:r>
              <w:rPr>
                <w:rFonts w:ascii="宋体" w:hAnsi="宋体"/>
                <w:noProof/>
                <w:position w:val="-12"/>
                <w:sz w:val="22"/>
                <w:szCs w:val="22"/>
              </w:rPr>
              <w:drawing>
                <wp:inline distT="0" distB="0" distL="114300" distR="114300" wp14:anchorId="13C7524F" wp14:editId="60AD5094">
                  <wp:extent cx="2164080" cy="228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2164080" cy="228600"/>
                          </a:xfrm>
                          <a:prstGeom prst="rect">
                            <a:avLst/>
                          </a:prstGeom>
                          <a:noFill/>
                          <a:ln>
                            <a:noFill/>
                          </a:ln>
                        </pic:spPr>
                      </pic:pic>
                    </a:graphicData>
                  </a:graphic>
                </wp:inline>
              </w:drawing>
            </w:r>
          </w:p>
          <w:p w:rsidR="008850AE" w:rsidRDefault="008850AE">
            <w:pPr>
              <w:pStyle w:val="11"/>
              <w:ind w:firstLineChars="0" w:firstLine="0"/>
              <w:rPr>
                <w:rFonts w:ascii="宋体" w:hAnsi="宋体"/>
                <w:sz w:val="22"/>
                <w:szCs w:val="22"/>
              </w:rPr>
            </w:pPr>
          </w:p>
        </w:tc>
      </w:tr>
      <w:tr w:rsidR="008850AE">
        <w:tc>
          <w:tcPr>
            <w:tcW w:w="2376" w:type="dxa"/>
            <w:tcBorders>
              <w:top w:val="single" w:sz="4" w:space="0" w:color="auto"/>
              <w:left w:val="single" w:sz="4" w:space="0" w:color="auto"/>
              <w:bottom w:val="single" w:sz="4" w:space="0" w:color="auto"/>
              <w:right w:val="single" w:sz="4" w:space="0" w:color="auto"/>
            </w:tcBorders>
            <w:vAlign w:val="center"/>
          </w:tcPr>
          <w:p w:rsidR="008850AE" w:rsidRDefault="001E1DDD">
            <w:pPr>
              <w:pStyle w:val="11"/>
              <w:ind w:firstLineChars="0" w:firstLine="0"/>
              <w:rPr>
                <w:rFonts w:ascii="宋体" w:hAnsi="宋体"/>
                <w:sz w:val="22"/>
                <w:szCs w:val="22"/>
              </w:rPr>
            </w:pPr>
            <w:r>
              <w:rPr>
                <w:rFonts w:ascii="宋体" w:hAnsi="宋体"/>
                <w:sz w:val="22"/>
                <w:szCs w:val="22"/>
              </w:rPr>
              <w:t>利率、信用和股票类</w:t>
            </w:r>
          </w:p>
        </w:tc>
        <w:tc>
          <w:tcPr>
            <w:tcW w:w="6237" w:type="dxa"/>
            <w:tcBorders>
              <w:top w:val="single" w:sz="4" w:space="0" w:color="auto"/>
              <w:left w:val="single" w:sz="4" w:space="0" w:color="auto"/>
              <w:bottom w:val="single" w:sz="4" w:space="0" w:color="auto"/>
              <w:right w:val="single" w:sz="4" w:space="0" w:color="auto"/>
            </w:tcBorders>
          </w:tcPr>
          <w:p w:rsidR="008850AE" w:rsidRDefault="001E1DDD">
            <w:pPr>
              <w:pStyle w:val="11"/>
              <w:ind w:firstLineChars="0" w:firstLine="0"/>
              <w:rPr>
                <w:rFonts w:ascii="宋体" w:hAnsi="宋体"/>
                <w:sz w:val="22"/>
                <w:szCs w:val="22"/>
              </w:rPr>
            </w:pPr>
            <w:r>
              <w:rPr>
                <w:rFonts w:ascii="宋体" w:hAnsi="宋体"/>
                <w:noProof/>
                <w:position w:val="-14"/>
                <w:sz w:val="22"/>
                <w:szCs w:val="22"/>
              </w:rPr>
              <w:drawing>
                <wp:inline distT="0" distB="0" distL="114300" distR="114300" wp14:anchorId="73F91A39" wp14:editId="36700274">
                  <wp:extent cx="2141220" cy="236220"/>
                  <wp:effectExtent l="0" t="0" r="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2"/>
                          <a:stretch>
                            <a:fillRect/>
                          </a:stretch>
                        </pic:blipFill>
                        <pic:spPr>
                          <a:xfrm>
                            <a:off x="0" y="0"/>
                            <a:ext cx="2141220" cy="236220"/>
                          </a:xfrm>
                          <a:prstGeom prst="rect">
                            <a:avLst/>
                          </a:prstGeom>
                          <a:noFill/>
                          <a:ln>
                            <a:noFill/>
                          </a:ln>
                        </pic:spPr>
                      </pic:pic>
                    </a:graphicData>
                  </a:graphic>
                </wp:inline>
              </w:drawing>
            </w:r>
          </w:p>
        </w:tc>
      </w:tr>
      <w:tr w:rsidR="008850AE">
        <w:tc>
          <w:tcPr>
            <w:tcW w:w="8613" w:type="dxa"/>
            <w:gridSpan w:val="2"/>
            <w:tcBorders>
              <w:top w:val="single" w:sz="4" w:space="0" w:color="auto"/>
              <w:left w:val="single" w:sz="4" w:space="0" w:color="auto"/>
              <w:bottom w:val="single" w:sz="4" w:space="0" w:color="auto"/>
              <w:right w:val="single" w:sz="4" w:space="0" w:color="auto"/>
            </w:tcBorders>
          </w:tcPr>
          <w:p w:rsidR="008850AE" w:rsidRDefault="001E1DDD">
            <w:pPr>
              <w:pStyle w:val="11"/>
              <w:ind w:firstLineChars="0" w:firstLine="0"/>
              <w:rPr>
                <w:rFonts w:ascii="宋体" w:hAnsi="宋体"/>
                <w:sz w:val="22"/>
                <w:szCs w:val="22"/>
              </w:rPr>
            </w:pPr>
            <w:r>
              <w:rPr>
                <w:rFonts w:ascii="宋体" w:hAnsi="宋体"/>
                <w:sz w:val="22"/>
                <w:szCs w:val="22"/>
              </w:rPr>
              <w:t>其中：</w:t>
            </w:r>
            <w:r>
              <w:rPr>
                <w:rFonts w:ascii="宋体" w:hAnsi="宋体"/>
                <w:i/>
                <w:iCs/>
                <w:sz w:val="22"/>
                <w:szCs w:val="22"/>
              </w:rPr>
              <w:t>SF</w:t>
            </w:r>
            <w:r>
              <w:rPr>
                <w:rFonts w:ascii="宋体" w:hAnsi="宋体"/>
                <w:sz w:val="22"/>
                <w:szCs w:val="22"/>
              </w:rPr>
              <w:t>为监管因子，根据表2确定；</w:t>
            </w:r>
          </w:p>
          <w:p w:rsidR="008850AE" w:rsidRDefault="001E1DDD">
            <w:pPr>
              <w:pStyle w:val="11"/>
              <w:ind w:firstLineChars="0" w:firstLine="0"/>
              <w:rPr>
                <w:rFonts w:ascii="宋体" w:hAnsi="宋体"/>
                <w:sz w:val="22"/>
                <w:szCs w:val="22"/>
              </w:rPr>
            </w:pPr>
            <w:proofErr w:type="spellStart"/>
            <w:r>
              <w:rPr>
                <w:rFonts w:ascii="宋体" w:hAnsi="宋体"/>
                <w:i/>
                <w:iCs/>
                <w:sz w:val="22"/>
                <w:szCs w:val="22"/>
              </w:rPr>
              <w:t>EffectiveNotional</w:t>
            </w:r>
            <w:proofErr w:type="spellEnd"/>
            <w:r>
              <w:rPr>
                <w:rFonts w:ascii="宋体" w:hAnsi="宋体"/>
                <w:sz w:val="22"/>
                <w:szCs w:val="22"/>
              </w:rPr>
              <w:t>为有效名义本金，商品类为单个商品子类的有效名义本金，其余类型为单个抵消组合的有效名义本金。</w:t>
            </w:r>
          </w:p>
        </w:tc>
      </w:tr>
    </w:tbl>
    <w:p w:rsidR="008850AE" w:rsidRDefault="001E1DDD" w:rsidP="00CF7888">
      <w:pPr>
        <w:widowControl/>
        <w:spacing w:beforeLines="50" w:before="156" w:line="480" w:lineRule="exact"/>
        <w:ind w:firstLineChars="200" w:firstLine="562"/>
        <w:jc w:val="center"/>
        <w:rPr>
          <w:rFonts w:ascii="Times New Roman" w:eastAsia="楷体_GB2312" w:hAnsi="Times New Roman" w:cs="Times New Roman"/>
          <w:b/>
          <w:sz w:val="28"/>
          <w:szCs w:val="28"/>
        </w:rPr>
      </w:pPr>
      <w:r>
        <w:rPr>
          <w:rFonts w:ascii="Times New Roman" w:eastAsia="楷体_GB2312" w:hAnsi="Times New Roman" w:cs="Times New Roman"/>
          <w:b/>
          <w:sz w:val="28"/>
          <w:szCs w:val="28"/>
        </w:rPr>
        <w:t>表</w:t>
      </w:r>
      <w:r>
        <w:rPr>
          <w:rFonts w:ascii="仿宋_GB2312" w:eastAsia="仿宋_GB2312" w:hAnsi="Times New Roman" w:cs="Times New Roman" w:hint="eastAsia"/>
          <w:b/>
          <w:sz w:val="28"/>
          <w:szCs w:val="28"/>
        </w:rPr>
        <w:t>2</w:t>
      </w:r>
      <w:r>
        <w:rPr>
          <w:rFonts w:ascii="Times New Roman" w:eastAsia="楷体_GB2312" w:hAnsi="Times New Roman" w:cs="Times New Roman"/>
          <w:b/>
          <w:sz w:val="28"/>
          <w:szCs w:val="28"/>
        </w:rPr>
        <w:t>监管系数表汇总表</w:t>
      </w:r>
    </w:p>
    <w:tbl>
      <w:tblPr>
        <w:tblStyle w:val="a8"/>
        <w:tblW w:w="0" w:type="auto"/>
        <w:tblLook w:val="04A0" w:firstRow="1" w:lastRow="0" w:firstColumn="1" w:lastColumn="0" w:noHBand="0" w:noVBand="1"/>
      </w:tblPr>
      <w:tblGrid>
        <w:gridCol w:w="1704"/>
        <w:gridCol w:w="1704"/>
        <w:gridCol w:w="1704"/>
        <w:gridCol w:w="1705"/>
        <w:gridCol w:w="1705"/>
      </w:tblGrid>
      <w:tr w:rsidR="008850AE">
        <w:tc>
          <w:tcPr>
            <w:tcW w:w="1704" w:type="dxa"/>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b/>
                <w:kern w:val="0"/>
                <w:sz w:val="22"/>
              </w:rPr>
              <w:t>类别</w:t>
            </w:r>
          </w:p>
        </w:tc>
        <w:tc>
          <w:tcPr>
            <w:tcW w:w="1704" w:type="dxa"/>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b/>
                <w:kern w:val="0"/>
                <w:sz w:val="22"/>
              </w:rPr>
              <w:t>子类</w:t>
            </w:r>
          </w:p>
        </w:tc>
        <w:tc>
          <w:tcPr>
            <w:tcW w:w="1704" w:type="dxa"/>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b/>
                <w:kern w:val="0"/>
                <w:sz w:val="22"/>
              </w:rPr>
              <w:t>监管因子</w:t>
            </w:r>
          </w:p>
        </w:tc>
        <w:tc>
          <w:tcPr>
            <w:tcW w:w="1705" w:type="dxa"/>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b/>
                <w:kern w:val="0"/>
                <w:sz w:val="22"/>
              </w:rPr>
              <w:t>监管相关系数</w:t>
            </w:r>
          </w:p>
        </w:tc>
        <w:tc>
          <w:tcPr>
            <w:tcW w:w="1705" w:type="dxa"/>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b/>
                <w:kern w:val="0"/>
                <w:sz w:val="22"/>
              </w:rPr>
              <w:t>监管波动率</w:t>
            </w:r>
          </w:p>
        </w:tc>
      </w:tr>
      <w:tr w:rsidR="008850AE">
        <w:tc>
          <w:tcPr>
            <w:tcW w:w="1704" w:type="dxa"/>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利率</w:t>
            </w:r>
          </w:p>
        </w:tc>
        <w:tc>
          <w:tcPr>
            <w:tcW w:w="1704" w:type="dxa"/>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0.50%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N/A</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50%</w:t>
            </w:r>
          </w:p>
        </w:tc>
      </w:tr>
      <w:tr w:rsidR="008850AE">
        <w:tc>
          <w:tcPr>
            <w:tcW w:w="1704" w:type="dxa"/>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hint="eastAsia"/>
                <w:kern w:val="0"/>
                <w:sz w:val="22"/>
              </w:rPr>
              <w:t>汇率</w:t>
            </w:r>
          </w:p>
        </w:tc>
        <w:tc>
          <w:tcPr>
            <w:tcW w:w="1704" w:type="dxa"/>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4.0%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N/A</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15%</w:t>
            </w:r>
          </w:p>
        </w:tc>
      </w:tr>
      <w:tr w:rsidR="008850AE">
        <w:tc>
          <w:tcPr>
            <w:tcW w:w="1704" w:type="dxa"/>
            <w:vMerge w:val="restart"/>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信用，单一</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AAA</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0.38%</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50%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100%</w:t>
            </w:r>
          </w:p>
        </w:tc>
      </w:tr>
      <w:tr w:rsidR="008850AE">
        <w:tc>
          <w:tcPr>
            <w:tcW w:w="1704" w:type="dxa"/>
            <w:vMerge/>
            <w:vAlign w:val="center"/>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AA</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0.38%</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50%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100%</w:t>
            </w:r>
          </w:p>
        </w:tc>
      </w:tr>
      <w:tr w:rsidR="008850AE">
        <w:tc>
          <w:tcPr>
            <w:tcW w:w="1704" w:type="dxa"/>
            <w:vMerge/>
            <w:vAlign w:val="center"/>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A</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0.42%</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50%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100%</w:t>
            </w:r>
          </w:p>
        </w:tc>
      </w:tr>
      <w:tr w:rsidR="008850AE">
        <w:tc>
          <w:tcPr>
            <w:tcW w:w="1704" w:type="dxa"/>
            <w:vMerge/>
            <w:vAlign w:val="center"/>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BBB</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0.54%</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50%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100%</w:t>
            </w:r>
          </w:p>
        </w:tc>
      </w:tr>
      <w:tr w:rsidR="008850AE">
        <w:tc>
          <w:tcPr>
            <w:tcW w:w="1704" w:type="dxa"/>
            <w:vMerge/>
            <w:vAlign w:val="center"/>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BB或无评级</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1.06%</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50%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100%</w:t>
            </w:r>
          </w:p>
        </w:tc>
      </w:tr>
      <w:tr w:rsidR="008850AE">
        <w:tc>
          <w:tcPr>
            <w:tcW w:w="1704" w:type="dxa"/>
            <w:vMerge/>
            <w:vAlign w:val="center"/>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B</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1.6%</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50%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100%</w:t>
            </w:r>
          </w:p>
        </w:tc>
      </w:tr>
      <w:tr w:rsidR="008850AE">
        <w:tc>
          <w:tcPr>
            <w:tcW w:w="1704" w:type="dxa"/>
            <w:vMerge/>
            <w:vAlign w:val="center"/>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CCC</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6.0%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50%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100%</w:t>
            </w:r>
          </w:p>
        </w:tc>
      </w:tr>
      <w:tr w:rsidR="008850AE">
        <w:tc>
          <w:tcPr>
            <w:tcW w:w="1704" w:type="dxa"/>
            <w:vMerge w:val="restart"/>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信用，指数</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IG</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0.38%</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80%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80%</w:t>
            </w:r>
          </w:p>
        </w:tc>
      </w:tr>
      <w:tr w:rsidR="008850AE">
        <w:tc>
          <w:tcPr>
            <w:tcW w:w="1704" w:type="dxa"/>
            <w:vMerge/>
            <w:vAlign w:val="center"/>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SG</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1.06%</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80%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80%</w:t>
            </w:r>
          </w:p>
        </w:tc>
      </w:tr>
      <w:tr w:rsidR="008850AE">
        <w:tc>
          <w:tcPr>
            <w:tcW w:w="1704" w:type="dxa"/>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股票，单一</w:t>
            </w:r>
          </w:p>
        </w:tc>
        <w:tc>
          <w:tcPr>
            <w:tcW w:w="1704" w:type="dxa"/>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32%</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50%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120%</w:t>
            </w:r>
          </w:p>
        </w:tc>
      </w:tr>
      <w:tr w:rsidR="008850AE">
        <w:tc>
          <w:tcPr>
            <w:tcW w:w="1704" w:type="dxa"/>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股票，指数</w:t>
            </w:r>
          </w:p>
        </w:tc>
        <w:tc>
          <w:tcPr>
            <w:tcW w:w="1704" w:type="dxa"/>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20%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80%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75%</w:t>
            </w:r>
          </w:p>
        </w:tc>
      </w:tr>
      <w:tr w:rsidR="008850AE">
        <w:tc>
          <w:tcPr>
            <w:tcW w:w="1704" w:type="dxa"/>
            <w:vMerge w:val="restart"/>
            <w:vAlign w:val="center"/>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商品</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电力</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40%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40%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150%</w:t>
            </w:r>
          </w:p>
        </w:tc>
      </w:tr>
      <w:tr w:rsidR="008850AE">
        <w:tc>
          <w:tcPr>
            <w:tcW w:w="1704" w:type="dxa"/>
            <w:vMerge/>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油/气</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18%</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40%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70%</w:t>
            </w:r>
          </w:p>
        </w:tc>
      </w:tr>
      <w:tr w:rsidR="008850AE">
        <w:tc>
          <w:tcPr>
            <w:tcW w:w="1704" w:type="dxa"/>
            <w:vMerge/>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金属</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18%</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40%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70%</w:t>
            </w:r>
          </w:p>
        </w:tc>
      </w:tr>
      <w:tr w:rsidR="008850AE">
        <w:tc>
          <w:tcPr>
            <w:tcW w:w="1704" w:type="dxa"/>
            <w:vMerge/>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农业</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18%</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40%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70%</w:t>
            </w:r>
          </w:p>
        </w:tc>
      </w:tr>
      <w:tr w:rsidR="008850AE">
        <w:tc>
          <w:tcPr>
            <w:tcW w:w="1704" w:type="dxa"/>
            <w:vMerge/>
          </w:tcPr>
          <w:p w:rsidR="008850AE" w:rsidRDefault="008850AE" w:rsidP="00CF7888">
            <w:pPr>
              <w:jc w:val="center"/>
              <w:rPr>
                <w:rFonts w:ascii="宋体" w:eastAsia="宋体" w:hAnsi="宋体" w:cs="Times New Roman"/>
                <w:kern w:val="0"/>
                <w:sz w:val="22"/>
              </w:rPr>
            </w:pP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其他</w:t>
            </w:r>
          </w:p>
        </w:tc>
        <w:tc>
          <w:tcPr>
            <w:tcW w:w="1704"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18%</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40%</w:t>
            </w:r>
          </w:p>
        </w:tc>
        <w:tc>
          <w:tcPr>
            <w:tcW w:w="1705" w:type="dxa"/>
          </w:tcPr>
          <w:p w:rsidR="008850AE" w:rsidRDefault="001E1DDD" w:rsidP="00CF7888">
            <w:pPr>
              <w:jc w:val="center"/>
              <w:rPr>
                <w:rFonts w:ascii="宋体" w:eastAsia="宋体" w:hAnsi="宋体" w:cs="Times New Roman"/>
                <w:kern w:val="0"/>
                <w:sz w:val="22"/>
              </w:rPr>
            </w:pPr>
            <w:r>
              <w:rPr>
                <w:rFonts w:ascii="宋体" w:eastAsia="宋体" w:hAnsi="宋体" w:cs="Times New Roman"/>
                <w:kern w:val="0"/>
                <w:sz w:val="22"/>
              </w:rPr>
              <w:t>70%</w:t>
            </w:r>
          </w:p>
        </w:tc>
      </w:tr>
    </w:tbl>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（6）商业银行可选择以下方法之一，计算利率类衍生工具</w:t>
      </w:r>
      <w:r>
        <w:rPr>
          <w:rFonts w:ascii="仿宋_GB2312" w:eastAsia="仿宋_GB2312" w:hAnsi="Times New Roman" w:cs="Times New Roman" w:hint="eastAsia"/>
          <w:bCs/>
          <w:sz w:val="30"/>
          <w:szCs w:val="30"/>
        </w:rPr>
        <w:lastRenderedPageBreak/>
        <w:t>单个抵消组合的有效名义本金：</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a.考虑跨期限抵消</w:t>
      </w:r>
    </w:p>
    <w:p w:rsidR="008850AE" w:rsidRDefault="001E1DDD" w:rsidP="00CF7888">
      <w:pPr>
        <w:spacing w:beforeLines="50" w:before="156" w:afterLines="50" w:after="156" w:line="800" w:lineRule="exact"/>
        <w:jc w:val="center"/>
        <w:rPr>
          <w:rFonts w:ascii="仿宋_GB2312" w:eastAsia="仿宋_GB2312" w:hAnsi="Times New Roman" w:cs="Times New Roman"/>
          <w:sz w:val="30"/>
          <w:szCs w:val="30"/>
        </w:rPr>
      </w:pPr>
      <w:r>
        <w:rPr>
          <w:rFonts w:ascii="仿宋_GB2312" w:eastAsia="仿宋_GB2312" w:hAnsi="Times New Roman" w:cs="Times New Roman"/>
          <w:noProof/>
          <w:sz w:val="30"/>
          <w:szCs w:val="30"/>
        </w:rPr>
        <w:drawing>
          <wp:inline distT="0" distB="0" distL="114300" distR="114300" wp14:anchorId="2792843C" wp14:editId="3AE7B588">
            <wp:extent cx="4876800" cy="44958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3"/>
                    <a:stretch>
                      <a:fillRect/>
                    </a:stretch>
                  </pic:blipFill>
                  <pic:spPr>
                    <a:xfrm>
                      <a:off x="0" y="0"/>
                      <a:ext cx="4876800" cy="44958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b.不考虑跨期限抵消</w:t>
      </w:r>
    </w:p>
    <w:bookmarkStart w:id="1" w:name="MTBlankEqn"/>
    <w:p w:rsidR="008850AE" w:rsidRDefault="001E1DDD" w:rsidP="00CF7888">
      <w:pPr>
        <w:spacing w:beforeLines="50" w:before="156" w:afterLines="50" w:after="156" w:line="480" w:lineRule="exact"/>
        <w:ind w:firstLineChars="200" w:firstLine="600"/>
        <w:jc w:val="center"/>
        <w:rPr>
          <w:rFonts w:ascii="仿宋_GB2312" w:eastAsia="仿宋_GB2312" w:hAnsi="Calibri" w:cs="Times New Roman"/>
          <w:position w:val="-16"/>
          <w:sz w:val="30"/>
          <w:szCs w:val="30"/>
        </w:rPr>
      </w:pPr>
      <w:r>
        <w:rPr>
          <w:rFonts w:ascii="仿宋_GB2312" w:eastAsia="仿宋_GB2312" w:hAnsi="Calibri" w:cs="Times New Roman" w:hint="eastAsia"/>
          <w:position w:val="-16"/>
          <w:sz w:val="30"/>
          <w:szCs w:val="30"/>
        </w:rPr>
        <w:object w:dxaOrig="3780" w:dyaOrig="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9pt;height:22.3pt" o:ole="">
            <v:imagedata r:id="rId24" o:title=""/>
          </v:shape>
          <o:OLEObject Type="Embed" ProgID="Equation.DSMT4" ShapeID="_x0000_i1025" DrawAspect="Content" ObjectID="_1738154549" r:id="rId25"/>
        </w:object>
      </w:r>
      <w:bookmarkEnd w:id="1"/>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利率类衍生工具应先计算单个抵消组合j下各时段内的有效名义本金，时段应根据交易终止日划分为三种：少于1年，1年至5年之间，大于5年。各时段内有效名义本金计算公式如下：</w:t>
      </w:r>
    </w:p>
    <w:p w:rsidR="008850AE" w:rsidRDefault="001E1DDD" w:rsidP="00CF7888">
      <w:pPr>
        <w:jc w:val="center"/>
        <w:rPr>
          <w:rFonts w:ascii="仿宋_GB2312" w:eastAsia="仿宋_GB2312" w:hAnsi="Times New Roman" w:cs="Times New Roman"/>
          <w:position w:val="-28"/>
          <w:sz w:val="30"/>
          <w:szCs w:val="30"/>
        </w:rPr>
      </w:pPr>
      <w:r>
        <w:rPr>
          <w:rFonts w:ascii="仿宋_GB2312" w:eastAsia="仿宋_GB2312" w:hAnsi="Times New Roman" w:cs="Times New Roman"/>
          <w:noProof/>
          <w:position w:val="-28"/>
          <w:sz w:val="30"/>
          <w:szCs w:val="30"/>
        </w:rPr>
        <w:drawing>
          <wp:inline distT="0" distB="0" distL="114300" distR="114300" wp14:anchorId="7D721581" wp14:editId="1CAFED9A">
            <wp:extent cx="1661160" cy="426720"/>
            <wp:effectExtent l="0" t="0" r="0" b="0"/>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pic:cNvPicPr>
                      <a:picLocks noChangeAspect="1"/>
                    </pic:cNvPicPr>
                  </pic:nvPicPr>
                  <pic:blipFill>
                    <a:blip r:embed="rId26"/>
                    <a:stretch>
                      <a:fillRect/>
                    </a:stretch>
                  </pic:blipFill>
                  <pic:spPr>
                    <a:xfrm>
                      <a:off x="0" y="0"/>
                      <a:ext cx="1661160" cy="42672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δ为监管得尔塔系数，按照下表3的分类计算；其中，对于亚式期权，标的价格应等于盈亏回报中使用的当前平均值；对于美式期权和百慕大期权，应使用最近一个可行权日期作为公式中的行权日期</w:t>
      </w:r>
      <w:proofErr w:type="spellStart"/>
      <w:r>
        <w:rPr>
          <w:rFonts w:ascii="仿宋_GB2312" w:eastAsia="仿宋_GB2312" w:hAnsi="Times New Roman" w:cs="Times New Roman" w:hint="eastAsia"/>
          <w:bCs/>
          <w:sz w:val="30"/>
          <w:szCs w:val="30"/>
        </w:rPr>
        <w:t>Ti</w:t>
      </w:r>
      <w:proofErr w:type="spellEnd"/>
      <w:r>
        <w:rPr>
          <w:rFonts w:ascii="仿宋_GB2312" w:eastAsia="仿宋_GB2312" w:hAnsi="Times New Roman" w:cs="Times New Roman" w:hint="eastAsia"/>
          <w:bCs/>
          <w:sz w:val="30"/>
          <w:szCs w:val="30"/>
        </w:rPr>
        <w:t>。</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d为调整后的名义本金；</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MF为反映不同类型衍生工具交易持有期的期限因子；</w:t>
      </w:r>
    </w:p>
    <w:p w:rsidR="008850AE" w:rsidRDefault="001E1DDD" w:rsidP="00CF7888">
      <w:pPr>
        <w:widowControl/>
        <w:spacing w:line="480" w:lineRule="exact"/>
        <w:ind w:firstLineChars="200" w:firstLine="562"/>
        <w:jc w:val="center"/>
        <w:rPr>
          <w:rFonts w:ascii="Times New Roman" w:eastAsia="楷体_GB2312" w:hAnsi="Times New Roman" w:cs="Times New Roman"/>
          <w:b/>
          <w:sz w:val="28"/>
          <w:szCs w:val="28"/>
        </w:rPr>
      </w:pPr>
      <w:r>
        <w:rPr>
          <w:rFonts w:ascii="Times New Roman" w:eastAsia="楷体_GB2312" w:hAnsi="Times New Roman" w:cs="Times New Roman"/>
          <w:b/>
          <w:sz w:val="28"/>
          <w:szCs w:val="28"/>
        </w:rPr>
        <w:t>表</w:t>
      </w:r>
      <w:r>
        <w:rPr>
          <w:rFonts w:ascii="楷体_GB2312" w:eastAsia="楷体_GB2312" w:hAnsi="Times New Roman" w:cs="Times New Roman" w:hint="eastAsia"/>
          <w:b/>
          <w:sz w:val="28"/>
          <w:szCs w:val="28"/>
        </w:rPr>
        <w:t>3</w:t>
      </w:r>
      <w:r>
        <w:rPr>
          <w:rFonts w:ascii="Times New Roman" w:eastAsia="楷体_GB2312" w:hAnsi="Times New Roman" w:cs="Times New Roman"/>
          <w:b/>
          <w:sz w:val="28"/>
          <w:szCs w:val="28"/>
        </w:rPr>
        <w:t xml:space="preserve"> </w:t>
      </w:r>
      <w:r>
        <w:rPr>
          <w:rFonts w:ascii="Times New Roman" w:eastAsia="楷体_GB2312" w:hAnsi="Times New Roman" w:cs="Times New Roman"/>
          <w:b/>
          <w:sz w:val="28"/>
          <w:szCs w:val="28"/>
        </w:rPr>
        <w:t>监管得尔塔系数计算方法</w:t>
      </w:r>
    </w:p>
    <w:tbl>
      <w:tblPr>
        <w:tblStyle w:val="a8"/>
        <w:tblW w:w="7996" w:type="dxa"/>
        <w:tblLayout w:type="fixed"/>
        <w:tblLook w:val="04A0" w:firstRow="1" w:lastRow="0" w:firstColumn="1" w:lastColumn="0" w:noHBand="0" w:noVBand="1"/>
      </w:tblPr>
      <w:tblGrid>
        <w:gridCol w:w="2665"/>
        <w:gridCol w:w="2665"/>
        <w:gridCol w:w="2666"/>
      </w:tblGrid>
      <w:tr w:rsidR="008850AE">
        <w:tc>
          <w:tcPr>
            <w:tcW w:w="2665" w:type="dxa"/>
            <w:vAlign w:val="center"/>
          </w:tcPr>
          <w:p w:rsidR="008850AE" w:rsidRDefault="001E1DDD">
            <w:pPr>
              <w:rPr>
                <w:rFonts w:ascii="宋体" w:eastAsia="宋体" w:hAnsi="宋体" w:cs="Times New Roman"/>
                <w:kern w:val="0"/>
                <w:sz w:val="22"/>
              </w:rPr>
            </w:pPr>
            <w:r>
              <w:rPr>
                <w:rFonts w:ascii="宋体" w:eastAsia="宋体" w:hAnsi="宋体" w:cs="Times New Roman"/>
                <w:noProof/>
                <w:position w:val="-12"/>
                <w:sz w:val="22"/>
              </w:rPr>
              <w:drawing>
                <wp:inline distT="0" distB="0" distL="114300" distR="114300" wp14:anchorId="34F61D40" wp14:editId="60CCFD9C">
                  <wp:extent cx="152400" cy="228600"/>
                  <wp:effectExtent l="0" t="0" r="0" b="0"/>
                  <wp:docPr id="18" name="图片 19"/>
                  <wp:cNvGraphicFramePr/>
                  <a:graphic xmlns:a="http://schemas.openxmlformats.org/drawingml/2006/main">
                    <a:graphicData uri="http://schemas.openxmlformats.org/drawingml/2006/picture">
                      <pic:pic xmlns:pic="http://schemas.openxmlformats.org/drawingml/2006/picture">
                        <pic:nvPicPr>
                          <pic:cNvPr id="18" name="图片 19"/>
                          <pic:cNvPicPr/>
                        </pic:nvPicPr>
                        <pic:blipFill>
                          <a:blip r:embed="rId27"/>
                          <a:stretch>
                            <a:fillRect/>
                          </a:stretch>
                        </pic:blipFill>
                        <pic:spPr>
                          <a:xfrm>
                            <a:off x="0" y="0"/>
                            <a:ext cx="152400" cy="228600"/>
                          </a:xfrm>
                          <a:prstGeom prst="rect">
                            <a:avLst/>
                          </a:prstGeom>
                          <a:noFill/>
                          <a:ln>
                            <a:noFill/>
                          </a:ln>
                        </pic:spPr>
                      </pic:pic>
                    </a:graphicData>
                  </a:graphic>
                </wp:inline>
              </w:drawing>
            </w:r>
          </w:p>
        </w:tc>
        <w:tc>
          <w:tcPr>
            <w:tcW w:w="2665" w:type="dxa"/>
            <w:vAlign w:val="center"/>
          </w:tcPr>
          <w:p w:rsidR="008850AE" w:rsidRDefault="001E1DDD">
            <w:pPr>
              <w:rPr>
                <w:rFonts w:ascii="宋体" w:eastAsia="宋体" w:hAnsi="宋体" w:cs="Times New Roman"/>
                <w:kern w:val="0"/>
                <w:sz w:val="22"/>
              </w:rPr>
            </w:pPr>
            <w:r>
              <w:rPr>
                <w:rFonts w:ascii="宋体" w:eastAsia="宋体" w:hAnsi="宋体" w:cs="Times New Roman"/>
                <w:kern w:val="0"/>
                <w:sz w:val="22"/>
              </w:rPr>
              <w:t>主要风险因子的多头</w:t>
            </w:r>
          </w:p>
        </w:tc>
        <w:tc>
          <w:tcPr>
            <w:tcW w:w="2666" w:type="dxa"/>
            <w:vAlign w:val="center"/>
          </w:tcPr>
          <w:p w:rsidR="008850AE" w:rsidRDefault="001E1DDD">
            <w:pPr>
              <w:rPr>
                <w:rFonts w:ascii="宋体" w:eastAsia="宋体" w:hAnsi="宋体" w:cs="Times New Roman"/>
                <w:kern w:val="0"/>
                <w:sz w:val="22"/>
              </w:rPr>
            </w:pPr>
            <w:r>
              <w:rPr>
                <w:rFonts w:ascii="宋体" w:eastAsia="宋体" w:hAnsi="宋体" w:cs="Times New Roman"/>
                <w:kern w:val="0"/>
                <w:sz w:val="22"/>
              </w:rPr>
              <w:t>主要风险因子的空头</w:t>
            </w:r>
          </w:p>
        </w:tc>
      </w:tr>
      <w:tr w:rsidR="008850AE">
        <w:tc>
          <w:tcPr>
            <w:tcW w:w="2665" w:type="dxa"/>
            <w:vAlign w:val="center"/>
          </w:tcPr>
          <w:p w:rsidR="008850AE" w:rsidRDefault="001E1DDD">
            <w:pPr>
              <w:rPr>
                <w:rFonts w:ascii="宋体" w:eastAsia="宋体" w:hAnsi="宋体" w:cs="Times New Roman"/>
                <w:kern w:val="0"/>
                <w:sz w:val="22"/>
              </w:rPr>
            </w:pPr>
            <w:r>
              <w:rPr>
                <w:rFonts w:ascii="宋体" w:eastAsia="宋体" w:hAnsi="宋体" w:cs="Times New Roman"/>
                <w:kern w:val="0"/>
                <w:sz w:val="22"/>
              </w:rPr>
              <w:t>非</w:t>
            </w:r>
            <w:proofErr w:type="gramStart"/>
            <w:r>
              <w:rPr>
                <w:rFonts w:ascii="宋体" w:eastAsia="宋体" w:hAnsi="宋体" w:cs="Times New Roman"/>
                <w:kern w:val="0"/>
                <w:sz w:val="22"/>
              </w:rPr>
              <w:t>期权非</w:t>
            </w:r>
            <w:proofErr w:type="gramEnd"/>
            <w:r>
              <w:rPr>
                <w:rFonts w:ascii="宋体" w:eastAsia="宋体" w:hAnsi="宋体" w:cs="Times New Roman"/>
                <w:i/>
                <w:iCs/>
                <w:kern w:val="0"/>
                <w:sz w:val="22"/>
              </w:rPr>
              <w:t>CDO</w:t>
            </w:r>
            <w:r>
              <w:rPr>
                <w:rFonts w:ascii="宋体" w:eastAsia="宋体" w:hAnsi="宋体" w:cs="Times New Roman"/>
                <w:kern w:val="0"/>
                <w:sz w:val="22"/>
              </w:rPr>
              <w:t>产品</w:t>
            </w:r>
          </w:p>
        </w:tc>
        <w:tc>
          <w:tcPr>
            <w:tcW w:w="2665" w:type="dxa"/>
            <w:vAlign w:val="center"/>
          </w:tcPr>
          <w:p w:rsidR="008850AE" w:rsidRDefault="001E1DDD">
            <w:pPr>
              <w:rPr>
                <w:rFonts w:ascii="宋体" w:eastAsia="宋体" w:hAnsi="宋体" w:cs="Times New Roman"/>
                <w:kern w:val="0"/>
                <w:sz w:val="22"/>
              </w:rPr>
            </w:pPr>
            <w:r>
              <w:rPr>
                <w:rFonts w:ascii="宋体" w:eastAsia="宋体" w:hAnsi="宋体" w:cs="Times New Roman"/>
                <w:kern w:val="0"/>
                <w:sz w:val="22"/>
              </w:rPr>
              <w:t>+1</w:t>
            </w:r>
          </w:p>
        </w:tc>
        <w:tc>
          <w:tcPr>
            <w:tcW w:w="2666" w:type="dxa"/>
            <w:vAlign w:val="center"/>
          </w:tcPr>
          <w:p w:rsidR="008850AE" w:rsidRDefault="001E1DDD">
            <w:pPr>
              <w:rPr>
                <w:rFonts w:ascii="宋体" w:eastAsia="宋体" w:hAnsi="宋体" w:cs="Times New Roman"/>
                <w:kern w:val="0"/>
                <w:sz w:val="22"/>
              </w:rPr>
            </w:pPr>
            <w:r>
              <w:rPr>
                <w:rFonts w:ascii="宋体" w:eastAsia="宋体" w:hAnsi="宋体" w:cs="Times New Roman"/>
                <w:kern w:val="0"/>
                <w:sz w:val="22"/>
              </w:rPr>
              <w:t>-1</w:t>
            </w:r>
          </w:p>
        </w:tc>
      </w:tr>
    </w:tbl>
    <w:p w:rsidR="008850AE" w:rsidRDefault="008850AE">
      <w:pPr>
        <w:rPr>
          <w:rFonts w:ascii="Times New Roman" w:eastAsia="宋体" w:hAnsi="Times New Roman" w:cs="Times New Roman"/>
          <w:sz w:val="24"/>
          <w:szCs w:val="24"/>
        </w:rPr>
      </w:pPr>
    </w:p>
    <w:tbl>
      <w:tblPr>
        <w:tblW w:w="0" w:type="auto"/>
        <w:tblLayout w:type="fixed"/>
        <w:tblLook w:val="04A0" w:firstRow="1" w:lastRow="0" w:firstColumn="1" w:lastColumn="0" w:noHBand="0" w:noVBand="1"/>
      </w:tblPr>
      <w:tblGrid>
        <w:gridCol w:w="1636"/>
        <w:gridCol w:w="3354"/>
        <w:gridCol w:w="3306"/>
      </w:tblGrid>
      <w:tr w:rsidR="008850AE">
        <w:tc>
          <w:tcPr>
            <w:tcW w:w="1636" w:type="dxa"/>
            <w:tcBorders>
              <w:top w:val="single" w:sz="4" w:space="0" w:color="000000"/>
              <w:left w:val="single" w:sz="4" w:space="0" w:color="000000"/>
              <w:bottom w:val="single" w:sz="4" w:space="0" w:color="000000"/>
              <w:right w:val="single" w:sz="4" w:space="0" w:color="000000"/>
            </w:tcBorders>
            <w:vAlign w:val="center"/>
          </w:tcPr>
          <w:p w:rsidR="008850AE" w:rsidRDefault="001E1DDD">
            <w:pPr>
              <w:widowControl/>
              <w:rPr>
                <w:rFonts w:ascii="宋体" w:eastAsia="宋体" w:hAnsi="宋体" w:cs="Times New Roman"/>
                <w:kern w:val="0"/>
                <w:sz w:val="22"/>
              </w:rPr>
            </w:pPr>
            <w:r>
              <w:rPr>
                <w:rFonts w:ascii="宋体" w:eastAsia="宋体" w:hAnsi="宋体" w:cs="Times New Roman"/>
                <w:noProof/>
                <w:kern w:val="0"/>
                <w:position w:val="-12"/>
                <w:sz w:val="22"/>
              </w:rPr>
              <w:drawing>
                <wp:inline distT="0" distB="0" distL="114300" distR="114300" wp14:anchorId="332A2FF3" wp14:editId="747E54CA">
                  <wp:extent cx="152400" cy="228600"/>
                  <wp:effectExtent l="0" t="0" r="0" b="0"/>
                  <wp:docPr id="19" name="图片 20"/>
                  <wp:cNvGraphicFramePr/>
                  <a:graphic xmlns:a="http://schemas.openxmlformats.org/drawingml/2006/main">
                    <a:graphicData uri="http://schemas.openxmlformats.org/drawingml/2006/picture">
                      <pic:pic xmlns:pic="http://schemas.openxmlformats.org/drawingml/2006/picture">
                        <pic:nvPicPr>
                          <pic:cNvPr id="19" name="图片 20"/>
                          <pic:cNvPicPr/>
                        </pic:nvPicPr>
                        <pic:blipFill>
                          <a:blip r:embed="rId27"/>
                          <a:stretch>
                            <a:fillRect/>
                          </a:stretch>
                        </pic:blipFill>
                        <pic:spPr>
                          <a:xfrm>
                            <a:off x="0" y="0"/>
                            <a:ext cx="152400" cy="228600"/>
                          </a:xfrm>
                          <a:prstGeom prst="rect">
                            <a:avLst/>
                          </a:prstGeom>
                          <a:noFill/>
                          <a:ln>
                            <a:noFill/>
                          </a:ln>
                        </pic:spPr>
                      </pic:pic>
                    </a:graphicData>
                  </a:graphic>
                </wp:inline>
              </w:drawing>
            </w:r>
          </w:p>
        </w:tc>
        <w:tc>
          <w:tcPr>
            <w:tcW w:w="3354" w:type="dxa"/>
            <w:tcBorders>
              <w:top w:val="single" w:sz="4" w:space="0" w:color="000000"/>
              <w:left w:val="nil"/>
              <w:bottom w:val="single" w:sz="4" w:space="0" w:color="000000"/>
              <w:right w:val="single" w:sz="4" w:space="0" w:color="000000"/>
            </w:tcBorders>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买</w:t>
            </w:r>
          </w:p>
        </w:tc>
        <w:tc>
          <w:tcPr>
            <w:tcW w:w="3306" w:type="dxa"/>
            <w:tcBorders>
              <w:top w:val="single" w:sz="4" w:space="0" w:color="000000"/>
              <w:left w:val="nil"/>
              <w:bottom w:val="single" w:sz="4" w:space="0" w:color="000000"/>
              <w:right w:val="single" w:sz="4" w:space="0" w:color="000000"/>
            </w:tcBorders>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卖</w:t>
            </w:r>
          </w:p>
        </w:tc>
      </w:tr>
      <w:tr w:rsidR="008850AE">
        <w:tc>
          <w:tcPr>
            <w:tcW w:w="1636" w:type="dxa"/>
            <w:tcBorders>
              <w:top w:val="single" w:sz="4" w:space="0" w:color="000000"/>
              <w:left w:val="single" w:sz="4" w:space="0" w:color="000000"/>
              <w:bottom w:val="single" w:sz="4" w:space="0" w:color="000000"/>
              <w:right w:val="single" w:sz="4" w:space="0" w:color="000000"/>
            </w:tcBorders>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看涨期权</w:t>
            </w:r>
          </w:p>
        </w:tc>
        <w:tc>
          <w:tcPr>
            <w:tcW w:w="3354" w:type="dxa"/>
            <w:tcBorders>
              <w:top w:val="single" w:sz="4" w:space="0" w:color="000000"/>
              <w:left w:val="nil"/>
              <w:bottom w:val="single" w:sz="4" w:space="0" w:color="000000"/>
              <w:right w:val="single" w:sz="4" w:space="0" w:color="000000"/>
            </w:tcBorders>
            <w:vAlign w:val="center"/>
          </w:tcPr>
          <w:p w:rsidR="008850AE" w:rsidRDefault="001E1DDD">
            <w:pPr>
              <w:widowControl/>
              <w:rPr>
                <w:rFonts w:ascii="宋体" w:eastAsia="宋体" w:hAnsi="宋体" w:cs="Times New Roman"/>
                <w:kern w:val="0"/>
                <w:sz w:val="22"/>
              </w:rPr>
            </w:pPr>
            <w:r>
              <w:rPr>
                <w:rFonts w:ascii="宋体" w:eastAsia="宋体" w:hAnsi="宋体" w:cs="Times New Roman"/>
                <w:noProof/>
                <w:kern w:val="0"/>
                <w:position w:val="-36"/>
                <w:sz w:val="22"/>
              </w:rPr>
              <w:drawing>
                <wp:inline distT="0" distB="0" distL="114300" distR="114300" wp14:anchorId="2D87CF95" wp14:editId="4E3346E4">
                  <wp:extent cx="1905000" cy="533400"/>
                  <wp:effectExtent l="0" t="0" r="0" b="0"/>
                  <wp:docPr id="20" name="图片 21"/>
                  <wp:cNvGraphicFramePr/>
                  <a:graphic xmlns:a="http://schemas.openxmlformats.org/drawingml/2006/main">
                    <a:graphicData uri="http://schemas.openxmlformats.org/drawingml/2006/picture">
                      <pic:pic xmlns:pic="http://schemas.openxmlformats.org/drawingml/2006/picture">
                        <pic:nvPicPr>
                          <pic:cNvPr id="20" name="图片 21"/>
                          <pic:cNvPicPr/>
                        </pic:nvPicPr>
                        <pic:blipFill>
                          <a:blip r:embed="rId28"/>
                          <a:stretch>
                            <a:fillRect/>
                          </a:stretch>
                        </pic:blipFill>
                        <pic:spPr>
                          <a:xfrm>
                            <a:off x="0" y="0"/>
                            <a:ext cx="1905000" cy="533400"/>
                          </a:xfrm>
                          <a:prstGeom prst="rect">
                            <a:avLst/>
                          </a:prstGeom>
                          <a:noFill/>
                          <a:ln>
                            <a:noFill/>
                          </a:ln>
                        </pic:spPr>
                      </pic:pic>
                    </a:graphicData>
                  </a:graphic>
                </wp:inline>
              </w:drawing>
            </w:r>
          </w:p>
        </w:tc>
        <w:tc>
          <w:tcPr>
            <w:tcW w:w="3306" w:type="dxa"/>
            <w:tcBorders>
              <w:top w:val="single" w:sz="4" w:space="0" w:color="000000"/>
              <w:left w:val="nil"/>
              <w:bottom w:val="single" w:sz="4" w:space="0" w:color="000000"/>
              <w:right w:val="single" w:sz="4" w:space="0" w:color="000000"/>
            </w:tcBorders>
            <w:vAlign w:val="center"/>
          </w:tcPr>
          <w:p w:rsidR="008850AE" w:rsidRDefault="001E1DDD">
            <w:pPr>
              <w:widowControl/>
              <w:rPr>
                <w:rFonts w:ascii="宋体" w:eastAsia="宋体" w:hAnsi="宋体" w:cs="Times New Roman"/>
                <w:kern w:val="0"/>
                <w:sz w:val="22"/>
              </w:rPr>
            </w:pPr>
            <w:r>
              <w:rPr>
                <w:rFonts w:ascii="宋体" w:eastAsia="宋体" w:hAnsi="宋体" w:cs="Times New Roman"/>
                <w:noProof/>
                <w:kern w:val="0"/>
                <w:position w:val="-36"/>
                <w:sz w:val="22"/>
              </w:rPr>
              <w:drawing>
                <wp:inline distT="0" distB="0" distL="114300" distR="114300" wp14:anchorId="203388C6" wp14:editId="7412D5A4">
                  <wp:extent cx="1905000" cy="533400"/>
                  <wp:effectExtent l="0" t="0" r="0" b="0"/>
                  <wp:docPr id="21" name="图片 22"/>
                  <wp:cNvGraphicFramePr/>
                  <a:graphic xmlns:a="http://schemas.openxmlformats.org/drawingml/2006/main">
                    <a:graphicData uri="http://schemas.openxmlformats.org/drawingml/2006/picture">
                      <pic:pic xmlns:pic="http://schemas.openxmlformats.org/drawingml/2006/picture">
                        <pic:nvPicPr>
                          <pic:cNvPr id="21" name="图片 22"/>
                          <pic:cNvPicPr/>
                        </pic:nvPicPr>
                        <pic:blipFill>
                          <a:blip r:embed="rId29"/>
                          <a:stretch>
                            <a:fillRect/>
                          </a:stretch>
                        </pic:blipFill>
                        <pic:spPr>
                          <a:xfrm>
                            <a:off x="0" y="0"/>
                            <a:ext cx="1905000" cy="533400"/>
                          </a:xfrm>
                          <a:prstGeom prst="rect">
                            <a:avLst/>
                          </a:prstGeom>
                          <a:noFill/>
                          <a:ln>
                            <a:noFill/>
                          </a:ln>
                        </pic:spPr>
                      </pic:pic>
                    </a:graphicData>
                  </a:graphic>
                </wp:inline>
              </w:drawing>
            </w:r>
          </w:p>
        </w:tc>
      </w:tr>
      <w:tr w:rsidR="008850AE">
        <w:trPr>
          <w:trHeight w:val="966"/>
        </w:trPr>
        <w:tc>
          <w:tcPr>
            <w:tcW w:w="1636" w:type="dxa"/>
            <w:tcBorders>
              <w:top w:val="single" w:sz="4" w:space="0" w:color="000000"/>
              <w:left w:val="single" w:sz="4" w:space="0" w:color="000000"/>
              <w:bottom w:val="single" w:sz="4" w:space="0" w:color="000000"/>
              <w:right w:val="single" w:sz="4" w:space="0" w:color="000000"/>
            </w:tcBorders>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看跌期权</w:t>
            </w:r>
          </w:p>
        </w:tc>
        <w:tc>
          <w:tcPr>
            <w:tcW w:w="3354" w:type="dxa"/>
            <w:tcBorders>
              <w:top w:val="single" w:sz="4" w:space="0" w:color="000000"/>
              <w:left w:val="nil"/>
              <w:bottom w:val="single" w:sz="4" w:space="0" w:color="000000"/>
              <w:right w:val="single" w:sz="4" w:space="0" w:color="000000"/>
            </w:tcBorders>
            <w:vAlign w:val="center"/>
          </w:tcPr>
          <w:p w:rsidR="008850AE" w:rsidRDefault="001E1DDD">
            <w:pPr>
              <w:widowControl/>
              <w:rPr>
                <w:rFonts w:ascii="宋体" w:eastAsia="宋体" w:hAnsi="宋体" w:cs="Times New Roman"/>
                <w:kern w:val="0"/>
                <w:sz w:val="22"/>
              </w:rPr>
            </w:pPr>
            <w:r>
              <w:rPr>
                <w:rFonts w:ascii="宋体" w:eastAsia="宋体" w:hAnsi="宋体" w:cs="Times New Roman"/>
                <w:noProof/>
                <w:kern w:val="0"/>
                <w:position w:val="-36"/>
                <w:sz w:val="22"/>
              </w:rPr>
              <w:drawing>
                <wp:inline distT="0" distB="0" distL="114300" distR="114300" wp14:anchorId="119AD9E2" wp14:editId="7CA57CC1">
                  <wp:extent cx="2019300" cy="533400"/>
                  <wp:effectExtent l="0" t="0" r="0" b="0"/>
                  <wp:docPr id="22" name="图片 23"/>
                  <wp:cNvGraphicFramePr/>
                  <a:graphic xmlns:a="http://schemas.openxmlformats.org/drawingml/2006/main">
                    <a:graphicData uri="http://schemas.openxmlformats.org/drawingml/2006/picture">
                      <pic:pic xmlns:pic="http://schemas.openxmlformats.org/drawingml/2006/picture">
                        <pic:nvPicPr>
                          <pic:cNvPr id="22" name="图片 23"/>
                          <pic:cNvPicPr/>
                        </pic:nvPicPr>
                        <pic:blipFill>
                          <a:blip r:embed="rId30"/>
                          <a:stretch>
                            <a:fillRect/>
                          </a:stretch>
                        </pic:blipFill>
                        <pic:spPr>
                          <a:xfrm>
                            <a:off x="0" y="0"/>
                            <a:ext cx="2019300" cy="533400"/>
                          </a:xfrm>
                          <a:prstGeom prst="rect">
                            <a:avLst/>
                          </a:prstGeom>
                          <a:noFill/>
                          <a:ln>
                            <a:noFill/>
                          </a:ln>
                        </pic:spPr>
                      </pic:pic>
                    </a:graphicData>
                  </a:graphic>
                </wp:inline>
              </w:drawing>
            </w:r>
          </w:p>
        </w:tc>
        <w:tc>
          <w:tcPr>
            <w:tcW w:w="3306" w:type="dxa"/>
            <w:tcBorders>
              <w:top w:val="single" w:sz="4" w:space="0" w:color="000000"/>
              <w:left w:val="nil"/>
              <w:bottom w:val="single" w:sz="4" w:space="0" w:color="000000"/>
              <w:right w:val="single" w:sz="4" w:space="0" w:color="000000"/>
            </w:tcBorders>
            <w:vAlign w:val="center"/>
          </w:tcPr>
          <w:p w:rsidR="008850AE" w:rsidRDefault="001E1DDD">
            <w:pPr>
              <w:widowControl/>
              <w:rPr>
                <w:rFonts w:ascii="宋体" w:eastAsia="宋体" w:hAnsi="宋体" w:cs="Times New Roman"/>
                <w:kern w:val="0"/>
                <w:sz w:val="22"/>
              </w:rPr>
            </w:pPr>
            <w:r>
              <w:rPr>
                <w:rFonts w:ascii="宋体" w:eastAsia="宋体" w:hAnsi="宋体" w:cs="Times New Roman"/>
                <w:noProof/>
                <w:kern w:val="0"/>
                <w:position w:val="-36"/>
                <w:sz w:val="22"/>
              </w:rPr>
              <w:drawing>
                <wp:inline distT="0" distB="0" distL="114300" distR="114300" wp14:anchorId="73AFE727" wp14:editId="3E43CAB7">
                  <wp:extent cx="2019300" cy="533400"/>
                  <wp:effectExtent l="0" t="0" r="0" b="0"/>
                  <wp:docPr id="23" name="图片 24"/>
                  <wp:cNvGraphicFramePr/>
                  <a:graphic xmlns:a="http://schemas.openxmlformats.org/drawingml/2006/main">
                    <a:graphicData uri="http://schemas.openxmlformats.org/drawingml/2006/picture">
                      <pic:pic xmlns:pic="http://schemas.openxmlformats.org/drawingml/2006/picture">
                        <pic:nvPicPr>
                          <pic:cNvPr id="23" name="图片 24"/>
                          <pic:cNvPicPr/>
                        </pic:nvPicPr>
                        <pic:blipFill>
                          <a:blip r:embed="rId31"/>
                          <a:stretch>
                            <a:fillRect/>
                          </a:stretch>
                        </pic:blipFill>
                        <pic:spPr>
                          <a:xfrm>
                            <a:off x="0" y="0"/>
                            <a:ext cx="2019300" cy="533400"/>
                          </a:xfrm>
                          <a:prstGeom prst="rect">
                            <a:avLst/>
                          </a:prstGeom>
                          <a:noFill/>
                          <a:ln>
                            <a:noFill/>
                          </a:ln>
                        </pic:spPr>
                      </pic:pic>
                    </a:graphicData>
                  </a:graphic>
                </wp:inline>
              </w:drawing>
            </w:r>
          </w:p>
        </w:tc>
      </w:tr>
      <w:tr w:rsidR="008850AE">
        <w:tc>
          <w:tcPr>
            <w:tcW w:w="8296" w:type="dxa"/>
            <w:gridSpan w:val="3"/>
            <w:tcBorders>
              <w:top w:val="single" w:sz="4" w:space="0" w:color="000000"/>
              <w:left w:val="single" w:sz="4" w:space="0" w:color="000000"/>
              <w:bottom w:val="single" w:sz="4" w:space="0" w:color="000000"/>
              <w:right w:val="single" w:sz="4" w:space="0" w:color="000000"/>
            </w:tcBorders>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公式参数的定义如下：</w:t>
            </w:r>
          </w:p>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noProof/>
                <w:kern w:val="0"/>
                <w:position w:val="-12"/>
                <w:sz w:val="22"/>
              </w:rPr>
              <w:drawing>
                <wp:inline distT="0" distB="0" distL="114300" distR="114300" wp14:anchorId="49C49896" wp14:editId="161E7E9F">
                  <wp:extent cx="152400" cy="228600"/>
                  <wp:effectExtent l="0" t="0" r="0" b="0"/>
                  <wp:docPr id="24" name="图片 25"/>
                  <wp:cNvGraphicFramePr/>
                  <a:graphic xmlns:a="http://schemas.openxmlformats.org/drawingml/2006/main">
                    <a:graphicData uri="http://schemas.openxmlformats.org/drawingml/2006/picture">
                      <pic:pic xmlns:pic="http://schemas.openxmlformats.org/drawingml/2006/picture">
                        <pic:nvPicPr>
                          <pic:cNvPr id="24" name="图片 25"/>
                          <pic:cNvPicPr/>
                        </pic:nvPicPr>
                        <pic:blipFill>
                          <a:blip r:embed="rId32"/>
                          <a:stretch>
                            <a:fillRect/>
                          </a:stretch>
                        </pic:blipFill>
                        <pic:spPr>
                          <a:xfrm>
                            <a:off x="0" y="0"/>
                            <a:ext cx="152400" cy="228600"/>
                          </a:xfrm>
                          <a:prstGeom prst="rect">
                            <a:avLst/>
                          </a:prstGeom>
                          <a:noFill/>
                          <a:ln>
                            <a:noFill/>
                          </a:ln>
                        </pic:spPr>
                      </pic:pic>
                    </a:graphicData>
                  </a:graphic>
                </wp:inline>
              </w:drawing>
            </w:r>
            <w:r>
              <w:rPr>
                <w:rFonts w:ascii="宋体" w:eastAsia="宋体" w:hAnsi="宋体" w:cs="Times New Roman"/>
                <w:kern w:val="0"/>
                <w:sz w:val="22"/>
              </w:rPr>
              <w:t>：标的价格（即期，远期，均值等）</w:t>
            </w:r>
          </w:p>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noProof/>
                <w:kern w:val="0"/>
                <w:position w:val="-12"/>
                <w:sz w:val="22"/>
              </w:rPr>
              <w:lastRenderedPageBreak/>
              <w:drawing>
                <wp:inline distT="0" distB="0" distL="114300" distR="114300" wp14:anchorId="2AEC6238" wp14:editId="4980CA9F">
                  <wp:extent cx="190500" cy="228600"/>
                  <wp:effectExtent l="0" t="0" r="0" b="0"/>
                  <wp:docPr id="25" name="图片 26"/>
                  <wp:cNvGraphicFramePr/>
                  <a:graphic xmlns:a="http://schemas.openxmlformats.org/drawingml/2006/main">
                    <a:graphicData uri="http://schemas.openxmlformats.org/drawingml/2006/picture">
                      <pic:pic xmlns:pic="http://schemas.openxmlformats.org/drawingml/2006/picture">
                        <pic:nvPicPr>
                          <pic:cNvPr id="25" name="图片 26"/>
                          <pic:cNvPicPr/>
                        </pic:nvPicPr>
                        <pic:blipFill>
                          <a:blip r:embed="rId33"/>
                          <a:stretch>
                            <a:fillRect/>
                          </a:stretch>
                        </pic:blipFill>
                        <pic:spPr>
                          <a:xfrm>
                            <a:off x="0" y="0"/>
                            <a:ext cx="190500" cy="228600"/>
                          </a:xfrm>
                          <a:prstGeom prst="rect">
                            <a:avLst/>
                          </a:prstGeom>
                          <a:noFill/>
                          <a:ln>
                            <a:noFill/>
                          </a:ln>
                        </pic:spPr>
                      </pic:pic>
                    </a:graphicData>
                  </a:graphic>
                </wp:inline>
              </w:drawing>
            </w:r>
            <w:r>
              <w:rPr>
                <w:rFonts w:ascii="宋体" w:eastAsia="宋体" w:hAnsi="宋体" w:cs="Times New Roman"/>
                <w:kern w:val="0"/>
                <w:sz w:val="22"/>
              </w:rPr>
              <w:t>：执行价格</w:t>
            </w:r>
          </w:p>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noProof/>
                <w:kern w:val="0"/>
                <w:position w:val="-12"/>
                <w:sz w:val="22"/>
              </w:rPr>
              <w:drawing>
                <wp:inline distT="0" distB="0" distL="114300" distR="114300" wp14:anchorId="6CEA0C27" wp14:editId="69E11E90">
                  <wp:extent cx="144780" cy="228600"/>
                  <wp:effectExtent l="0" t="0" r="0" b="0"/>
                  <wp:docPr id="26" name="图片 27"/>
                  <wp:cNvGraphicFramePr/>
                  <a:graphic xmlns:a="http://schemas.openxmlformats.org/drawingml/2006/main">
                    <a:graphicData uri="http://schemas.openxmlformats.org/drawingml/2006/picture">
                      <pic:pic xmlns:pic="http://schemas.openxmlformats.org/drawingml/2006/picture">
                        <pic:nvPicPr>
                          <pic:cNvPr id="26" name="图片 27"/>
                          <pic:cNvPicPr/>
                        </pic:nvPicPr>
                        <pic:blipFill>
                          <a:blip r:embed="rId34"/>
                          <a:stretch>
                            <a:fillRect/>
                          </a:stretch>
                        </pic:blipFill>
                        <pic:spPr>
                          <a:xfrm>
                            <a:off x="0" y="0"/>
                            <a:ext cx="144780" cy="228600"/>
                          </a:xfrm>
                          <a:prstGeom prst="rect">
                            <a:avLst/>
                          </a:prstGeom>
                          <a:noFill/>
                          <a:ln>
                            <a:noFill/>
                          </a:ln>
                        </pic:spPr>
                      </pic:pic>
                    </a:graphicData>
                  </a:graphic>
                </wp:inline>
              </w:drawing>
            </w:r>
            <w:r>
              <w:rPr>
                <w:rFonts w:ascii="宋体" w:eastAsia="宋体" w:hAnsi="宋体" w:cs="Times New Roman"/>
                <w:kern w:val="0"/>
                <w:sz w:val="22"/>
              </w:rPr>
              <w:t>：期权约定的最终执行日期</w:t>
            </w:r>
          </w:p>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noProof/>
                <w:kern w:val="0"/>
                <w:position w:val="-12"/>
                <w:sz w:val="22"/>
              </w:rPr>
              <w:drawing>
                <wp:inline distT="0" distB="0" distL="114300" distR="114300" wp14:anchorId="7C5E77D0" wp14:editId="4F277048">
                  <wp:extent cx="182880" cy="228600"/>
                  <wp:effectExtent l="0" t="0" r="0" b="0"/>
                  <wp:docPr id="27" name="图片 28"/>
                  <wp:cNvGraphicFramePr/>
                  <a:graphic xmlns:a="http://schemas.openxmlformats.org/drawingml/2006/main">
                    <a:graphicData uri="http://schemas.openxmlformats.org/drawingml/2006/picture">
                      <pic:pic xmlns:pic="http://schemas.openxmlformats.org/drawingml/2006/picture">
                        <pic:nvPicPr>
                          <pic:cNvPr id="27" name="图片 28"/>
                          <pic:cNvPicPr/>
                        </pic:nvPicPr>
                        <pic:blipFill>
                          <a:blip r:embed="rId35"/>
                          <a:stretch>
                            <a:fillRect/>
                          </a:stretch>
                        </pic:blipFill>
                        <pic:spPr>
                          <a:xfrm>
                            <a:off x="0" y="0"/>
                            <a:ext cx="182880" cy="228600"/>
                          </a:xfrm>
                          <a:prstGeom prst="rect">
                            <a:avLst/>
                          </a:prstGeom>
                          <a:noFill/>
                          <a:ln>
                            <a:noFill/>
                          </a:ln>
                        </pic:spPr>
                      </pic:pic>
                    </a:graphicData>
                  </a:graphic>
                </wp:inline>
              </w:drawing>
            </w:r>
            <w:r>
              <w:rPr>
                <w:rFonts w:ascii="宋体" w:eastAsia="宋体" w:hAnsi="宋体" w:cs="Times New Roman"/>
                <w:kern w:val="0"/>
                <w:sz w:val="22"/>
              </w:rPr>
              <w:t>：监管波动率，在监管系数表中查找</w:t>
            </w:r>
          </w:p>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noProof/>
                <w:kern w:val="0"/>
                <w:position w:val="-4"/>
                <w:sz w:val="22"/>
              </w:rPr>
              <w:drawing>
                <wp:inline distT="0" distB="0" distL="114300" distR="114300" wp14:anchorId="370B4E74" wp14:editId="47CD78E1">
                  <wp:extent cx="160020" cy="152400"/>
                  <wp:effectExtent l="0" t="0" r="0" b="9525"/>
                  <wp:docPr id="28" name="图片 29"/>
                  <wp:cNvGraphicFramePr/>
                  <a:graphic xmlns:a="http://schemas.openxmlformats.org/drawingml/2006/main">
                    <a:graphicData uri="http://schemas.openxmlformats.org/drawingml/2006/picture">
                      <pic:pic xmlns:pic="http://schemas.openxmlformats.org/drawingml/2006/picture">
                        <pic:nvPicPr>
                          <pic:cNvPr id="28" name="图片 29"/>
                          <pic:cNvPicPr/>
                        </pic:nvPicPr>
                        <pic:blipFill>
                          <a:blip r:embed="rId36"/>
                          <a:stretch>
                            <a:fillRect/>
                          </a:stretch>
                        </pic:blipFill>
                        <pic:spPr>
                          <a:xfrm>
                            <a:off x="0" y="0"/>
                            <a:ext cx="160020" cy="152400"/>
                          </a:xfrm>
                          <a:prstGeom prst="rect">
                            <a:avLst/>
                          </a:prstGeom>
                          <a:noFill/>
                          <a:ln>
                            <a:noFill/>
                          </a:ln>
                        </pic:spPr>
                      </pic:pic>
                    </a:graphicData>
                  </a:graphic>
                </wp:inline>
              </w:drawing>
            </w:r>
            <w:r>
              <w:rPr>
                <w:rFonts w:ascii="宋体" w:eastAsia="宋体" w:hAnsi="宋体" w:cs="Times New Roman"/>
                <w:kern w:val="0"/>
                <w:sz w:val="22"/>
              </w:rPr>
              <w:t>为标准正态累计分布函数</w:t>
            </w:r>
          </w:p>
        </w:tc>
      </w:tr>
    </w:tbl>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lastRenderedPageBreak/>
        <w:t xml:space="preserve"> </w:t>
      </w:r>
    </w:p>
    <w:tbl>
      <w:tblPr>
        <w:tblW w:w="0" w:type="auto"/>
        <w:tblLayout w:type="fixed"/>
        <w:tblLook w:val="04A0" w:firstRow="1" w:lastRow="0" w:firstColumn="1" w:lastColumn="0" w:noHBand="0" w:noVBand="1"/>
      </w:tblPr>
      <w:tblGrid>
        <w:gridCol w:w="2164"/>
        <w:gridCol w:w="3066"/>
        <w:gridCol w:w="3066"/>
      </w:tblGrid>
      <w:tr w:rsidR="008850AE">
        <w:tc>
          <w:tcPr>
            <w:tcW w:w="2164" w:type="dxa"/>
            <w:tcBorders>
              <w:top w:val="single" w:sz="4" w:space="0" w:color="000000"/>
              <w:left w:val="single" w:sz="4" w:space="0" w:color="000000"/>
              <w:bottom w:val="single" w:sz="4" w:space="0" w:color="000000"/>
              <w:right w:val="single" w:sz="4" w:space="0" w:color="000000"/>
            </w:tcBorders>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noProof/>
                <w:kern w:val="0"/>
                <w:sz w:val="22"/>
              </w:rPr>
              <w:drawing>
                <wp:inline distT="0" distB="0" distL="114300" distR="114300" wp14:anchorId="30A3272E" wp14:editId="7E22E893">
                  <wp:extent cx="152400" cy="228600"/>
                  <wp:effectExtent l="0" t="0" r="0" b="0"/>
                  <wp:docPr id="29" name="图片 30"/>
                  <wp:cNvGraphicFramePr/>
                  <a:graphic xmlns:a="http://schemas.openxmlformats.org/drawingml/2006/main">
                    <a:graphicData uri="http://schemas.openxmlformats.org/drawingml/2006/picture">
                      <pic:pic xmlns:pic="http://schemas.openxmlformats.org/drawingml/2006/picture">
                        <pic:nvPicPr>
                          <pic:cNvPr id="29" name="图片 30"/>
                          <pic:cNvPicPr/>
                        </pic:nvPicPr>
                        <pic:blipFill>
                          <a:blip r:embed="rId27"/>
                          <a:stretch>
                            <a:fillRect/>
                          </a:stretch>
                        </pic:blipFill>
                        <pic:spPr>
                          <a:xfrm>
                            <a:off x="0" y="0"/>
                            <a:ext cx="152400" cy="228600"/>
                          </a:xfrm>
                          <a:prstGeom prst="rect">
                            <a:avLst/>
                          </a:prstGeom>
                          <a:noFill/>
                          <a:ln>
                            <a:noFill/>
                          </a:ln>
                        </pic:spPr>
                      </pic:pic>
                    </a:graphicData>
                  </a:graphic>
                </wp:inline>
              </w:drawing>
            </w:r>
          </w:p>
        </w:tc>
        <w:tc>
          <w:tcPr>
            <w:tcW w:w="3066" w:type="dxa"/>
            <w:tcBorders>
              <w:top w:val="single" w:sz="4" w:space="0" w:color="000000"/>
              <w:left w:val="nil"/>
              <w:bottom w:val="single" w:sz="4" w:space="0" w:color="000000"/>
              <w:right w:val="single" w:sz="4" w:space="0" w:color="000000"/>
            </w:tcBorders>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买（购买保护）</w:t>
            </w:r>
          </w:p>
        </w:tc>
        <w:tc>
          <w:tcPr>
            <w:tcW w:w="3066" w:type="dxa"/>
            <w:tcBorders>
              <w:top w:val="single" w:sz="4" w:space="0" w:color="000000"/>
              <w:left w:val="nil"/>
              <w:bottom w:val="single" w:sz="4" w:space="0" w:color="000000"/>
              <w:right w:val="single" w:sz="4" w:space="0" w:color="000000"/>
            </w:tcBorders>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卖（卖出保护）</w:t>
            </w:r>
          </w:p>
        </w:tc>
      </w:tr>
      <w:tr w:rsidR="008850AE">
        <w:tc>
          <w:tcPr>
            <w:tcW w:w="2164" w:type="dxa"/>
            <w:tcBorders>
              <w:top w:val="single" w:sz="4" w:space="0" w:color="000000"/>
              <w:left w:val="single" w:sz="4" w:space="0" w:color="000000"/>
              <w:bottom w:val="single" w:sz="4" w:space="0" w:color="000000"/>
              <w:right w:val="single" w:sz="4" w:space="0" w:color="000000"/>
            </w:tcBorders>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CDO</w:t>
            </w:r>
          </w:p>
        </w:tc>
        <w:tc>
          <w:tcPr>
            <w:tcW w:w="3066" w:type="dxa"/>
            <w:tcBorders>
              <w:top w:val="single" w:sz="4" w:space="0" w:color="000000"/>
              <w:left w:val="nil"/>
              <w:bottom w:val="single" w:sz="4" w:space="0" w:color="000000"/>
              <w:right w:val="single" w:sz="4" w:space="0" w:color="000000"/>
            </w:tcBorders>
          </w:tcPr>
          <w:p w:rsidR="008850AE" w:rsidRDefault="001E1DDD">
            <w:pPr>
              <w:widowControl/>
              <w:rPr>
                <w:rFonts w:ascii="宋体" w:eastAsia="宋体" w:hAnsi="宋体" w:cs="Times New Roman"/>
                <w:kern w:val="0"/>
                <w:sz w:val="22"/>
              </w:rPr>
            </w:pPr>
            <w:r>
              <w:rPr>
                <w:rFonts w:ascii="宋体" w:eastAsia="宋体" w:hAnsi="宋体" w:cs="Times New Roman"/>
                <w:noProof/>
                <w:kern w:val="0"/>
                <w:sz w:val="22"/>
              </w:rPr>
              <w:drawing>
                <wp:inline distT="0" distB="0" distL="114300" distR="114300" wp14:anchorId="1C413994" wp14:editId="0D4AA515">
                  <wp:extent cx="1638300" cy="426720"/>
                  <wp:effectExtent l="0" t="0" r="0" b="0"/>
                  <wp:docPr id="30" name="图片 31"/>
                  <wp:cNvGraphicFramePr/>
                  <a:graphic xmlns:a="http://schemas.openxmlformats.org/drawingml/2006/main">
                    <a:graphicData uri="http://schemas.openxmlformats.org/drawingml/2006/picture">
                      <pic:pic xmlns:pic="http://schemas.openxmlformats.org/drawingml/2006/picture">
                        <pic:nvPicPr>
                          <pic:cNvPr id="30" name="图片 31"/>
                          <pic:cNvPicPr/>
                        </pic:nvPicPr>
                        <pic:blipFill>
                          <a:blip r:embed="rId37"/>
                          <a:stretch>
                            <a:fillRect/>
                          </a:stretch>
                        </pic:blipFill>
                        <pic:spPr>
                          <a:xfrm>
                            <a:off x="0" y="0"/>
                            <a:ext cx="1638300" cy="426720"/>
                          </a:xfrm>
                          <a:prstGeom prst="rect">
                            <a:avLst/>
                          </a:prstGeom>
                          <a:noFill/>
                          <a:ln>
                            <a:noFill/>
                          </a:ln>
                        </pic:spPr>
                      </pic:pic>
                    </a:graphicData>
                  </a:graphic>
                </wp:inline>
              </w:drawing>
            </w:r>
          </w:p>
        </w:tc>
        <w:tc>
          <w:tcPr>
            <w:tcW w:w="3066" w:type="dxa"/>
            <w:tcBorders>
              <w:top w:val="single" w:sz="4" w:space="0" w:color="000000"/>
              <w:left w:val="nil"/>
              <w:bottom w:val="single" w:sz="4" w:space="0" w:color="000000"/>
              <w:right w:val="single" w:sz="4" w:space="0" w:color="000000"/>
            </w:tcBorders>
          </w:tcPr>
          <w:p w:rsidR="008850AE" w:rsidRDefault="001E1DDD">
            <w:pPr>
              <w:widowControl/>
              <w:rPr>
                <w:rFonts w:ascii="宋体" w:eastAsia="宋体" w:hAnsi="宋体" w:cs="Times New Roman"/>
                <w:kern w:val="0"/>
                <w:sz w:val="22"/>
              </w:rPr>
            </w:pPr>
            <w:r>
              <w:rPr>
                <w:rFonts w:ascii="宋体" w:eastAsia="宋体" w:hAnsi="宋体" w:cs="Times New Roman"/>
                <w:noProof/>
                <w:kern w:val="0"/>
                <w:sz w:val="22"/>
              </w:rPr>
              <w:drawing>
                <wp:inline distT="0" distB="0" distL="114300" distR="114300" wp14:anchorId="03ABC098" wp14:editId="6F082FE7">
                  <wp:extent cx="1630680" cy="426720"/>
                  <wp:effectExtent l="0" t="0" r="0" b="0"/>
                  <wp:docPr id="31" name="图片 32"/>
                  <wp:cNvGraphicFramePr/>
                  <a:graphic xmlns:a="http://schemas.openxmlformats.org/drawingml/2006/main">
                    <a:graphicData uri="http://schemas.openxmlformats.org/drawingml/2006/picture">
                      <pic:pic xmlns:pic="http://schemas.openxmlformats.org/drawingml/2006/picture">
                        <pic:nvPicPr>
                          <pic:cNvPr id="31" name="图片 32"/>
                          <pic:cNvPicPr/>
                        </pic:nvPicPr>
                        <pic:blipFill>
                          <a:blip r:embed="rId38"/>
                          <a:stretch>
                            <a:fillRect/>
                          </a:stretch>
                        </pic:blipFill>
                        <pic:spPr>
                          <a:xfrm>
                            <a:off x="0" y="0"/>
                            <a:ext cx="1630680" cy="426720"/>
                          </a:xfrm>
                          <a:prstGeom prst="rect">
                            <a:avLst/>
                          </a:prstGeom>
                          <a:noFill/>
                          <a:ln>
                            <a:noFill/>
                          </a:ln>
                        </pic:spPr>
                      </pic:pic>
                    </a:graphicData>
                  </a:graphic>
                </wp:inline>
              </w:drawing>
            </w:r>
          </w:p>
        </w:tc>
      </w:tr>
      <w:tr w:rsidR="008850AE">
        <w:tc>
          <w:tcPr>
            <w:tcW w:w="8296" w:type="dxa"/>
            <w:gridSpan w:val="3"/>
            <w:tcBorders>
              <w:top w:val="single" w:sz="4" w:space="0" w:color="000000"/>
              <w:left w:val="single" w:sz="4" w:space="0" w:color="000000"/>
              <w:bottom w:val="single" w:sz="4" w:space="0" w:color="000000"/>
              <w:right w:val="single" w:sz="4" w:space="0" w:color="000000"/>
            </w:tcBorders>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公式参数的定义如下：</w:t>
            </w:r>
          </w:p>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noProof/>
                <w:kern w:val="0"/>
                <w:sz w:val="22"/>
              </w:rPr>
              <w:drawing>
                <wp:inline distT="0" distB="0" distL="114300" distR="114300" wp14:anchorId="2822A2F6" wp14:editId="53D27C60">
                  <wp:extent cx="160020" cy="228600"/>
                  <wp:effectExtent l="0" t="0" r="0" b="0"/>
                  <wp:docPr id="32" name="图片 33"/>
                  <wp:cNvGraphicFramePr/>
                  <a:graphic xmlns:a="http://schemas.openxmlformats.org/drawingml/2006/main">
                    <a:graphicData uri="http://schemas.openxmlformats.org/drawingml/2006/picture">
                      <pic:pic xmlns:pic="http://schemas.openxmlformats.org/drawingml/2006/picture">
                        <pic:nvPicPr>
                          <pic:cNvPr id="32" name="图片 33"/>
                          <pic:cNvPicPr/>
                        </pic:nvPicPr>
                        <pic:blipFill>
                          <a:blip r:embed="rId39"/>
                          <a:stretch>
                            <a:fillRect/>
                          </a:stretch>
                        </pic:blipFill>
                        <pic:spPr>
                          <a:xfrm>
                            <a:off x="0" y="0"/>
                            <a:ext cx="160020" cy="228600"/>
                          </a:xfrm>
                          <a:prstGeom prst="rect">
                            <a:avLst/>
                          </a:prstGeom>
                          <a:noFill/>
                          <a:ln>
                            <a:noFill/>
                          </a:ln>
                        </pic:spPr>
                      </pic:pic>
                    </a:graphicData>
                  </a:graphic>
                </wp:inline>
              </w:drawing>
            </w:r>
            <w:r>
              <w:rPr>
                <w:rFonts w:ascii="宋体" w:eastAsia="宋体" w:hAnsi="宋体" w:cs="Times New Roman"/>
                <w:kern w:val="0"/>
                <w:sz w:val="22"/>
              </w:rPr>
              <w:t>：CDO层级附加点</w:t>
            </w:r>
          </w:p>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noProof/>
                <w:kern w:val="0"/>
                <w:sz w:val="22"/>
              </w:rPr>
              <w:drawing>
                <wp:inline distT="0" distB="0" distL="114300" distR="114300" wp14:anchorId="4CFA53E1" wp14:editId="3A70B2E2">
                  <wp:extent cx="190500" cy="228600"/>
                  <wp:effectExtent l="0" t="0" r="0" b="0"/>
                  <wp:docPr id="33" name="图片 34"/>
                  <wp:cNvGraphicFramePr/>
                  <a:graphic xmlns:a="http://schemas.openxmlformats.org/drawingml/2006/main">
                    <a:graphicData uri="http://schemas.openxmlformats.org/drawingml/2006/picture">
                      <pic:pic xmlns:pic="http://schemas.openxmlformats.org/drawingml/2006/picture">
                        <pic:nvPicPr>
                          <pic:cNvPr id="33" name="图片 34"/>
                          <pic:cNvPicPr/>
                        </pic:nvPicPr>
                        <pic:blipFill>
                          <a:blip r:embed="rId40"/>
                          <a:stretch>
                            <a:fillRect/>
                          </a:stretch>
                        </pic:blipFill>
                        <pic:spPr>
                          <a:xfrm>
                            <a:off x="0" y="0"/>
                            <a:ext cx="190500" cy="228600"/>
                          </a:xfrm>
                          <a:prstGeom prst="rect">
                            <a:avLst/>
                          </a:prstGeom>
                          <a:noFill/>
                          <a:ln>
                            <a:noFill/>
                          </a:ln>
                        </pic:spPr>
                      </pic:pic>
                    </a:graphicData>
                  </a:graphic>
                </wp:inline>
              </w:drawing>
            </w:r>
            <w:r>
              <w:rPr>
                <w:rFonts w:ascii="宋体" w:eastAsia="宋体" w:hAnsi="宋体" w:cs="Times New Roman"/>
                <w:kern w:val="0"/>
                <w:sz w:val="22"/>
              </w:rPr>
              <w:t>：CDO层级脱离点</w:t>
            </w:r>
          </w:p>
        </w:tc>
      </w:tr>
    </w:tbl>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（7）商品类衍生工具单个商品子类的有效名义本金计算公式如下：</w:t>
      </w:r>
    </w:p>
    <w:p w:rsidR="008850AE" w:rsidRDefault="001E1DDD" w:rsidP="00CF7888">
      <w:pPr>
        <w:spacing w:afterLines="30" w:after="93" w:line="800" w:lineRule="exact"/>
        <w:ind w:firstLineChars="200" w:firstLine="600"/>
        <w:jc w:val="center"/>
        <w:rPr>
          <w:rFonts w:ascii="仿宋_GB2312" w:eastAsia="仿宋_GB2312" w:hAnsi="Times New Roman" w:cs="Times New Roman"/>
          <w:bCs/>
          <w:sz w:val="30"/>
          <w:szCs w:val="30"/>
        </w:rPr>
      </w:pPr>
      <w:r>
        <w:rPr>
          <w:rFonts w:ascii="仿宋_GB2312" w:eastAsia="仿宋_GB2312" w:hAnsi="Times New Roman" w:cs="Times New Roman"/>
          <w:noProof/>
          <w:position w:val="-32"/>
          <w:sz w:val="30"/>
          <w:szCs w:val="30"/>
        </w:rPr>
        <w:drawing>
          <wp:inline distT="0" distB="0" distL="114300" distR="114300" wp14:anchorId="108B6145" wp14:editId="4E1F4D63">
            <wp:extent cx="2735580" cy="426720"/>
            <wp:effectExtent l="0" t="0" r="0" b="0"/>
            <wp:docPr id="3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5"/>
                    <pic:cNvPicPr>
                      <a:picLocks noChangeAspect="1"/>
                    </pic:cNvPicPr>
                  </pic:nvPicPr>
                  <pic:blipFill>
                    <a:blip r:embed="rId41"/>
                    <a:stretch>
                      <a:fillRect/>
                    </a:stretch>
                  </pic:blipFill>
                  <pic:spPr>
                    <a:xfrm>
                      <a:off x="0" y="0"/>
                      <a:ext cx="2735580" cy="42672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（8）其他衍生工具单个抵消组合的有效名义本金计算公式如下：</w:t>
      </w:r>
    </w:p>
    <w:p w:rsidR="008850AE" w:rsidRDefault="001E1DDD" w:rsidP="00CF7888">
      <w:pPr>
        <w:spacing w:afterLines="30" w:after="93" w:line="800" w:lineRule="exact"/>
        <w:ind w:firstLineChars="200" w:firstLine="600"/>
        <w:jc w:val="center"/>
        <w:rPr>
          <w:rFonts w:ascii="仿宋_GB2312" w:eastAsia="仿宋_GB2312" w:hAnsi="Times New Roman" w:cs="Times New Roman"/>
          <w:bCs/>
          <w:sz w:val="30"/>
          <w:szCs w:val="30"/>
        </w:rPr>
      </w:pPr>
      <w:r>
        <w:rPr>
          <w:rFonts w:ascii="仿宋_GB2312" w:eastAsia="仿宋_GB2312" w:hAnsi="Times New Roman" w:cs="Times New Roman"/>
          <w:noProof/>
          <w:position w:val="-34"/>
          <w:sz w:val="30"/>
          <w:szCs w:val="30"/>
        </w:rPr>
        <w:drawing>
          <wp:inline distT="0" distB="0" distL="114300" distR="114300" wp14:anchorId="497FA921" wp14:editId="418842F6">
            <wp:extent cx="2598420" cy="426720"/>
            <wp:effectExtent l="0" t="0" r="0" b="0"/>
            <wp:docPr id="3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6"/>
                    <pic:cNvPicPr>
                      <a:picLocks noChangeAspect="1"/>
                    </pic:cNvPicPr>
                  </pic:nvPicPr>
                  <pic:blipFill>
                    <a:blip r:embed="rId42"/>
                    <a:stretch>
                      <a:fillRect/>
                    </a:stretch>
                  </pic:blipFill>
                  <pic:spPr>
                    <a:xfrm>
                      <a:off x="0" y="0"/>
                      <a:ext cx="2598420" cy="42672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其中：δ、d和MF的定义及确定方法与利率类衍生工具一致。</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（9）调整后的名义本金应根据资产类别，按照下列方式计算：</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a.利率和信用类衍生工具</w:t>
      </w:r>
    </w:p>
    <w:p w:rsidR="008850AE" w:rsidRDefault="001E1DDD" w:rsidP="00CF7888">
      <w:pPr>
        <w:spacing w:line="480" w:lineRule="exact"/>
        <w:ind w:firstLineChars="200" w:firstLine="600"/>
        <w:jc w:val="center"/>
        <w:rPr>
          <w:rFonts w:ascii="仿宋_GB2312" w:eastAsia="仿宋_GB2312" w:hAnsi="Times New Roman" w:cs="Times New Roman"/>
          <w:bCs/>
          <w:sz w:val="30"/>
          <w:szCs w:val="30"/>
        </w:rPr>
      </w:pPr>
      <w:r>
        <w:rPr>
          <w:rFonts w:ascii="仿宋_GB2312" w:eastAsia="仿宋_GB2312" w:hAnsi="Times New Roman" w:cs="Times New Roman"/>
          <w:bCs/>
          <w:noProof/>
          <w:sz w:val="30"/>
          <w:szCs w:val="30"/>
        </w:rPr>
        <w:drawing>
          <wp:inline distT="0" distB="0" distL="114300" distR="114300" wp14:anchorId="011018A2" wp14:editId="618DB253">
            <wp:extent cx="1821180" cy="289560"/>
            <wp:effectExtent l="0" t="0" r="0" b="0"/>
            <wp:docPr id="3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7"/>
                    <pic:cNvPicPr>
                      <a:picLocks noChangeAspect="1"/>
                    </pic:cNvPicPr>
                  </pic:nvPicPr>
                  <pic:blipFill>
                    <a:blip r:embed="rId43"/>
                    <a:stretch>
                      <a:fillRect/>
                    </a:stretch>
                  </pic:blipFill>
                  <pic:spPr>
                    <a:xfrm>
                      <a:off x="0" y="0"/>
                      <a:ext cx="1821180" cy="28956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SD为监管久期；</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Notional为折算成本币的名义本金。</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b.汇率类衍生工具</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d为合同中的外币端名义本金折算为本币值。如果一个汇率类衍生工具的两端都为外币，则两端名义本金均折算为本币值，较大者为调整后的名义本金。</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lastRenderedPageBreak/>
        <w:t>c.股票和商品衍生工具</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d为每一单位股票或商品价格（比如一股股票或一桶原油）乘以标的数量。</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（10）</w:t>
      </w:r>
      <w:proofErr w:type="gramStart"/>
      <w:r>
        <w:rPr>
          <w:rFonts w:ascii="仿宋_GB2312" w:eastAsia="仿宋_GB2312" w:hAnsi="Times New Roman" w:cs="Times New Roman" w:hint="eastAsia"/>
          <w:bCs/>
          <w:sz w:val="30"/>
          <w:szCs w:val="30"/>
        </w:rPr>
        <w:t>监管久期的</w:t>
      </w:r>
      <w:proofErr w:type="gramEnd"/>
      <w:r>
        <w:rPr>
          <w:rFonts w:ascii="仿宋_GB2312" w:eastAsia="仿宋_GB2312" w:hAnsi="Times New Roman" w:cs="Times New Roman" w:hint="eastAsia"/>
          <w:bCs/>
          <w:sz w:val="30"/>
          <w:szCs w:val="30"/>
        </w:rPr>
        <w:t>计算公式如下：</w:t>
      </w:r>
    </w:p>
    <w:p w:rsidR="008850AE" w:rsidRDefault="001E1DDD" w:rsidP="00CF7888">
      <w:pPr>
        <w:jc w:val="center"/>
        <w:rPr>
          <w:rFonts w:ascii="仿宋_GB2312" w:eastAsia="仿宋_GB2312" w:hAnsi="Times New Roman" w:cs="Times New Roman"/>
          <w:sz w:val="30"/>
          <w:szCs w:val="30"/>
        </w:rPr>
      </w:pPr>
      <w:r>
        <w:rPr>
          <w:rFonts w:ascii="仿宋_GB2312" w:eastAsia="仿宋_GB2312" w:hAnsi="Times New Roman" w:cs="Times New Roman"/>
          <w:noProof/>
          <w:sz w:val="30"/>
          <w:szCs w:val="30"/>
        </w:rPr>
        <w:drawing>
          <wp:inline distT="0" distB="0" distL="114300" distR="114300" wp14:anchorId="5D6C825B" wp14:editId="26D1CA3B">
            <wp:extent cx="2645410" cy="430530"/>
            <wp:effectExtent l="0" t="0" r="2540" b="7620"/>
            <wp:docPr id="3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8"/>
                    <pic:cNvPicPr>
                      <a:picLocks noChangeAspect="1"/>
                    </pic:cNvPicPr>
                  </pic:nvPicPr>
                  <pic:blipFill>
                    <a:blip r:embed="rId44"/>
                    <a:stretch>
                      <a:fillRect/>
                    </a:stretch>
                  </pic:blipFill>
                  <pic:spPr>
                    <a:xfrm>
                      <a:off x="0" y="0"/>
                      <a:ext cx="2665314" cy="43403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其中：Si和</w:t>
      </w:r>
      <w:proofErr w:type="spellStart"/>
      <w:r>
        <w:rPr>
          <w:rFonts w:ascii="仿宋_GB2312" w:eastAsia="仿宋_GB2312" w:hAnsi="Times New Roman" w:cs="Times New Roman" w:hint="eastAsia"/>
          <w:bCs/>
          <w:sz w:val="30"/>
          <w:szCs w:val="30"/>
        </w:rPr>
        <w:t>Ei</w:t>
      </w:r>
      <w:proofErr w:type="spellEnd"/>
      <w:r>
        <w:rPr>
          <w:rFonts w:ascii="仿宋_GB2312" w:eastAsia="仿宋_GB2312" w:hAnsi="Times New Roman" w:cs="Times New Roman" w:hint="eastAsia"/>
          <w:bCs/>
          <w:sz w:val="30"/>
          <w:szCs w:val="30"/>
        </w:rPr>
        <w:t>分别代表当前距离衍生工具的起始日期和结束日期的时间间距，最小为10个工作日，对于进行中的合约（例如一个进行中的利率互换），Si为0。如果衍生工具标的是其他利率或信用工具（比如利率互换期权或债券期权），时间间距需基于标的确定，如剩余期限1年的利率互换期权，行权标的为5年期利率互换，Si为1年，</w:t>
      </w:r>
      <w:proofErr w:type="spellStart"/>
      <w:r>
        <w:rPr>
          <w:rFonts w:ascii="仿宋_GB2312" w:eastAsia="仿宋_GB2312" w:hAnsi="Times New Roman" w:cs="Times New Roman" w:hint="eastAsia"/>
          <w:bCs/>
          <w:sz w:val="30"/>
          <w:szCs w:val="30"/>
        </w:rPr>
        <w:t>Ei</w:t>
      </w:r>
      <w:proofErr w:type="spellEnd"/>
      <w:r>
        <w:rPr>
          <w:rFonts w:ascii="仿宋_GB2312" w:eastAsia="仿宋_GB2312" w:hAnsi="Times New Roman" w:cs="Times New Roman" w:hint="eastAsia"/>
          <w:bCs/>
          <w:sz w:val="30"/>
          <w:szCs w:val="30"/>
        </w:rPr>
        <w:t>为6年。</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（11）当交易的名义本金在到期日前没有明确约定时，商业银行应采用下列方法确定名义本金：</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a.对于包含多期现金</w:t>
      </w:r>
      <w:proofErr w:type="gramStart"/>
      <w:r>
        <w:rPr>
          <w:rFonts w:ascii="仿宋_GB2312" w:eastAsia="仿宋_GB2312" w:hAnsi="Times New Roman" w:cs="Times New Roman" w:hint="eastAsia"/>
          <w:bCs/>
          <w:sz w:val="30"/>
          <w:szCs w:val="30"/>
        </w:rPr>
        <w:t>流支付</w:t>
      </w:r>
      <w:proofErr w:type="gramEnd"/>
      <w:r>
        <w:rPr>
          <w:rFonts w:ascii="仿宋_GB2312" w:eastAsia="仿宋_GB2312" w:hAnsi="Times New Roman" w:cs="Times New Roman" w:hint="eastAsia"/>
          <w:bCs/>
          <w:sz w:val="30"/>
          <w:szCs w:val="30"/>
        </w:rPr>
        <w:t>的交易，例如数字期权、目标可赎回交易等，银行需计算每期现金流的名义本金，并取其最大值作为交易的名义本金。</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b.当名义本金为市场价值的函数时，银行应用当前市场价值确定交易的名义本金。</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c.对于可变名义本金互换（如增长型和减弱型互换），银行需用互换剩余期限的名义本金平均值作为交易的名义本金。</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d.杠杆类互换应转换为等价的非杠杆类互换来计算名义本金，当互换中的利率乘以一个乘数时，交易的名义本金也需要乘以这个利率乘数。</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e.对于需要多次交换名义本金的衍生工具合同，交易的名义本金要乘以衍生工具合同中的本金交换次数。</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（12）期限因子应按照是否有保证金分别计算</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a.对于无保证金交易，期限因子计算公式如下：</w:t>
      </w:r>
    </w:p>
    <w:p w:rsidR="008850AE" w:rsidRDefault="001E1DDD" w:rsidP="00CF7888">
      <w:pPr>
        <w:jc w:val="center"/>
        <w:rPr>
          <w:rFonts w:cs="Times New Roman"/>
          <w:bCs/>
        </w:rPr>
      </w:pPr>
      <w:r>
        <w:rPr>
          <w:noProof/>
        </w:rPr>
        <w:lastRenderedPageBreak/>
        <w:drawing>
          <wp:inline distT="0" distB="0" distL="114300" distR="114300" wp14:anchorId="7EC83FD0" wp14:editId="63451595">
            <wp:extent cx="2103120" cy="502920"/>
            <wp:effectExtent l="0" t="0" r="0" b="5080"/>
            <wp:docPr id="9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23"/>
                    <pic:cNvPicPr>
                      <a:picLocks noChangeAspect="1"/>
                    </pic:cNvPicPr>
                  </pic:nvPicPr>
                  <pic:blipFill>
                    <a:blip r:embed="rId45"/>
                    <a:stretch>
                      <a:fillRect/>
                    </a:stretch>
                  </pic:blipFill>
                  <pic:spPr>
                    <a:xfrm>
                      <a:off x="0" y="0"/>
                      <a:ext cx="2103120" cy="50292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w:t>
      </w:r>
      <w:proofErr w:type="spellStart"/>
      <w:r>
        <w:rPr>
          <w:rFonts w:ascii="仿宋_GB2312" w:eastAsia="仿宋_GB2312" w:hAnsi="Times New Roman" w:cs="Times New Roman" w:hint="eastAsia"/>
          <w:bCs/>
          <w:sz w:val="30"/>
          <w:szCs w:val="30"/>
        </w:rPr>
        <w:t>Mi</w:t>
      </w:r>
      <w:proofErr w:type="spellEnd"/>
      <w:r>
        <w:rPr>
          <w:rFonts w:ascii="仿宋_GB2312" w:eastAsia="仿宋_GB2312" w:hAnsi="Times New Roman" w:cs="Times New Roman" w:hint="eastAsia"/>
          <w:bCs/>
          <w:sz w:val="30"/>
          <w:szCs w:val="30"/>
        </w:rPr>
        <w:t>是交易</w:t>
      </w:r>
      <w:proofErr w:type="spellStart"/>
      <w:r>
        <w:rPr>
          <w:rFonts w:ascii="仿宋_GB2312" w:eastAsia="仿宋_GB2312" w:hAnsi="Times New Roman" w:cs="Times New Roman" w:hint="eastAsia"/>
          <w:bCs/>
          <w:sz w:val="30"/>
          <w:szCs w:val="30"/>
        </w:rPr>
        <w:t>i</w:t>
      </w:r>
      <w:proofErr w:type="spellEnd"/>
      <w:r>
        <w:rPr>
          <w:rFonts w:ascii="仿宋_GB2312" w:eastAsia="仿宋_GB2312" w:hAnsi="Times New Roman" w:cs="Times New Roman" w:hint="eastAsia"/>
          <w:bCs/>
          <w:sz w:val="30"/>
          <w:szCs w:val="30"/>
        </w:rPr>
        <w:t>的剩余期限，最小为10个工作日。</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某些结构化衍生工具规定在特定日期，其</w:t>
      </w:r>
      <w:proofErr w:type="gramStart"/>
      <w:r>
        <w:rPr>
          <w:rFonts w:ascii="仿宋_GB2312" w:eastAsia="仿宋_GB2312" w:hAnsi="Times New Roman" w:cs="Times New Roman" w:hint="eastAsia"/>
          <w:bCs/>
          <w:sz w:val="30"/>
          <w:szCs w:val="30"/>
        </w:rPr>
        <w:t>未偿付风险</w:t>
      </w:r>
      <w:proofErr w:type="gramEnd"/>
      <w:r>
        <w:rPr>
          <w:rFonts w:ascii="仿宋_GB2312" w:eastAsia="仿宋_GB2312" w:hAnsi="Times New Roman" w:cs="Times New Roman" w:hint="eastAsia"/>
          <w:bCs/>
          <w:sz w:val="30"/>
          <w:szCs w:val="30"/>
        </w:rPr>
        <w:t>暴露将被重置并结算，同时价值清零，此时剩余期限的到期日为下一个重置日。</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b.对于保证金交易，期限因子计算公式如下：</w:t>
      </w:r>
    </w:p>
    <w:p w:rsidR="008850AE" w:rsidRDefault="001E1DDD" w:rsidP="00CF7888">
      <w:pPr>
        <w:spacing w:beforeLines="40" w:before="124" w:afterLines="40" w:after="124" w:line="800" w:lineRule="exact"/>
        <w:jc w:val="center"/>
        <w:rPr>
          <w:rFonts w:ascii="仿宋_GB2312" w:eastAsia="仿宋_GB2312" w:hAnsi="Times New Roman" w:cs="Times New Roman"/>
          <w:bCs/>
          <w:sz w:val="30"/>
          <w:szCs w:val="30"/>
        </w:rPr>
      </w:pPr>
      <w:r>
        <w:rPr>
          <w:rFonts w:ascii="仿宋_GB2312" w:eastAsia="仿宋_GB2312" w:hAnsi="Times New Roman" w:cs="Times New Roman"/>
          <w:noProof/>
          <w:position w:val="-26"/>
          <w:sz w:val="30"/>
          <w:szCs w:val="30"/>
        </w:rPr>
        <w:drawing>
          <wp:inline distT="0" distB="0" distL="114300" distR="114300" wp14:anchorId="04B458F3" wp14:editId="15C50772">
            <wp:extent cx="1783080" cy="495300"/>
            <wp:effectExtent l="0" t="0" r="0" b="1270"/>
            <wp:docPr id="39"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0"/>
                    <pic:cNvPicPr>
                      <a:picLocks noChangeAspect="1"/>
                    </pic:cNvPicPr>
                  </pic:nvPicPr>
                  <pic:blipFill>
                    <a:blip r:embed="rId46"/>
                    <a:stretch>
                      <a:fillRect/>
                    </a:stretch>
                  </pic:blipFill>
                  <pic:spPr>
                    <a:xfrm>
                      <a:off x="0" y="0"/>
                      <a:ext cx="1783080" cy="495300"/>
                    </a:xfrm>
                    <a:prstGeom prst="rect">
                      <a:avLst/>
                    </a:prstGeom>
                    <a:noFill/>
                    <a:ln>
                      <a:noFill/>
                    </a:ln>
                  </pic:spPr>
                </pic:pic>
              </a:graphicData>
            </a:graphic>
          </wp:inline>
        </w:drawing>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MPOR取决于保证金风险期间，是指自违约交易对手最后一次提供足额保证金的时点至商业银行与该交易对手交易终止并完全对冲市场风险的期间。其中，中央清算的衍生工具交易最小为10个工作日；非中央清算的衍生工具交易根据保证金协议确定，最小为10+N-1天（N</w:t>
      </w:r>
      <w:proofErr w:type="gramStart"/>
      <w:r>
        <w:rPr>
          <w:rFonts w:ascii="仿宋_GB2312" w:eastAsia="仿宋_GB2312" w:hAnsi="Times New Roman" w:cs="Times New Roman" w:hint="eastAsia"/>
          <w:bCs/>
          <w:sz w:val="30"/>
          <w:szCs w:val="30"/>
        </w:rPr>
        <w:t>为盯市</w:t>
      </w:r>
      <w:proofErr w:type="gramEnd"/>
      <w:r>
        <w:rPr>
          <w:rFonts w:ascii="仿宋_GB2312" w:eastAsia="仿宋_GB2312" w:hAnsi="Times New Roman" w:cs="Times New Roman" w:hint="eastAsia"/>
          <w:bCs/>
          <w:sz w:val="30"/>
          <w:szCs w:val="30"/>
        </w:rPr>
        <w:t>保证金交换的工作日间隔，逐日盯市保证金下N为1）；包括5000笔以上与非中央交易对手交易的净额组合最小为20个工作日；若净额结算组合中包含缺乏流动性的质押品或衍生工具，最小为20个工作日；具有争议的净额结算组合保证金风险期限要乘以2。缺乏流动性是指在压力环境下，没有连续的活跃市场报价，如两个工作日内无可成交有效报价。具有争议的净额结算组合是指：商业银行与该净额结算组合内的交易对手，在过去6个月内发生至少2次因追加保证金引发的争议，且在规定的保证金期限内未能解决。</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（13）对于参考标的为两个风险因子</w:t>
      </w:r>
      <w:proofErr w:type="gramStart"/>
      <w:r>
        <w:rPr>
          <w:rFonts w:ascii="仿宋_GB2312" w:eastAsia="仿宋_GB2312" w:hAnsi="Times New Roman" w:cs="Times New Roman" w:hint="eastAsia"/>
          <w:bCs/>
          <w:sz w:val="30"/>
          <w:szCs w:val="30"/>
        </w:rPr>
        <w:t>的基差且</w:t>
      </w:r>
      <w:proofErr w:type="gramEnd"/>
      <w:r>
        <w:rPr>
          <w:rFonts w:ascii="仿宋_GB2312" w:eastAsia="仿宋_GB2312" w:hAnsi="Times New Roman" w:cs="Times New Roman" w:hint="eastAsia"/>
          <w:bCs/>
          <w:sz w:val="30"/>
          <w:szCs w:val="30"/>
        </w:rPr>
        <w:t>以同一货币计价的衍生工具，应</w:t>
      </w:r>
      <w:proofErr w:type="gramStart"/>
      <w:r>
        <w:rPr>
          <w:rFonts w:ascii="仿宋_GB2312" w:eastAsia="仿宋_GB2312" w:hAnsi="Times New Roman" w:cs="Times New Roman" w:hint="eastAsia"/>
          <w:bCs/>
          <w:sz w:val="30"/>
          <w:szCs w:val="30"/>
        </w:rPr>
        <w:t>根据基差类别</w:t>
      </w:r>
      <w:proofErr w:type="gramEnd"/>
      <w:r>
        <w:rPr>
          <w:rFonts w:ascii="仿宋_GB2312" w:eastAsia="仿宋_GB2312" w:hAnsi="Times New Roman" w:cs="Times New Roman" w:hint="eastAsia"/>
          <w:bCs/>
          <w:sz w:val="30"/>
          <w:szCs w:val="30"/>
        </w:rPr>
        <w:t>分别视为单独的抵消组合，如以6个月</w:t>
      </w:r>
      <w:proofErr w:type="spellStart"/>
      <w:r>
        <w:rPr>
          <w:rFonts w:ascii="仿宋_GB2312" w:eastAsia="仿宋_GB2312" w:hAnsi="Times New Roman" w:cs="Times New Roman" w:hint="eastAsia"/>
          <w:bCs/>
          <w:sz w:val="30"/>
          <w:szCs w:val="30"/>
        </w:rPr>
        <w:t>Shibor</w:t>
      </w:r>
      <w:proofErr w:type="spellEnd"/>
      <w:r>
        <w:rPr>
          <w:rFonts w:ascii="仿宋_GB2312" w:eastAsia="仿宋_GB2312" w:hAnsi="Times New Roman" w:cs="Times New Roman" w:hint="eastAsia"/>
          <w:bCs/>
          <w:sz w:val="30"/>
          <w:szCs w:val="30"/>
        </w:rPr>
        <w:t>与3个月</w:t>
      </w:r>
      <w:proofErr w:type="spellStart"/>
      <w:r>
        <w:rPr>
          <w:rFonts w:ascii="仿宋_GB2312" w:eastAsia="仿宋_GB2312" w:hAnsi="Times New Roman" w:cs="Times New Roman" w:hint="eastAsia"/>
          <w:bCs/>
          <w:sz w:val="30"/>
          <w:szCs w:val="30"/>
        </w:rPr>
        <w:t>Shibor</w:t>
      </w:r>
      <w:proofErr w:type="spellEnd"/>
      <w:r>
        <w:rPr>
          <w:rFonts w:ascii="仿宋_GB2312" w:eastAsia="仿宋_GB2312" w:hAnsi="Times New Roman" w:cs="Times New Roman" w:hint="eastAsia"/>
          <w:bCs/>
          <w:sz w:val="30"/>
          <w:szCs w:val="30"/>
        </w:rPr>
        <w:t>基差、10年国债收益率与10年国</w:t>
      </w:r>
      <w:proofErr w:type="gramStart"/>
      <w:r>
        <w:rPr>
          <w:rFonts w:ascii="仿宋_GB2312" w:eastAsia="仿宋_GB2312" w:hAnsi="Times New Roman" w:cs="Times New Roman" w:hint="eastAsia"/>
          <w:bCs/>
          <w:sz w:val="30"/>
          <w:szCs w:val="30"/>
        </w:rPr>
        <w:t>开债收益率基差</w:t>
      </w:r>
      <w:proofErr w:type="gramEnd"/>
      <w:r>
        <w:rPr>
          <w:rFonts w:ascii="仿宋_GB2312" w:eastAsia="仿宋_GB2312" w:hAnsi="Times New Roman" w:cs="Times New Roman" w:hint="eastAsia"/>
          <w:bCs/>
          <w:sz w:val="30"/>
          <w:szCs w:val="30"/>
        </w:rPr>
        <w:t>为标的</w:t>
      </w:r>
      <w:proofErr w:type="gramStart"/>
      <w:r>
        <w:rPr>
          <w:rFonts w:ascii="仿宋_GB2312" w:eastAsia="仿宋_GB2312" w:hAnsi="Times New Roman" w:cs="Times New Roman" w:hint="eastAsia"/>
          <w:bCs/>
          <w:sz w:val="30"/>
          <w:szCs w:val="30"/>
        </w:rPr>
        <w:t>的</w:t>
      </w:r>
      <w:proofErr w:type="gramEnd"/>
      <w:r>
        <w:rPr>
          <w:rFonts w:ascii="仿宋_GB2312" w:eastAsia="仿宋_GB2312" w:hAnsi="Times New Roman" w:cs="Times New Roman" w:hint="eastAsia"/>
          <w:bCs/>
          <w:sz w:val="30"/>
          <w:szCs w:val="30"/>
        </w:rPr>
        <w:t>衍生工具应分别视为单独的抵消组合。上述</w:t>
      </w:r>
      <w:proofErr w:type="gramStart"/>
      <w:r>
        <w:rPr>
          <w:rFonts w:ascii="仿宋_GB2312" w:eastAsia="仿宋_GB2312" w:hAnsi="Times New Roman" w:cs="Times New Roman" w:hint="eastAsia"/>
          <w:bCs/>
          <w:sz w:val="30"/>
          <w:szCs w:val="30"/>
        </w:rPr>
        <w:t>基差类抵消</w:t>
      </w:r>
      <w:proofErr w:type="gramEnd"/>
      <w:r>
        <w:rPr>
          <w:rFonts w:ascii="仿宋_GB2312" w:eastAsia="仿宋_GB2312" w:hAnsi="Times New Roman" w:cs="Times New Roman" w:hint="eastAsia"/>
          <w:bCs/>
          <w:sz w:val="30"/>
          <w:szCs w:val="30"/>
        </w:rPr>
        <w:t>组合的监管因子应在表2基础上乘以</w:t>
      </w:r>
      <w:r>
        <w:rPr>
          <w:rFonts w:ascii="仿宋_GB2312" w:eastAsia="仿宋_GB2312" w:hAnsi="Times New Roman" w:cs="Times New Roman" w:hint="eastAsia"/>
          <w:bCs/>
          <w:sz w:val="30"/>
          <w:szCs w:val="30"/>
        </w:rPr>
        <w:lastRenderedPageBreak/>
        <w:t>0.5。对于参考标的为两个风险因子</w:t>
      </w:r>
      <w:proofErr w:type="gramStart"/>
      <w:r>
        <w:rPr>
          <w:rFonts w:ascii="仿宋_GB2312" w:eastAsia="仿宋_GB2312" w:hAnsi="Times New Roman" w:cs="Times New Roman" w:hint="eastAsia"/>
          <w:bCs/>
          <w:sz w:val="30"/>
          <w:szCs w:val="30"/>
        </w:rPr>
        <w:t>的基差且</w:t>
      </w:r>
      <w:proofErr w:type="gramEnd"/>
      <w:r>
        <w:rPr>
          <w:rFonts w:ascii="仿宋_GB2312" w:eastAsia="仿宋_GB2312" w:hAnsi="Times New Roman" w:cs="Times New Roman" w:hint="eastAsia"/>
          <w:bCs/>
          <w:sz w:val="30"/>
          <w:szCs w:val="30"/>
        </w:rPr>
        <w:t>以不同货币计价的衍生工具，如货币利率互换，则应视为汇率类衍生工具而</w:t>
      </w:r>
      <w:proofErr w:type="gramStart"/>
      <w:r>
        <w:rPr>
          <w:rFonts w:ascii="仿宋_GB2312" w:eastAsia="仿宋_GB2312" w:hAnsi="Times New Roman" w:cs="Times New Roman" w:hint="eastAsia"/>
          <w:bCs/>
          <w:sz w:val="30"/>
          <w:szCs w:val="30"/>
        </w:rPr>
        <w:t>非利率基差类衍生</w:t>
      </w:r>
      <w:proofErr w:type="gramEnd"/>
      <w:r>
        <w:rPr>
          <w:rFonts w:ascii="仿宋_GB2312" w:eastAsia="仿宋_GB2312" w:hAnsi="Times New Roman" w:cs="Times New Roman" w:hint="eastAsia"/>
          <w:bCs/>
          <w:sz w:val="30"/>
          <w:szCs w:val="30"/>
        </w:rPr>
        <w:t>工具。</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（14）对于参考标的为风险因子波动率的衍生工具，应根据波动率标的</w:t>
      </w:r>
      <w:proofErr w:type="gramStart"/>
      <w:r>
        <w:rPr>
          <w:rFonts w:ascii="仿宋_GB2312" w:eastAsia="仿宋_GB2312" w:hAnsi="Times New Roman" w:cs="Times New Roman" w:hint="eastAsia"/>
          <w:bCs/>
          <w:sz w:val="30"/>
          <w:szCs w:val="30"/>
        </w:rPr>
        <w:t>的</w:t>
      </w:r>
      <w:proofErr w:type="gramEnd"/>
      <w:r>
        <w:rPr>
          <w:rFonts w:ascii="仿宋_GB2312" w:eastAsia="仿宋_GB2312" w:hAnsi="Times New Roman" w:cs="Times New Roman" w:hint="eastAsia"/>
          <w:bCs/>
          <w:sz w:val="30"/>
          <w:szCs w:val="30"/>
        </w:rPr>
        <w:t>资产类别分别视为单独的抵消组合，如所有股票波动</w:t>
      </w:r>
      <w:proofErr w:type="gramStart"/>
      <w:r>
        <w:rPr>
          <w:rFonts w:ascii="仿宋_GB2312" w:eastAsia="仿宋_GB2312" w:hAnsi="Times New Roman" w:cs="Times New Roman" w:hint="eastAsia"/>
          <w:bCs/>
          <w:sz w:val="30"/>
          <w:szCs w:val="30"/>
        </w:rPr>
        <w:t>率交易</w:t>
      </w:r>
      <w:proofErr w:type="gramEnd"/>
      <w:r>
        <w:rPr>
          <w:rFonts w:ascii="仿宋_GB2312" w:eastAsia="仿宋_GB2312" w:hAnsi="Times New Roman" w:cs="Times New Roman" w:hint="eastAsia"/>
          <w:bCs/>
          <w:sz w:val="30"/>
          <w:szCs w:val="30"/>
        </w:rPr>
        <w:t>应视为一个抵消组合。上述波动</w:t>
      </w:r>
      <w:proofErr w:type="gramStart"/>
      <w:r>
        <w:rPr>
          <w:rFonts w:ascii="仿宋_GB2312" w:eastAsia="仿宋_GB2312" w:hAnsi="Times New Roman" w:cs="Times New Roman" w:hint="eastAsia"/>
          <w:bCs/>
          <w:sz w:val="30"/>
          <w:szCs w:val="30"/>
        </w:rPr>
        <w:t>率类抵消</w:t>
      </w:r>
      <w:proofErr w:type="gramEnd"/>
      <w:r>
        <w:rPr>
          <w:rFonts w:ascii="仿宋_GB2312" w:eastAsia="仿宋_GB2312" w:hAnsi="Times New Roman" w:cs="Times New Roman" w:hint="eastAsia"/>
          <w:bCs/>
          <w:sz w:val="30"/>
          <w:szCs w:val="30"/>
        </w:rPr>
        <w:t>组合的监管因子应在表2基础上乘以5。</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15）对于未签订净额结算和保证金协议的卖出期权交易，若其期权费已交割，可认为违约风险暴露为0；对于为对冲银行账簿信用风险或交易对手信用风险购买的合格信用衍生工具，若银行在信用框架下已考虑风险缓释作用并足额计提风险加权资产，可认为违约风险暴露为0，其中合格信用衍生工具应符合本办法附件3第四部分的标准；对于划入银行账簿的信用衍生工具卖出保护交易，若银行视为保证计算信用风险加权资产，可认为违约风险暴露为0；对于未签订净额结算和保证金协议的信用衍生工具卖出保护交易，违约风险暴露以信用保护买方尚未支付的费用为上限。</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4．多个保证金协议和净额结算组合的处理</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（1）单个净额结算组合下的多个保证金协议</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若存在以下情形，可认定单个净额结算组合下有多个保证金协议：</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a.净额结算组合同时包括保证金交易和无保证金交易；</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b.净额结算组合由多个变动保证金协议覆盖的保证金交易组成。</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重置成本的计算公式与保证金交易相同，其中：</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V为该净额结算组合下所有衍生工具的盯市价值之和；</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C为该净额结算组合下银行持有抵质押品净额（收到的抵质押品扣除提交的抵质押品）经折扣调整后的价值，不包括银行向独立的破产隔离账户提交的抵质押品；</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lastRenderedPageBreak/>
        <w:t>TH为该净额结算组合下所有变动保证金协议对应的TH之和；</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MTA为该净额结算组合下所有变动保证金协议对应的MTA之和；</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NICA为该净额结算组合下</w:t>
      </w:r>
      <w:proofErr w:type="gramStart"/>
      <w:r>
        <w:rPr>
          <w:rFonts w:ascii="仿宋_GB2312" w:eastAsia="仿宋_GB2312" w:hAnsi="Times New Roman" w:cs="Times New Roman" w:hint="eastAsia"/>
          <w:bCs/>
          <w:sz w:val="30"/>
          <w:szCs w:val="30"/>
        </w:rPr>
        <w:t>净独立抵</w:t>
      </w:r>
      <w:proofErr w:type="gramEnd"/>
      <w:r>
        <w:rPr>
          <w:rFonts w:ascii="仿宋_GB2312" w:eastAsia="仿宋_GB2312" w:hAnsi="Times New Roman" w:cs="Times New Roman" w:hint="eastAsia"/>
          <w:bCs/>
          <w:sz w:val="30"/>
          <w:szCs w:val="30"/>
        </w:rPr>
        <w:t>质押品的价值。</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潜在风险暴露为子净额结算组合的潜在风险暴露之和，其中子净额结算组合应按以下要求划分：</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a.该净额结算组合下的所有无保证金交易构成子净额结算组合；</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b.该净额结算组合下适用同一MPOR的保证金交易构成子净额结算组合。</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（2）单个保证金协议下的多个净额结算组合</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重置成本计算公式如下：</w:t>
      </w:r>
    </w:p>
    <w:p w:rsidR="008850AE" w:rsidRDefault="001E1DDD">
      <w:pPr>
        <w:ind w:firstLineChars="200" w:firstLine="600"/>
        <w:rPr>
          <w:rFonts w:ascii="仿宋_GB2312" w:eastAsia="仿宋_GB2312" w:hAnsi="Times New Roman" w:cs="Times New Roman"/>
          <w:bCs/>
          <w:sz w:val="30"/>
          <w:szCs w:val="30"/>
        </w:rPr>
      </w:pPr>
      <w:r>
        <w:rPr>
          <w:rFonts w:ascii="仿宋_GB2312" w:eastAsia="仿宋_GB2312" w:hint="eastAsia"/>
          <w:position w:val="-32"/>
          <w:sz w:val="30"/>
          <w:szCs w:val="30"/>
        </w:rPr>
        <w:object w:dxaOrig="8304" w:dyaOrig="648">
          <v:shape id="_x0000_i1026" type="#_x0000_t75" style="width:415.2pt;height:32.55pt" o:ole="">
            <v:imagedata r:id="rId47" o:title=""/>
          </v:shape>
          <o:OLEObject Type="Embed" ProgID="Equation.DSMT4" ShapeID="_x0000_i1026" DrawAspect="Content" ObjectID="_1738154550" r:id="rId48"/>
        </w:object>
      </w:r>
      <w:r>
        <w:rPr>
          <w:rFonts w:ascii="仿宋_GB2312" w:eastAsia="仿宋_GB2312" w:hint="eastAsia"/>
          <w:sz w:val="30"/>
          <w:szCs w:val="30"/>
        </w:rPr>
        <w:t xml:space="preserve">    </w:t>
      </w:r>
      <w:r>
        <w:rPr>
          <w:rFonts w:ascii="仿宋_GB2312" w:eastAsia="仿宋_GB2312" w:hAnsi="Times New Roman" w:cs="Times New Roman" w:hint="eastAsia"/>
          <w:bCs/>
          <w:sz w:val="30"/>
          <w:szCs w:val="30"/>
        </w:rPr>
        <w:t>其中，</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int="eastAsia"/>
          <w:position w:val="-6"/>
          <w:sz w:val="30"/>
          <w:szCs w:val="30"/>
        </w:rPr>
        <w:object w:dxaOrig="1020" w:dyaOrig="276">
          <v:shape id="_x0000_i1027" type="#_x0000_t75" style="width:51.1pt;height:13.7pt" o:ole="">
            <v:imagedata r:id="rId49" o:title=""/>
          </v:shape>
          <o:OLEObject Type="Embed" ProgID="Equation.DSMT4" ShapeID="_x0000_i1027" DrawAspect="Content" ObjectID="_1738154551" r:id="rId50"/>
        </w:object>
      </w:r>
      <w:r>
        <w:rPr>
          <w:rFonts w:ascii="仿宋_GB2312" w:eastAsia="仿宋_GB2312" w:hAnsi="Times New Roman" w:cs="Times New Roman" w:hint="eastAsia"/>
          <w:bCs/>
          <w:sz w:val="30"/>
          <w:szCs w:val="30"/>
        </w:rPr>
        <w:t>指该保证金协议下的所有净额结算组合；</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int="eastAsia"/>
          <w:position w:val="-12"/>
          <w:sz w:val="30"/>
          <w:szCs w:val="30"/>
        </w:rPr>
        <w:object w:dxaOrig="384" w:dyaOrig="360">
          <v:shape id="_x0000_i1028" type="#_x0000_t75" style="width:19.2pt;height:18.15pt" o:ole="">
            <v:imagedata r:id="rId51" o:title=""/>
          </v:shape>
          <o:OLEObject Type="Embed" ProgID="Equation.DSMT4" ShapeID="_x0000_i1028" DrawAspect="Content" ObjectID="_1738154552" r:id="rId52"/>
        </w:object>
      </w:r>
      <w:r>
        <w:rPr>
          <w:rFonts w:ascii="仿宋_GB2312" w:eastAsia="仿宋_GB2312" w:hAnsi="Times New Roman" w:cs="Times New Roman" w:hint="eastAsia"/>
          <w:bCs/>
          <w:sz w:val="30"/>
          <w:szCs w:val="30"/>
        </w:rPr>
        <w:t>为单个净额结算组合下衍生工具的盯市价值；</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int="eastAsia"/>
          <w:position w:val="-12"/>
          <w:sz w:val="30"/>
          <w:szCs w:val="30"/>
        </w:rPr>
        <w:object w:dxaOrig="444" w:dyaOrig="360">
          <v:shape id="_x0000_i1029" type="#_x0000_t75" style="width:22.3pt;height:18.15pt" o:ole="">
            <v:imagedata r:id="rId53" o:title=""/>
          </v:shape>
          <o:OLEObject Type="Embed" ProgID="Equation.DSMT4" ShapeID="_x0000_i1029" DrawAspect="Content" ObjectID="_1738154553" r:id="rId54"/>
        </w:object>
      </w:r>
      <w:r>
        <w:rPr>
          <w:rFonts w:ascii="仿宋_GB2312" w:eastAsia="仿宋_GB2312" w:hAnsi="Times New Roman" w:cs="Times New Roman" w:hint="eastAsia"/>
          <w:bCs/>
          <w:sz w:val="30"/>
          <w:szCs w:val="30"/>
        </w:rPr>
        <w:t>为该保证金协议下银行持有的</w:t>
      </w:r>
      <w:proofErr w:type="gramStart"/>
      <w:r>
        <w:rPr>
          <w:rFonts w:ascii="仿宋_GB2312" w:eastAsia="仿宋_GB2312" w:hAnsi="Times New Roman" w:cs="Times New Roman" w:hint="eastAsia"/>
          <w:bCs/>
          <w:sz w:val="30"/>
          <w:szCs w:val="30"/>
        </w:rPr>
        <w:t>所有抵</w:t>
      </w:r>
      <w:proofErr w:type="gramEnd"/>
      <w:r>
        <w:rPr>
          <w:rFonts w:ascii="仿宋_GB2312" w:eastAsia="仿宋_GB2312" w:hAnsi="Times New Roman" w:cs="Times New Roman" w:hint="eastAsia"/>
          <w:bCs/>
          <w:sz w:val="30"/>
          <w:szCs w:val="30"/>
        </w:rPr>
        <w:t>质押品净额（收到的抵质押品扣除提交的抵质押品）经折扣调整后的价值，不包括银行向独立的破产隔离账户提交的抵质押品。</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潜在风险暴露计算公式如下：</w:t>
      </w:r>
    </w:p>
    <w:p w:rsidR="008850AE" w:rsidRDefault="001E1DDD" w:rsidP="00CF7888">
      <w:pPr>
        <w:spacing w:afterLines="50" w:after="156" w:line="600" w:lineRule="exact"/>
        <w:jc w:val="center"/>
        <w:rPr>
          <w:rFonts w:ascii="仿宋_GB2312" w:eastAsia="仿宋_GB2312" w:hAnsi="Calibri" w:cs="Times New Roman"/>
          <w:position w:val="-28"/>
          <w:sz w:val="30"/>
          <w:szCs w:val="30"/>
        </w:rPr>
      </w:pPr>
      <w:r>
        <w:rPr>
          <w:rFonts w:ascii="仿宋_GB2312" w:eastAsia="仿宋_GB2312" w:hAnsi="Calibri" w:cs="Times New Roman" w:hint="eastAsia"/>
          <w:position w:val="-28"/>
          <w:sz w:val="30"/>
          <w:szCs w:val="30"/>
        </w:rPr>
        <w:object w:dxaOrig="2964" w:dyaOrig="564">
          <v:shape id="_x0000_i1030" type="#_x0000_t75" style="width:148.1pt;height:28.1pt" o:ole="">
            <v:imagedata r:id="rId55" o:title=""/>
          </v:shape>
          <o:OLEObject Type="Embed" ProgID="Equation.DSMT4" ShapeID="_x0000_i1030" DrawAspect="Content" ObjectID="_1738154554" r:id="rId56"/>
        </w:objec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单个净额结算组合均应视为无保证金交易计算潜在风险暴露；</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在计算乘数因子时，应考虑变动保证金在不同净额结算组合之间的分配。当银行是保证金的净收取方，应将保证金优先</w:t>
      </w:r>
      <w:r>
        <w:rPr>
          <w:rFonts w:ascii="仿宋_GB2312" w:eastAsia="仿宋_GB2312" w:hAnsi="Times New Roman" w:cs="Times New Roman" w:hint="eastAsia"/>
          <w:bCs/>
          <w:sz w:val="30"/>
          <w:szCs w:val="30"/>
        </w:rPr>
        <w:lastRenderedPageBreak/>
        <w:t>分配给</w:t>
      </w:r>
      <w:proofErr w:type="gramStart"/>
      <w:r>
        <w:rPr>
          <w:rFonts w:ascii="仿宋_GB2312" w:eastAsia="仿宋_GB2312" w:hAnsi="Times New Roman" w:cs="Times New Roman" w:hint="eastAsia"/>
          <w:bCs/>
          <w:sz w:val="30"/>
          <w:szCs w:val="30"/>
        </w:rPr>
        <w:t>盯</w:t>
      </w:r>
      <w:proofErr w:type="gramEnd"/>
      <w:r>
        <w:rPr>
          <w:rFonts w:ascii="仿宋_GB2312" w:eastAsia="仿宋_GB2312" w:hAnsi="Times New Roman" w:cs="Times New Roman" w:hint="eastAsia"/>
          <w:bCs/>
          <w:sz w:val="30"/>
          <w:szCs w:val="30"/>
        </w:rPr>
        <w:t>市价值大于零的净额结算组合，分配数额不应高于单个净额结算组合的盯市价值，且不应为负数；当银行是保证金的净支付方，应将保证金优先分配给</w:t>
      </w:r>
      <w:proofErr w:type="gramStart"/>
      <w:r>
        <w:rPr>
          <w:rFonts w:ascii="仿宋_GB2312" w:eastAsia="仿宋_GB2312" w:hAnsi="Times New Roman" w:cs="Times New Roman" w:hint="eastAsia"/>
          <w:bCs/>
          <w:sz w:val="30"/>
          <w:szCs w:val="30"/>
        </w:rPr>
        <w:t>盯</w:t>
      </w:r>
      <w:proofErr w:type="gramEnd"/>
      <w:r>
        <w:rPr>
          <w:rFonts w:ascii="仿宋_GB2312" w:eastAsia="仿宋_GB2312" w:hAnsi="Times New Roman" w:cs="Times New Roman" w:hint="eastAsia"/>
          <w:bCs/>
          <w:sz w:val="30"/>
          <w:szCs w:val="30"/>
        </w:rPr>
        <w:t>市价值大于零的净额结算组合，分配金额不应低于单个净额结算组合的盯市价值，且不应为正数。除以上要求之外，银行有权自行决定保证金的分配。</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（七）违约风险暴露现期风险暴露法</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1．违约风险暴露计算规则如下：</w:t>
      </w:r>
    </w:p>
    <w:p w:rsidR="008850AE" w:rsidRDefault="001E1DDD" w:rsidP="00CF7888">
      <w:pPr>
        <w:spacing w:afterLines="50" w:after="156" w:line="480" w:lineRule="exact"/>
        <w:ind w:firstLineChars="200" w:firstLine="600"/>
        <w:jc w:val="center"/>
        <w:rPr>
          <w:rFonts w:ascii="仿宋_GB2312" w:eastAsia="仿宋_GB2312" w:hAnsi="Calibri" w:cs="Times New Roman"/>
          <w:position w:val="-6"/>
          <w:sz w:val="30"/>
          <w:szCs w:val="30"/>
        </w:rPr>
      </w:pPr>
      <w:r>
        <w:rPr>
          <w:rFonts w:ascii="仿宋_GB2312" w:eastAsia="仿宋_GB2312" w:hAnsi="Calibri" w:cs="Times New Roman" w:hint="eastAsia"/>
          <w:position w:val="-6"/>
          <w:sz w:val="30"/>
          <w:szCs w:val="30"/>
        </w:rPr>
        <w:object w:dxaOrig="2496" w:dyaOrig="300">
          <v:shape id="_x0000_i1031" type="#_x0000_t75" style="width:124.8pt;height:15.1pt" o:ole="">
            <v:imagedata r:id="rId57" o:title=""/>
          </v:shape>
          <o:OLEObject Type="Embed" ProgID="Equation.DSMT4" ShapeID="_x0000_i1031" DrawAspect="Content" ObjectID="_1738154555" r:id="rId58"/>
        </w:objec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（1）MTM为按</w:t>
      </w:r>
      <w:proofErr w:type="gramStart"/>
      <w:r>
        <w:rPr>
          <w:rFonts w:ascii="仿宋_GB2312" w:eastAsia="仿宋_GB2312" w:hAnsi="Times New Roman" w:cs="Times New Roman" w:hint="eastAsia"/>
          <w:bCs/>
          <w:sz w:val="30"/>
          <w:szCs w:val="30"/>
        </w:rPr>
        <w:t>盯</w:t>
      </w:r>
      <w:proofErr w:type="gramEnd"/>
      <w:r>
        <w:rPr>
          <w:rFonts w:ascii="仿宋_GB2312" w:eastAsia="仿宋_GB2312" w:hAnsi="Times New Roman" w:cs="Times New Roman" w:hint="eastAsia"/>
          <w:bCs/>
          <w:sz w:val="30"/>
          <w:szCs w:val="30"/>
        </w:rPr>
        <w:t>市价值计算的重置成本与0之间的较大者；</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（2）Add-on为反映剩余期限内潜在风险暴露的附加因子。</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（3）潜在风险暴露的附加因子（Add-on）等于衍生工具的名义本金乘以相应的附加系数。</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2．信用衍生工具的附加系数见表4。</w:t>
      </w:r>
    </w:p>
    <w:p w:rsidR="008850AE" w:rsidRDefault="001E1DDD" w:rsidP="00CF7888">
      <w:pPr>
        <w:widowControl/>
        <w:spacing w:line="480" w:lineRule="exact"/>
        <w:ind w:firstLineChars="200" w:firstLine="562"/>
        <w:jc w:val="center"/>
        <w:rPr>
          <w:rFonts w:ascii="Times New Roman" w:eastAsia="楷体_GB2312" w:hAnsi="Times New Roman" w:cs="Times New Roman"/>
          <w:b/>
          <w:sz w:val="28"/>
          <w:szCs w:val="28"/>
        </w:rPr>
      </w:pPr>
      <w:r>
        <w:rPr>
          <w:rFonts w:ascii="Times New Roman" w:eastAsia="楷体_GB2312" w:hAnsi="Times New Roman" w:cs="Times New Roman"/>
          <w:b/>
          <w:sz w:val="28"/>
          <w:szCs w:val="28"/>
        </w:rPr>
        <w:t>表</w:t>
      </w:r>
      <w:r>
        <w:rPr>
          <w:rFonts w:ascii="仿宋_GB2312" w:eastAsia="仿宋_GB2312" w:hAnsi="Times New Roman" w:cs="Times New Roman" w:hint="eastAsia"/>
          <w:b/>
          <w:sz w:val="28"/>
          <w:szCs w:val="28"/>
        </w:rPr>
        <w:t xml:space="preserve">4 </w:t>
      </w:r>
      <w:r>
        <w:rPr>
          <w:rFonts w:ascii="Times New Roman" w:eastAsia="楷体_GB2312" w:hAnsi="Times New Roman" w:cs="Times New Roman"/>
          <w:b/>
          <w:sz w:val="28"/>
          <w:szCs w:val="28"/>
        </w:rPr>
        <w:t>信用衍生工具的附加系数</w:t>
      </w:r>
    </w:p>
    <w:tbl>
      <w:tblPr>
        <w:tblStyle w:val="a8"/>
        <w:tblW w:w="10490" w:type="dxa"/>
        <w:tblInd w:w="-1026" w:type="dxa"/>
        <w:tblLayout w:type="fixed"/>
        <w:tblLook w:val="04A0" w:firstRow="1" w:lastRow="0" w:firstColumn="1" w:lastColumn="0" w:noHBand="0" w:noVBand="1"/>
      </w:tblPr>
      <w:tblGrid>
        <w:gridCol w:w="3402"/>
        <w:gridCol w:w="1985"/>
        <w:gridCol w:w="2410"/>
        <w:gridCol w:w="2693"/>
      </w:tblGrid>
      <w:tr w:rsidR="008850AE">
        <w:trPr>
          <w:trHeight w:val="610"/>
        </w:trPr>
        <w:tc>
          <w:tcPr>
            <w:tcW w:w="3402"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类型</w:t>
            </w:r>
          </w:p>
        </w:tc>
        <w:tc>
          <w:tcPr>
            <w:tcW w:w="1985"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参照资产</w:t>
            </w:r>
          </w:p>
        </w:tc>
        <w:tc>
          <w:tcPr>
            <w:tcW w:w="2410"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信用保护买方（％）</w:t>
            </w:r>
          </w:p>
        </w:tc>
        <w:tc>
          <w:tcPr>
            <w:tcW w:w="2693"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信用保护卖方（％）</w:t>
            </w:r>
          </w:p>
        </w:tc>
      </w:tr>
      <w:tr w:rsidR="008850AE">
        <w:trPr>
          <w:trHeight w:val="616"/>
        </w:trPr>
        <w:tc>
          <w:tcPr>
            <w:tcW w:w="3402" w:type="dxa"/>
            <w:vMerge w:val="restart"/>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总收益互换</w:t>
            </w:r>
            <w:r>
              <w:rPr>
                <w:rFonts w:ascii="宋体" w:eastAsia="宋体" w:hAnsi="宋体" w:cs="Times New Roman" w:hint="eastAsia"/>
                <w:kern w:val="0"/>
                <w:sz w:val="22"/>
              </w:rPr>
              <w:t>及其他具有上述产品功能的信用衍生工具</w:t>
            </w:r>
          </w:p>
        </w:tc>
        <w:tc>
          <w:tcPr>
            <w:tcW w:w="1985"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合格参照资产</w:t>
            </w:r>
          </w:p>
        </w:tc>
        <w:tc>
          <w:tcPr>
            <w:tcW w:w="2410"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5</w:t>
            </w:r>
          </w:p>
        </w:tc>
        <w:tc>
          <w:tcPr>
            <w:tcW w:w="2693"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5</w:t>
            </w:r>
          </w:p>
        </w:tc>
      </w:tr>
      <w:tr w:rsidR="008850AE">
        <w:trPr>
          <w:trHeight w:val="617"/>
        </w:trPr>
        <w:tc>
          <w:tcPr>
            <w:tcW w:w="3402" w:type="dxa"/>
            <w:vMerge/>
            <w:vAlign w:val="center"/>
          </w:tcPr>
          <w:p w:rsidR="008850AE" w:rsidRDefault="008850AE">
            <w:pPr>
              <w:widowControl/>
              <w:ind w:firstLineChars="200" w:firstLine="440"/>
              <w:rPr>
                <w:rFonts w:ascii="宋体" w:eastAsia="宋体" w:hAnsi="宋体" w:cs="Times New Roman"/>
                <w:kern w:val="0"/>
                <w:sz w:val="22"/>
              </w:rPr>
            </w:pPr>
          </w:p>
        </w:tc>
        <w:tc>
          <w:tcPr>
            <w:tcW w:w="1985"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不合格参照资产</w:t>
            </w:r>
          </w:p>
        </w:tc>
        <w:tc>
          <w:tcPr>
            <w:tcW w:w="2410"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10</w:t>
            </w:r>
          </w:p>
        </w:tc>
        <w:tc>
          <w:tcPr>
            <w:tcW w:w="2693"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10</w:t>
            </w:r>
          </w:p>
        </w:tc>
      </w:tr>
      <w:tr w:rsidR="008850AE">
        <w:trPr>
          <w:trHeight w:val="617"/>
        </w:trPr>
        <w:tc>
          <w:tcPr>
            <w:tcW w:w="3402" w:type="dxa"/>
            <w:vMerge w:val="restart"/>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信用违约互换</w:t>
            </w:r>
            <w:r>
              <w:rPr>
                <w:rFonts w:ascii="宋体" w:eastAsia="宋体" w:hAnsi="宋体" w:cs="Times New Roman" w:hint="eastAsia"/>
                <w:kern w:val="0"/>
                <w:sz w:val="22"/>
              </w:rPr>
              <w:t>、信用风险缓释凭证、信用保护合约、信用保护凭证等其他具有上述产品功能的信用衍生工具</w:t>
            </w:r>
          </w:p>
        </w:tc>
        <w:tc>
          <w:tcPr>
            <w:tcW w:w="1985"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合格参照资产</w:t>
            </w:r>
          </w:p>
        </w:tc>
        <w:tc>
          <w:tcPr>
            <w:tcW w:w="2410"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5</w:t>
            </w:r>
          </w:p>
        </w:tc>
        <w:tc>
          <w:tcPr>
            <w:tcW w:w="2693"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5</w:t>
            </w:r>
          </w:p>
        </w:tc>
      </w:tr>
      <w:tr w:rsidR="008850AE">
        <w:trPr>
          <w:trHeight w:val="617"/>
        </w:trPr>
        <w:tc>
          <w:tcPr>
            <w:tcW w:w="3402" w:type="dxa"/>
            <w:vMerge/>
            <w:vAlign w:val="center"/>
          </w:tcPr>
          <w:p w:rsidR="008850AE" w:rsidRDefault="008850AE">
            <w:pPr>
              <w:widowControl/>
              <w:ind w:firstLineChars="200" w:firstLine="440"/>
              <w:rPr>
                <w:rFonts w:ascii="宋体" w:eastAsia="宋体" w:hAnsi="宋体" w:cs="Times New Roman"/>
                <w:kern w:val="0"/>
                <w:sz w:val="22"/>
              </w:rPr>
            </w:pPr>
          </w:p>
        </w:tc>
        <w:tc>
          <w:tcPr>
            <w:tcW w:w="1985"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不合格参照资产</w:t>
            </w:r>
          </w:p>
        </w:tc>
        <w:tc>
          <w:tcPr>
            <w:tcW w:w="2410"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10</w:t>
            </w:r>
          </w:p>
        </w:tc>
        <w:tc>
          <w:tcPr>
            <w:tcW w:w="2693"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10</w:t>
            </w:r>
          </w:p>
        </w:tc>
      </w:tr>
    </w:tbl>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（1）合格参照资产包括我国中央政府、中国人民银行、开发性金融机构和政策性银行发行的债券，以及本办法附件16所规定的政府证券和合格证券。</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（2）信用违约互换的信用保护卖方只有在参照资产的发行人尚能履约但信用保护买方破产的情况下才需计算附加因子，且以信用保护买方尚未支付的费用为上限。</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lastRenderedPageBreak/>
        <w:t>（3）在信用衍生工具的参照资产由多项资产构成的情况下，如果参照资产组中第一项参照资产违约即算做整体违约，附加系数由参照资产组中信用质量最低的参照资产决定；如果参照资产组中第二项参照资产违约才算整体违约，则附加系数由信用质量次低的参照资产决定，依此类推。</w:t>
      </w:r>
    </w:p>
    <w:p w:rsidR="008850AE" w:rsidRDefault="001E1DDD">
      <w:pPr>
        <w:spacing w:line="480" w:lineRule="exact"/>
        <w:ind w:firstLineChars="200" w:firstLine="600"/>
        <w:rPr>
          <w:rFonts w:ascii="Times New Roman" w:eastAsia="仿宋_GB2312" w:hAnsi="Times New Roman" w:cs="Times New Roman"/>
          <w:bCs/>
          <w:sz w:val="30"/>
          <w:szCs w:val="30"/>
        </w:rPr>
      </w:pPr>
      <w:r>
        <w:rPr>
          <w:rFonts w:ascii="仿宋_GB2312" w:eastAsia="仿宋_GB2312" w:hAnsi="Times New Roman" w:cs="Times New Roman" w:hint="eastAsia"/>
          <w:bCs/>
          <w:sz w:val="30"/>
          <w:szCs w:val="30"/>
        </w:rPr>
        <w:t>3．除信用衍生工具外，其他衍生工具的附加系数见表5。</w:t>
      </w:r>
    </w:p>
    <w:p w:rsidR="008850AE" w:rsidRDefault="001E1DDD" w:rsidP="00CF7888">
      <w:pPr>
        <w:widowControl/>
        <w:spacing w:line="480" w:lineRule="exact"/>
        <w:ind w:firstLineChars="200" w:firstLine="562"/>
        <w:jc w:val="center"/>
        <w:rPr>
          <w:rFonts w:ascii="Times New Roman" w:eastAsia="楷体_GB2312" w:hAnsi="Times New Roman" w:cs="Times New Roman"/>
          <w:b/>
          <w:sz w:val="28"/>
          <w:szCs w:val="28"/>
        </w:rPr>
      </w:pPr>
      <w:r>
        <w:rPr>
          <w:rFonts w:ascii="Times New Roman" w:eastAsia="楷体_GB2312" w:hAnsi="Times New Roman" w:cs="Times New Roman"/>
          <w:b/>
          <w:sz w:val="28"/>
          <w:szCs w:val="28"/>
        </w:rPr>
        <w:t>表</w:t>
      </w:r>
      <w:r>
        <w:rPr>
          <w:rFonts w:ascii="楷体_GB2312" w:eastAsia="楷体_GB2312" w:hAnsi="Times New Roman" w:cs="Times New Roman" w:hint="eastAsia"/>
          <w:b/>
          <w:sz w:val="28"/>
          <w:szCs w:val="28"/>
        </w:rPr>
        <w:t>5</w:t>
      </w:r>
      <w:r>
        <w:rPr>
          <w:rFonts w:ascii="Times New Roman" w:eastAsia="楷体_GB2312" w:hAnsi="Times New Roman" w:cs="Times New Roman"/>
          <w:b/>
          <w:sz w:val="28"/>
          <w:szCs w:val="28"/>
        </w:rPr>
        <w:t xml:space="preserve"> </w:t>
      </w:r>
      <w:r>
        <w:rPr>
          <w:rFonts w:ascii="Times New Roman" w:eastAsia="楷体_GB2312" w:hAnsi="Times New Roman" w:cs="Times New Roman"/>
          <w:b/>
          <w:sz w:val="28"/>
          <w:szCs w:val="28"/>
        </w:rPr>
        <w:t>各类其他衍生工具的附加系数</w:t>
      </w:r>
    </w:p>
    <w:tbl>
      <w:tblPr>
        <w:tblStyle w:val="a8"/>
        <w:tblW w:w="9180" w:type="dxa"/>
        <w:tblLayout w:type="fixed"/>
        <w:tblLook w:val="04A0" w:firstRow="1" w:lastRow="0" w:firstColumn="1" w:lastColumn="0" w:noHBand="0" w:noVBand="1"/>
      </w:tblPr>
      <w:tblGrid>
        <w:gridCol w:w="1530"/>
        <w:gridCol w:w="1530"/>
        <w:gridCol w:w="1530"/>
        <w:gridCol w:w="1530"/>
        <w:gridCol w:w="1530"/>
        <w:gridCol w:w="1530"/>
      </w:tblGrid>
      <w:tr w:rsidR="008850AE">
        <w:tc>
          <w:tcPr>
            <w:tcW w:w="1530"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剩余期限</w:t>
            </w:r>
          </w:p>
        </w:tc>
        <w:tc>
          <w:tcPr>
            <w:tcW w:w="1530" w:type="dxa"/>
            <w:vAlign w:val="center"/>
          </w:tcPr>
          <w:p w:rsidR="008850AE" w:rsidRDefault="001E1DDD">
            <w:pPr>
              <w:pStyle w:val="Paragraph"/>
              <w:keepNext/>
              <w:spacing w:after="0"/>
              <w:rPr>
                <w:rFonts w:ascii="宋体" w:hAnsi="宋体"/>
                <w:szCs w:val="22"/>
                <w:lang w:val="en-US"/>
              </w:rPr>
            </w:pPr>
            <w:r>
              <w:rPr>
                <w:rFonts w:ascii="宋体" w:hAnsi="宋体"/>
                <w:szCs w:val="22"/>
                <w:lang w:val="en-US"/>
              </w:rPr>
              <w:t>利率（％）</w:t>
            </w:r>
          </w:p>
        </w:tc>
        <w:tc>
          <w:tcPr>
            <w:tcW w:w="1530" w:type="dxa"/>
            <w:vAlign w:val="center"/>
          </w:tcPr>
          <w:p w:rsidR="008850AE" w:rsidRDefault="001E1DDD">
            <w:pPr>
              <w:pStyle w:val="Paragraph"/>
              <w:keepNext/>
              <w:spacing w:after="0"/>
              <w:rPr>
                <w:rFonts w:ascii="宋体" w:hAnsi="宋体"/>
                <w:szCs w:val="22"/>
                <w:lang w:val="en-US"/>
              </w:rPr>
            </w:pPr>
            <w:r>
              <w:rPr>
                <w:rFonts w:ascii="宋体" w:hAnsi="宋体"/>
                <w:szCs w:val="22"/>
                <w:lang w:val="en-US"/>
              </w:rPr>
              <w:t>汇率和黄金（％）</w:t>
            </w:r>
          </w:p>
        </w:tc>
        <w:tc>
          <w:tcPr>
            <w:tcW w:w="1530" w:type="dxa"/>
            <w:vAlign w:val="center"/>
          </w:tcPr>
          <w:p w:rsidR="008850AE" w:rsidRDefault="001E1DDD">
            <w:pPr>
              <w:pStyle w:val="Paragraph"/>
              <w:keepNext/>
              <w:spacing w:after="0"/>
              <w:rPr>
                <w:rFonts w:ascii="宋体" w:hAnsi="宋体"/>
                <w:szCs w:val="22"/>
                <w:lang w:val="en-US"/>
              </w:rPr>
            </w:pPr>
            <w:r>
              <w:rPr>
                <w:rFonts w:ascii="宋体" w:hAnsi="宋体"/>
                <w:szCs w:val="22"/>
                <w:lang w:val="en-US"/>
              </w:rPr>
              <w:t>股票（％）</w:t>
            </w:r>
          </w:p>
        </w:tc>
        <w:tc>
          <w:tcPr>
            <w:tcW w:w="1530" w:type="dxa"/>
            <w:vAlign w:val="center"/>
          </w:tcPr>
          <w:p w:rsidR="008850AE" w:rsidRDefault="001E1DDD">
            <w:pPr>
              <w:pStyle w:val="Paragraph"/>
              <w:keepNext/>
              <w:spacing w:after="0"/>
              <w:rPr>
                <w:rFonts w:ascii="宋体" w:hAnsi="宋体"/>
                <w:szCs w:val="22"/>
                <w:lang w:val="en-US"/>
              </w:rPr>
            </w:pPr>
            <w:r>
              <w:rPr>
                <w:rFonts w:ascii="宋体" w:hAnsi="宋体"/>
                <w:szCs w:val="22"/>
                <w:lang w:val="en-US"/>
              </w:rPr>
              <w:t>黄金以外的贵金属（％）</w:t>
            </w:r>
          </w:p>
        </w:tc>
        <w:tc>
          <w:tcPr>
            <w:tcW w:w="1530" w:type="dxa"/>
            <w:vAlign w:val="center"/>
          </w:tcPr>
          <w:p w:rsidR="008850AE" w:rsidRDefault="001E1DDD">
            <w:pPr>
              <w:pStyle w:val="Paragraph"/>
              <w:keepNext/>
              <w:spacing w:after="0"/>
              <w:rPr>
                <w:rFonts w:ascii="宋体" w:hAnsi="宋体"/>
                <w:szCs w:val="22"/>
                <w:lang w:val="en-US"/>
              </w:rPr>
            </w:pPr>
            <w:r>
              <w:rPr>
                <w:rFonts w:ascii="宋体" w:hAnsi="宋体"/>
                <w:szCs w:val="22"/>
                <w:lang w:val="en-US"/>
              </w:rPr>
              <w:t>其它商品（％）</w:t>
            </w:r>
          </w:p>
        </w:tc>
      </w:tr>
      <w:tr w:rsidR="008850AE">
        <w:tc>
          <w:tcPr>
            <w:tcW w:w="1530"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不超过1年</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0.0</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1.0</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6.0</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7.0</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10.0</w:t>
            </w:r>
          </w:p>
        </w:tc>
      </w:tr>
      <w:tr w:rsidR="008850AE">
        <w:tc>
          <w:tcPr>
            <w:tcW w:w="1530"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1年以上，不超过5年</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0.5</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5.0</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8.0</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7.0</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12.0</w:t>
            </w:r>
          </w:p>
        </w:tc>
      </w:tr>
      <w:tr w:rsidR="008850AE">
        <w:tc>
          <w:tcPr>
            <w:tcW w:w="1530" w:type="dxa"/>
            <w:vAlign w:val="center"/>
          </w:tcPr>
          <w:p w:rsidR="008850AE" w:rsidRDefault="001E1DDD">
            <w:pPr>
              <w:widowControl/>
              <w:rPr>
                <w:rFonts w:ascii="宋体" w:eastAsia="宋体" w:hAnsi="宋体" w:cs="Times New Roman"/>
                <w:kern w:val="0"/>
                <w:sz w:val="22"/>
              </w:rPr>
            </w:pPr>
            <w:r>
              <w:rPr>
                <w:rFonts w:ascii="宋体" w:eastAsia="宋体" w:hAnsi="宋体" w:cs="Times New Roman"/>
                <w:kern w:val="0"/>
                <w:sz w:val="22"/>
              </w:rPr>
              <w:t>5年以上</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1.5</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7.5</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10.0</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8.0</w:t>
            </w:r>
          </w:p>
        </w:tc>
        <w:tc>
          <w:tcPr>
            <w:tcW w:w="1530" w:type="dxa"/>
            <w:vAlign w:val="center"/>
          </w:tcPr>
          <w:p w:rsidR="008850AE" w:rsidRDefault="001E1DDD">
            <w:pPr>
              <w:widowControl/>
              <w:ind w:firstLineChars="200" w:firstLine="440"/>
              <w:rPr>
                <w:rFonts w:ascii="宋体" w:eastAsia="宋体" w:hAnsi="宋体" w:cs="Times New Roman"/>
                <w:kern w:val="0"/>
                <w:sz w:val="22"/>
              </w:rPr>
            </w:pPr>
            <w:r>
              <w:rPr>
                <w:rFonts w:ascii="宋体" w:eastAsia="宋体" w:hAnsi="宋体" w:cs="Times New Roman"/>
                <w:kern w:val="0"/>
                <w:sz w:val="22"/>
              </w:rPr>
              <w:t>15.0</w:t>
            </w:r>
          </w:p>
        </w:tc>
      </w:tr>
    </w:tbl>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4．商业银行为对冲银行账簿信用风险或交易对手信用风险而购买的合格信用衍生工具，若在信用框架下已考虑风险缓释作用并足额计提风险加权资产，可认为违约风险暴露为0，其中，合格信用衍生工具应符合本办法附件3第四部分的标准。</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5．若商业银行将销售的信用违约互换划入银行账簿，并且将其当作保证来计算信用风险加权资产，计算交易对手违约风险加权资产时该信用违约互换的违约风险暴露为0。</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6．衍生工具交易符合本附件第二部分（五）净额结算要求的，商业银行可按照以下方法计算违约风险暴露：</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（1）交易对手的净违约风险暴露为当前暴露净额与潜在暴露净额之</w:t>
      </w:r>
      <w:proofErr w:type="gramStart"/>
      <w:r>
        <w:rPr>
          <w:rFonts w:ascii="仿宋_GB2312" w:eastAsia="仿宋_GB2312" w:hAnsi="Times New Roman" w:cs="Times New Roman" w:hint="eastAsia"/>
          <w:bCs/>
          <w:sz w:val="30"/>
          <w:szCs w:val="30"/>
        </w:rPr>
        <w:t>和</w:t>
      </w:r>
      <w:proofErr w:type="gramEnd"/>
      <w:r>
        <w:rPr>
          <w:rFonts w:ascii="仿宋_GB2312" w:eastAsia="仿宋_GB2312" w:hAnsi="Times New Roman" w:cs="Times New Roman" w:hint="eastAsia"/>
          <w:bCs/>
          <w:sz w:val="30"/>
          <w:szCs w:val="30"/>
        </w:rPr>
        <w:t>。</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（2）当前暴露净额为净盯市重置成本与0之间的较大值。</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（3）潜在暴露净额，由下式计算：</w:t>
      </w:r>
    </w:p>
    <w:p w:rsidR="008850AE" w:rsidRDefault="001E1DDD" w:rsidP="00CF7888">
      <w:pPr>
        <w:jc w:val="center"/>
        <w:rPr>
          <w:rFonts w:ascii="仿宋_GB2312" w:eastAsia="仿宋_GB2312" w:hAnsi="Times New Roman" w:cs="Times New Roman"/>
          <w:sz w:val="30"/>
          <w:szCs w:val="30"/>
        </w:rPr>
      </w:pPr>
      <w:r>
        <w:rPr>
          <w:rFonts w:ascii="仿宋_GB2312" w:eastAsia="仿宋_GB2312" w:hAnsi="Times New Roman" w:cs="Times New Roman" w:hint="eastAsia"/>
          <w:position w:val="-12"/>
          <w:sz w:val="30"/>
          <w:szCs w:val="30"/>
        </w:rPr>
        <w:object w:dxaOrig="3672" w:dyaOrig="360">
          <v:shape id="_x0000_i1032" type="#_x0000_t75" style="width:183.75pt;height:18.15pt" o:ole="">
            <v:imagedata r:id="rId59" o:title=""/>
          </v:shape>
          <o:OLEObject Type="Embed" ProgID="Equation.3" ShapeID="_x0000_i1032" DrawAspect="Content" ObjectID="_1738154556" r:id="rId60"/>
        </w:objec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其中：</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object w:dxaOrig="588" w:dyaOrig="360">
          <v:shape id="_x0000_i1033" type="#_x0000_t75" style="width:29.5pt;height:18.15pt" o:ole="">
            <v:imagedata r:id="rId61" o:title=""/>
          </v:shape>
          <o:OLEObject Type="Embed" ProgID="Equation.3" ShapeID="_x0000_i1033" DrawAspect="Content" ObjectID="_1738154557" r:id="rId62"/>
        </w:object>
      </w:r>
      <w:r>
        <w:rPr>
          <w:rFonts w:ascii="仿宋_GB2312" w:eastAsia="仿宋_GB2312" w:hAnsi="Times New Roman" w:cs="Times New Roman" w:hint="eastAsia"/>
          <w:bCs/>
          <w:sz w:val="30"/>
          <w:szCs w:val="30"/>
        </w:rPr>
        <w:t>为净额结算协议下对同一交易对手的所有合约的潜在暴露之和，等于每笔交易合约本金乘以相应的附加系数的总和，</w:t>
      </w:r>
      <w:r>
        <w:rPr>
          <w:rFonts w:ascii="仿宋_GB2312" w:eastAsia="仿宋_GB2312" w:hAnsi="Times New Roman" w:cs="Times New Roman" w:hint="eastAsia"/>
          <w:bCs/>
          <w:sz w:val="30"/>
          <w:szCs w:val="30"/>
        </w:rPr>
        <w:lastRenderedPageBreak/>
        <w:t>附加系数见本附件表5；</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object w:dxaOrig="588" w:dyaOrig="288">
          <v:shape id="_x0000_i1034" type="#_x0000_t75" style="width:29.5pt;height:14.4pt" o:ole="">
            <v:imagedata r:id="rId63" o:title=""/>
          </v:shape>
          <o:OLEObject Type="Embed" ProgID="Equation.3" ShapeID="_x0000_i1034" DrawAspect="Content" ObjectID="_1738154558" r:id="rId64"/>
        </w:object>
      </w:r>
      <w:r>
        <w:rPr>
          <w:rFonts w:ascii="仿宋_GB2312" w:eastAsia="仿宋_GB2312" w:hAnsi="Times New Roman" w:cs="Times New Roman" w:hint="eastAsia"/>
          <w:bCs/>
          <w:sz w:val="30"/>
          <w:szCs w:val="30"/>
        </w:rPr>
        <w:t>为净额结算协议重置成本净额与重置成本总额的比率。</w:t>
      </w:r>
      <w:r>
        <w:rPr>
          <w:rFonts w:ascii="仿宋_GB2312" w:eastAsia="仿宋_GB2312" w:hAnsi="Times New Roman" w:cs="Times New Roman" w:hint="eastAsia"/>
          <w:bCs/>
          <w:sz w:val="30"/>
          <w:szCs w:val="30"/>
        </w:rPr>
        <w:object w:dxaOrig="588" w:dyaOrig="288">
          <v:shape id="_x0000_i1035" type="#_x0000_t75" style="width:29.5pt;height:14.4pt" o:ole="">
            <v:imagedata r:id="rId63" o:title=""/>
          </v:shape>
          <o:OLEObject Type="Embed" ProgID="Equation.3" ShapeID="_x0000_i1035" DrawAspect="Content" ObjectID="_1738154559" r:id="rId65"/>
        </w:object>
      </w:r>
      <w:r>
        <w:rPr>
          <w:rFonts w:ascii="仿宋_GB2312" w:eastAsia="仿宋_GB2312" w:hAnsi="Times New Roman" w:cs="Times New Roman" w:hint="eastAsia"/>
          <w:bCs/>
          <w:sz w:val="30"/>
          <w:szCs w:val="30"/>
        </w:rPr>
        <w:t>既可以基于单个交易对手，也可以基于净额结算协议覆盖的所有交易。</w:t>
      </w:r>
    </w:p>
    <w:p w:rsidR="008850AE" w:rsidRDefault="001E1DDD">
      <w:pPr>
        <w:spacing w:line="480" w:lineRule="exact"/>
        <w:ind w:firstLineChars="200" w:firstLine="600"/>
        <w:rPr>
          <w:rFonts w:ascii="Times New Roman" w:eastAsia="仿宋_GB2312" w:hAnsi="Times New Roman" w:cs="Times New Roman"/>
          <w:bCs/>
          <w:sz w:val="30"/>
          <w:szCs w:val="30"/>
        </w:rPr>
      </w:pPr>
      <w:r>
        <w:rPr>
          <w:rFonts w:ascii="仿宋_GB2312" w:eastAsia="仿宋_GB2312" w:hAnsi="Times New Roman" w:cs="Times New Roman" w:hint="eastAsia"/>
          <w:bCs/>
          <w:sz w:val="30"/>
          <w:szCs w:val="30"/>
        </w:rPr>
        <w:t>未经银保监会认可，商业银行不得变更计算方法。</w:t>
      </w:r>
    </w:p>
    <w:p w:rsidR="008850AE" w:rsidRDefault="001E1DDD">
      <w:pPr>
        <w:pStyle w:val="2"/>
        <w:jc w:val="both"/>
      </w:pPr>
      <w:r>
        <w:t>三、证券融资交易的交易对手违约风险加权资产的计量</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t>（一）商业银行可采用权重法或内部评级法计量证券融资交易的交易对手违约风险加权资产。</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t>（二）商业银行采用内部评级法的，按照本办法附件6和附件7的规定计量银行账簿和交易账簿中的证券融资交易的风险加权资产。</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t>（三）商业银行采用权重法的，采用以下方法处理</w:t>
      </w:r>
      <w:r>
        <w:rPr>
          <w:rFonts w:ascii="仿宋_GB2312" w:eastAsia="仿宋_GB2312" w:hAnsi="Times New Roman" w:cs="Times New Roman" w:hint="eastAsia"/>
          <w:bCs/>
          <w:sz w:val="30"/>
          <w:szCs w:val="30"/>
        </w:rPr>
        <w:t>：</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t>1</w:t>
      </w:r>
      <w:r>
        <w:rPr>
          <w:rFonts w:ascii="仿宋_GB2312" w:eastAsia="仿宋_GB2312" w:hAnsi="Times New Roman" w:cs="Times New Roman" w:hint="eastAsia"/>
          <w:bCs/>
          <w:sz w:val="30"/>
          <w:szCs w:val="30"/>
        </w:rPr>
        <w:t>．</w:t>
      </w:r>
      <w:r>
        <w:rPr>
          <w:rFonts w:ascii="仿宋_GB2312" w:eastAsia="仿宋_GB2312" w:hAnsi="Times New Roman" w:cs="Times New Roman"/>
          <w:bCs/>
          <w:sz w:val="30"/>
          <w:szCs w:val="30"/>
        </w:rPr>
        <w:t>对于银行账簿中</w:t>
      </w:r>
      <w:r>
        <w:rPr>
          <w:rFonts w:ascii="仿宋_GB2312" w:eastAsia="仿宋_GB2312" w:hAnsi="Times New Roman" w:cs="Times New Roman" w:hint="eastAsia"/>
          <w:bCs/>
          <w:sz w:val="30"/>
          <w:szCs w:val="30"/>
        </w:rPr>
        <w:t>的</w:t>
      </w:r>
      <w:r>
        <w:rPr>
          <w:rFonts w:ascii="仿宋_GB2312" w:eastAsia="仿宋_GB2312" w:hAnsi="Times New Roman" w:cs="Times New Roman"/>
          <w:bCs/>
          <w:sz w:val="30"/>
          <w:szCs w:val="30"/>
        </w:rPr>
        <w:t>证券融资交易，按照本办法正文第八十</w:t>
      </w:r>
      <w:r>
        <w:rPr>
          <w:rFonts w:ascii="仿宋_GB2312" w:eastAsia="仿宋_GB2312" w:hAnsi="Times New Roman" w:cs="Times New Roman" w:hint="eastAsia"/>
          <w:bCs/>
          <w:sz w:val="30"/>
          <w:szCs w:val="30"/>
        </w:rPr>
        <w:t>五</w:t>
      </w:r>
      <w:r>
        <w:rPr>
          <w:rFonts w:ascii="仿宋_GB2312" w:eastAsia="仿宋_GB2312" w:hAnsi="Times New Roman" w:cs="Times New Roman"/>
          <w:bCs/>
          <w:sz w:val="30"/>
          <w:szCs w:val="30"/>
        </w:rPr>
        <w:t>条至第</w:t>
      </w:r>
      <w:r>
        <w:rPr>
          <w:rFonts w:ascii="仿宋_GB2312" w:eastAsia="仿宋_GB2312" w:hAnsi="Times New Roman" w:cs="Times New Roman" w:hint="eastAsia"/>
          <w:bCs/>
          <w:sz w:val="30"/>
          <w:szCs w:val="30"/>
        </w:rPr>
        <w:t>八十八</w:t>
      </w:r>
      <w:r>
        <w:rPr>
          <w:rFonts w:ascii="仿宋_GB2312" w:eastAsia="仿宋_GB2312" w:hAnsi="Times New Roman" w:cs="Times New Roman"/>
          <w:bCs/>
          <w:sz w:val="30"/>
          <w:szCs w:val="30"/>
        </w:rPr>
        <w:t>条、附件3的规定计量风险加权资产。</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t>2</w:t>
      </w:r>
      <w:r>
        <w:rPr>
          <w:rFonts w:ascii="仿宋_GB2312" w:eastAsia="仿宋_GB2312" w:hAnsi="Times New Roman" w:cs="Times New Roman" w:hint="eastAsia"/>
          <w:bCs/>
          <w:sz w:val="30"/>
          <w:szCs w:val="30"/>
        </w:rPr>
        <w:t>．</w:t>
      </w:r>
      <w:r>
        <w:rPr>
          <w:rFonts w:ascii="仿宋_GB2312" w:eastAsia="仿宋_GB2312" w:hAnsi="Times New Roman" w:cs="Times New Roman"/>
          <w:bCs/>
          <w:sz w:val="30"/>
          <w:szCs w:val="30"/>
        </w:rPr>
        <w:t>对于交易账簿中的证券融资交易，交易对手信用风险加权资产为证券融资交易风险缓释后风险暴露乘以本办</w:t>
      </w:r>
      <w:r>
        <w:rPr>
          <w:rFonts w:ascii="仿宋_GB2312" w:eastAsia="仿宋_GB2312" w:hAnsi="Times New Roman" w:cs="Times New Roman" w:hint="eastAsia"/>
          <w:bCs/>
          <w:sz w:val="30"/>
          <w:szCs w:val="30"/>
        </w:rPr>
        <w:t>法</w:t>
      </w:r>
      <w:r>
        <w:rPr>
          <w:rFonts w:ascii="仿宋_GB2312" w:eastAsia="仿宋_GB2312" w:hAnsi="Times New Roman" w:cs="Times New Roman"/>
          <w:bCs/>
          <w:sz w:val="30"/>
          <w:szCs w:val="30"/>
        </w:rPr>
        <w:t>附件3规定的交易对手的风险权重。</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t>3</w:t>
      </w:r>
      <w:r>
        <w:rPr>
          <w:rFonts w:ascii="仿宋_GB2312" w:eastAsia="仿宋_GB2312" w:hAnsi="Times New Roman" w:cs="Times New Roman" w:hint="eastAsia"/>
          <w:bCs/>
          <w:sz w:val="30"/>
          <w:szCs w:val="30"/>
        </w:rPr>
        <w:t>．</w:t>
      </w:r>
      <w:r>
        <w:rPr>
          <w:rFonts w:ascii="仿宋_GB2312" w:eastAsia="仿宋_GB2312" w:hAnsi="Times New Roman" w:cs="Times New Roman"/>
          <w:bCs/>
          <w:sz w:val="30"/>
          <w:szCs w:val="30"/>
        </w:rPr>
        <w:t>证券融资交易风险缓释后风险暴露按照以下公式计量：</w:t>
      </w:r>
    </w:p>
    <w:p w:rsidR="008850AE" w:rsidRDefault="001E1DDD" w:rsidP="00CF7888">
      <w:pPr>
        <w:ind w:firstLineChars="200" w:firstLine="420"/>
        <w:jc w:val="center"/>
      </w:pPr>
      <w:r>
        <w:object w:dxaOrig="4680" w:dyaOrig="396">
          <v:shape id="_x0000_i1036" type="#_x0000_t75" style="width:234.15pt;height:19.9pt" o:ole="">
            <v:imagedata r:id="rId66" o:title=""/>
          </v:shape>
          <o:OLEObject Type="Embed" ProgID="Equation.3" ShapeID="_x0000_i1036" DrawAspect="Content" ObjectID="_1738154560" r:id="rId67"/>
        </w:objec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t>其中：</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object w:dxaOrig="240" w:dyaOrig="264">
          <v:shape id="_x0000_i1037" type="#_x0000_t75" style="width:12pt;height:13.35pt" o:ole="">
            <v:imagedata r:id="rId68" o:title=""/>
          </v:shape>
          <o:OLEObject Type="Embed" ProgID="Equation.DSMT4" ShapeID="_x0000_i1037" DrawAspect="Content" ObjectID="_1738154561" r:id="rId69"/>
        </w:object>
      </w:r>
      <w:r>
        <w:rPr>
          <w:rFonts w:ascii="仿宋_GB2312" w:eastAsia="仿宋_GB2312" w:hAnsi="Times New Roman" w:cs="Times New Roman"/>
          <w:bCs/>
          <w:sz w:val="30"/>
          <w:szCs w:val="30"/>
        </w:rPr>
        <w:t>为证券融资交易风险缓释前风险暴露</w:t>
      </w:r>
      <w:r>
        <w:rPr>
          <w:rFonts w:ascii="仿宋_GB2312" w:eastAsia="仿宋_GB2312" w:hAnsi="Times New Roman" w:cs="Times New Roman" w:hint="eastAsia"/>
          <w:bCs/>
          <w:sz w:val="30"/>
          <w:szCs w:val="30"/>
        </w:rPr>
        <w:t>；</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object w:dxaOrig="324" w:dyaOrig="300">
          <v:shape id="_x0000_i1038" type="#_x0000_t75" style="width:16.1pt;height:15.1pt" o:ole="">
            <v:imagedata r:id="rId70" o:title=""/>
          </v:shape>
          <o:OLEObject Type="Embed" ProgID="Equation.3" ShapeID="_x0000_i1038" DrawAspect="Content" ObjectID="_1738154562" r:id="rId71"/>
        </w:object>
      </w:r>
      <w:r>
        <w:rPr>
          <w:rFonts w:ascii="仿宋_GB2312" w:eastAsia="仿宋_GB2312" w:hAnsi="Times New Roman" w:cs="Times New Roman"/>
          <w:bCs/>
          <w:sz w:val="30"/>
          <w:szCs w:val="30"/>
        </w:rPr>
        <w:t>为证券融资交易风险缓释后风险暴露</w:t>
      </w:r>
      <w:r>
        <w:rPr>
          <w:rFonts w:ascii="仿宋_GB2312" w:eastAsia="仿宋_GB2312" w:hAnsi="Times New Roman" w:cs="Times New Roman" w:hint="eastAsia"/>
          <w:bCs/>
          <w:sz w:val="30"/>
          <w:szCs w:val="30"/>
        </w:rPr>
        <w:t>；</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object w:dxaOrig="336" w:dyaOrig="360">
          <v:shape id="_x0000_i1039" type="#_x0000_t75" style="width:16.8pt;height:18.15pt" o:ole="">
            <v:imagedata r:id="rId72" o:title=""/>
          </v:shape>
          <o:OLEObject Type="Embed" ProgID="Equation.3" ShapeID="_x0000_i1039" DrawAspect="Content" ObjectID="_1738154563" r:id="rId73"/>
        </w:object>
      </w:r>
      <w:r>
        <w:rPr>
          <w:rFonts w:ascii="仿宋_GB2312" w:eastAsia="仿宋_GB2312" w:hAnsi="Times New Roman" w:cs="Times New Roman"/>
          <w:bCs/>
          <w:sz w:val="30"/>
          <w:szCs w:val="30"/>
        </w:rPr>
        <w:t>为风险暴露的折扣系数；</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object w:dxaOrig="240" w:dyaOrig="276">
          <v:shape id="_x0000_i1040" type="#_x0000_t75" style="width:12pt;height:13.7pt" o:ole="">
            <v:imagedata r:id="rId74" o:title=""/>
          </v:shape>
          <o:OLEObject Type="Embed" ProgID="Equation.3" ShapeID="_x0000_i1040" DrawAspect="Content" ObjectID="_1738154564" r:id="rId75"/>
        </w:object>
      </w:r>
      <w:r>
        <w:rPr>
          <w:rFonts w:ascii="仿宋_GB2312" w:eastAsia="仿宋_GB2312" w:hAnsi="Times New Roman" w:cs="Times New Roman"/>
          <w:bCs/>
          <w:sz w:val="30"/>
          <w:szCs w:val="30"/>
        </w:rPr>
        <w:t>为金融质押品的当前价值；</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object w:dxaOrig="360" w:dyaOrig="360">
          <v:shape id="_x0000_i1041" type="#_x0000_t75" style="width:18.15pt;height:18.15pt" o:ole="">
            <v:imagedata r:id="rId76" o:title=""/>
          </v:shape>
          <o:OLEObject Type="Embed" ProgID="Equation.3" ShapeID="_x0000_i1041" DrawAspect="Content" ObjectID="_1738154565" r:id="rId77"/>
        </w:object>
      </w:r>
      <w:r>
        <w:rPr>
          <w:rFonts w:ascii="仿宋_GB2312" w:eastAsia="仿宋_GB2312" w:hAnsi="Times New Roman" w:cs="Times New Roman"/>
          <w:bCs/>
          <w:sz w:val="30"/>
          <w:szCs w:val="30"/>
        </w:rPr>
        <w:t>为金融质押品的折扣系数；</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object w:dxaOrig="420" w:dyaOrig="384">
          <v:shape id="_x0000_i1042" type="#_x0000_t75" style="width:20.9pt;height:19.2pt" o:ole="">
            <v:imagedata r:id="rId78" o:title=""/>
          </v:shape>
          <o:OLEObject Type="Embed" ProgID="Equation.3" ShapeID="_x0000_i1042" DrawAspect="Content" ObjectID="_1738154566" r:id="rId79"/>
        </w:object>
      </w:r>
      <w:r>
        <w:rPr>
          <w:rFonts w:ascii="仿宋_GB2312" w:eastAsia="仿宋_GB2312" w:hAnsi="Times New Roman" w:cs="Times New Roman"/>
          <w:bCs/>
          <w:sz w:val="30"/>
          <w:szCs w:val="30"/>
        </w:rPr>
        <w:t>为处理金融质押品和风险暴露币种错配的折扣系数。</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合格金融质押品</w:t>
      </w:r>
      <w:r>
        <w:rPr>
          <w:rFonts w:ascii="仿宋_GB2312" w:eastAsia="仿宋_GB2312" w:hAnsi="Times New Roman" w:cs="Times New Roman"/>
          <w:bCs/>
          <w:sz w:val="30"/>
          <w:szCs w:val="30"/>
        </w:rPr>
        <w:t>的种类和以上参数分别见本办法附件7</w:t>
      </w:r>
      <w:r>
        <w:rPr>
          <w:rFonts w:ascii="仿宋_GB2312" w:eastAsia="仿宋_GB2312" w:hAnsi="Times New Roman" w:cs="Times New Roman" w:hint="eastAsia"/>
          <w:bCs/>
          <w:sz w:val="30"/>
          <w:szCs w:val="30"/>
        </w:rPr>
        <w:t>第二、第</w:t>
      </w:r>
      <w:r>
        <w:rPr>
          <w:rFonts w:ascii="仿宋_GB2312" w:eastAsia="仿宋_GB2312" w:hAnsi="Times New Roman" w:cs="Times New Roman"/>
          <w:bCs/>
          <w:sz w:val="30"/>
          <w:szCs w:val="30"/>
        </w:rPr>
        <w:t>六</w:t>
      </w:r>
      <w:r>
        <w:rPr>
          <w:rFonts w:ascii="仿宋_GB2312" w:eastAsia="仿宋_GB2312" w:hAnsi="Times New Roman" w:cs="Times New Roman" w:hint="eastAsia"/>
          <w:bCs/>
          <w:sz w:val="30"/>
          <w:szCs w:val="30"/>
        </w:rPr>
        <w:t>、第</w:t>
      </w:r>
      <w:r>
        <w:rPr>
          <w:rFonts w:ascii="仿宋_GB2312" w:eastAsia="仿宋_GB2312" w:hAnsi="Times New Roman" w:cs="Times New Roman"/>
          <w:bCs/>
          <w:sz w:val="30"/>
          <w:szCs w:val="30"/>
        </w:rPr>
        <w:t>七</w:t>
      </w:r>
      <w:r>
        <w:rPr>
          <w:rFonts w:ascii="仿宋_GB2312" w:eastAsia="仿宋_GB2312" w:hAnsi="Times New Roman" w:cs="Times New Roman" w:hint="eastAsia"/>
          <w:bCs/>
          <w:sz w:val="30"/>
          <w:szCs w:val="30"/>
        </w:rPr>
        <w:t>和第八部分</w:t>
      </w:r>
      <w:r>
        <w:rPr>
          <w:rFonts w:ascii="仿宋_GB2312" w:eastAsia="仿宋_GB2312" w:hAnsi="Times New Roman" w:cs="Times New Roman"/>
          <w:bCs/>
          <w:sz w:val="30"/>
          <w:szCs w:val="30"/>
        </w:rPr>
        <w:t>。</w:t>
      </w:r>
    </w:p>
    <w:p w:rsidR="008850AE" w:rsidRDefault="001E1DDD">
      <w:pPr>
        <w:spacing w:line="480" w:lineRule="exact"/>
        <w:ind w:firstLineChars="200" w:firstLine="600"/>
        <w:rPr>
          <w:rFonts w:ascii="仿宋_GB2312" w:eastAsia="仿宋_GB2312" w:hAnsi="Times New Roman" w:cs="Times New Roman"/>
          <w:bCs/>
          <w:sz w:val="30"/>
          <w:szCs w:val="30"/>
        </w:rPr>
      </w:pPr>
      <w:r>
        <w:rPr>
          <w:rFonts w:ascii="仿宋_GB2312" w:eastAsia="仿宋_GB2312" w:hAnsi="Times New Roman" w:cs="Times New Roman"/>
          <w:bCs/>
          <w:sz w:val="30"/>
          <w:szCs w:val="30"/>
        </w:rPr>
        <w:lastRenderedPageBreak/>
        <w:t>4</w:t>
      </w:r>
      <w:r>
        <w:rPr>
          <w:rFonts w:ascii="仿宋_GB2312" w:eastAsia="仿宋_GB2312" w:hAnsi="Times New Roman" w:cs="Times New Roman" w:hint="eastAsia"/>
          <w:bCs/>
          <w:sz w:val="30"/>
          <w:szCs w:val="30"/>
        </w:rPr>
        <w:t>．</w:t>
      </w:r>
      <w:r>
        <w:rPr>
          <w:rFonts w:ascii="仿宋_GB2312" w:eastAsia="仿宋_GB2312" w:hAnsi="Times New Roman" w:cs="Times New Roman"/>
          <w:bCs/>
          <w:sz w:val="30"/>
          <w:szCs w:val="30"/>
        </w:rPr>
        <w:t>交易账簿</w:t>
      </w:r>
      <w:proofErr w:type="gramStart"/>
      <w:r>
        <w:rPr>
          <w:rFonts w:ascii="仿宋_GB2312" w:eastAsia="仿宋_GB2312" w:hAnsi="Times New Roman" w:cs="Times New Roman"/>
          <w:bCs/>
          <w:sz w:val="30"/>
          <w:szCs w:val="30"/>
        </w:rPr>
        <w:t>中证券</w:t>
      </w:r>
      <w:proofErr w:type="gramEnd"/>
      <w:r>
        <w:rPr>
          <w:rFonts w:ascii="仿宋_GB2312" w:eastAsia="仿宋_GB2312" w:hAnsi="Times New Roman" w:cs="Times New Roman"/>
          <w:bCs/>
          <w:sz w:val="30"/>
          <w:szCs w:val="30"/>
        </w:rPr>
        <w:t>融资交易符合净额结算要求</w:t>
      </w:r>
      <w:r>
        <w:rPr>
          <w:rFonts w:ascii="仿宋_GB2312" w:eastAsia="仿宋_GB2312" w:hAnsi="Times New Roman" w:cs="Times New Roman" w:hint="eastAsia"/>
          <w:bCs/>
          <w:sz w:val="30"/>
          <w:szCs w:val="30"/>
        </w:rPr>
        <w:t>的</w:t>
      </w:r>
      <w:r>
        <w:rPr>
          <w:rFonts w:ascii="仿宋_GB2312" w:eastAsia="仿宋_GB2312" w:hAnsi="Times New Roman" w:cs="Times New Roman"/>
          <w:bCs/>
          <w:sz w:val="30"/>
          <w:szCs w:val="30"/>
        </w:rPr>
        <w:t>，商业银行可按照本办法附件7</w:t>
      </w:r>
      <w:r>
        <w:rPr>
          <w:rFonts w:ascii="仿宋_GB2312" w:eastAsia="仿宋_GB2312" w:hAnsi="Times New Roman" w:cs="Times New Roman" w:hint="eastAsia"/>
          <w:bCs/>
          <w:sz w:val="30"/>
          <w:szCs w:val="30"/>
        </w:rPr>
        <w:t>第三部分（六）</w:t>
      </w:r>
      <w:r>
        <w:rPr>
          <w:rFonts w:ascii="仿宋_GB2312" w:eastAsia="仿宋_GB2312" w:hAnsi="Times New Roman" w:cs="Times New Roman"/>
          <w:bCs/>
          <w:sz w:val="30"/>
          <w:szCs w:val="30"/>
        </w:rPr>
        <w:t>的相关规定计量证券融资交易的违约风险暴露。</w:t>
      </w:r>
    </w:p>
    <w:p w:rsidR="008850AE" w:rsidRDefault="008850AE">
      <w:pPr>
        <w:rPr>
          <w:rFonts w:ascii="Times New Roman" w:eastAsia="黑体" w:hAnsi="Times New Roman" w:cs="Times New Roman"/>
          <w:b/>
          <w:sz w:val="36"/>
          <w:szCs w:val="36"/>
        </w:rPr>
      </w:pPr>
    </w:p>
    <w:sectPr w:rsidR="008850AE">
      <w:footerReference w:type="default" r:id="rId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690" w:rsidRDefault="001E1DDD">
      <w:r>
        <w:separator/>
      </w:r>
    </w:p>
  </w:endnote>
  <w:endnote w:type="continuationSeparator" w:id="0">
    <w:p w:rsidR="005D7690" w:rsidRDefault="001E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仿宋"/>
    <w:charset w:val="86"/>
    <w:family w:val="roman"/>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448984"/>
      <w:docPartObj>
        <w:docPartGallery w:val="Page Numbers (Bottom of Page)"/>
        <w:docPartUnique/>
      </w:docPartObj>
    </w:sdtPr>
    <w:sdtEndPr>
      <w:rPr>
        <w:rFonts w:ascii="Calibri" w:hAnsi="Calibri"/>
      </w:rPr>
    </w:sdtEndPr>
    <w:sdtContent>
      <w:p w:rsidR="008850AE" w:rsidRPr="00CF7888" w:rsidRDefault="001E1DDD" w:rsidP="00CF7888">
        <w:pPr>
          <w:pStyle w:val="a5"/>
          <w:jc w:val="center"/>
          <w:rPr>
            <w:rFonts w:ascii="Calibri" w:hAnsi="Calibri"/>
          </w:rPr>
        </w:pPr>
        <w:r w:rsidRPr="00CF7888">
          <w:rPr>
            <w:rFonts w:ascii="Calibri" w:hAnsi="Calibri"/>
          </w:rPr>
          <w:fldChar w:fldCharType="begin"/>
        </w:r>
        <w:r w:rsidRPr="00CF7888">
          <w:rPr>
            <w:rFonts w:ascii="Calibri" w:hAnsi="Calibri"/>
          </w:rPr>
          <w:instrText>PAGE   \* MERGEFORMAT</w:instrText>
        </w:r>
        <w:r w:rsidRPr="00CF7888">
          <w:rPr>
            <w:rFonts w:ascii="Calibri" w:hAnsi="Calibri"/>
          </w:rPr>
          <w:fldChar w:fldCharType="separate"/>
        </w:r>
        <w:r w:rsidR="00CF7888" w:rsidRPr="00CF7888">
          <w:rPr>
            <w:rFonts w:ascii="Calibri" w:hAnsi="Calibri"/>
            <w:noProof/>
            <w:lang w:val="zh-CN"/>
          </w:rPr>
          <w:t>1</w:t>
        </w:r>
        <w:r w:rsidRPr="00CF7888">
          <w:rPr>
            <w:rFonts w:ascii="Calibri" w:hAnsi="Calibr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690" w:rsidRDefault="001E1DDD">
      <w:r>
        <w:separator/>
      </w:r>
    </w:p>
  </w:footnote>
  <w:footnote w:type="continuationSeparator" w:id="0">
    <w:p w:rsidR="005D7690" w:rsidRDefault="001E1DD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亚苹">
    <w15:presenceInfo w15:providerId="None" w15:userId="李亚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EB7852"/>
    <w:rsid w:val="D4FDF8B2"/>
    <w:rsid w:val="00021EF7"/>
    <w:rsid w:val="0002203A"/>
    <w:rsid w:val="00022224"/>
    <w:rsid w:val="00033E26"/>
    <w:rsid w:val="00067E72"/>
    <w:rsid w:val="000C162D"/>
    <w:rsid w:val="000D05E6"/>
    <w:rsid w:val="000D7B6B"/>
    <w:rsid w:val="000E21AE"/>
    <w:rsid w:val="000E3DF1"/>
    <w:rsid w:val="000E667B"/>
    <w:rsid w:val="0010593F"/>
    <w:rsid w:val="0011319D"/>
    <w:rsid w:val="00116583"/>
    <w:rsid w:val="00130101"/>
    <w:rsid w:val="00130F59"/>
    <w:rsid w:val="00131DE9"/>
    <w:rsid w:val="00132246"/>
    <w:rsid w:val="001415C5"/>
    <w:rsid w:val="0014457A"/>
    <w:rsid w:val="00162EFB"/>
    <w:rsid w:val="00172233"/>
    <w:rsid w:val="00190BF1"/>
    <w:rsid w:val="00196AA7"/>
    <w:rsid w:val="001A13FA"/>
    <w:rsid w:val="001A3B4D"/>
    <w:rsid w:val="001B59A2"/>
    <w:rsid w:val="001B76B8"/>
    <w:rsid w:val="001C1625"/>
    <w:rsid w:val="001C5753"/>
    <w:rsid w:val="001D6035"/>
    <w:rsid w:val="001E1DDD"/>
    <w:rsid w:val="001E54CC"/>
    <w:rsid w:val="002039D7"/>
    <w:rsid w:val="00212A2C"/>
    <w:rsid w:val="00214C9C"/>
    <w:rsid w:val="00217D76"/>
    <w:rsid w:val="00222AD1"/>
    <w:rsid w:val="0024462A"/>
    <w:rsid w:val="00255DC9"/>
    <w:rsid w:val="002705C2"/>
    <w:rsid w:val="00281143"/>
    <w:rsid w:val="002938E8"/>
    <w:rsid w:val="002C2B43"/>
    <w:rsid w:val="002C50B6"/>
    <w:rsid w:val="002C7BE5"/>
    <w:rsid w:val="002D2264"/>
    <w:rsid w:val="002E1AA0"/>
    <w:rsid w:val="00301EA6"/>
    <w:rsid w:val="00304D70"/>
    <w:rsid w:val="0031773E"/>
    <w:rsid w:val="00324D32"/>
    <w:rsid w:val="00332FDA"/>
    <w:rsid w:val="00340116"/>
    <w:rsid w:val="0034514D"/>
    <w:rsid w:val="0035333E"/>
    <w:rsid w:val="00353868"/>
    <w:rsid w:val="00356226"/>
    <w:rsid w:val="00365239"/>
    <w:rsid w:val="003660F8"/>
    <w:rsid w:val="0037237D"/>
    <w:rsid w:val="0038008C"/>
    <w:rsid w:val="003867D5"/>
    <w:rsid w:val="0039753A"/>
    <w:rsid w:val="003978BF"/>
    <w:rsid w:val="003A3494"/>
    <w:rsid w:val="003A3BF2"/>
    <w:rsid w:val="003D0C6A"/>
    <w:rsid w:val="003D0D4F"/>
    <w:rsid w:val="003D4027"/>
    <w:rsid w:val="003E493F"/>
    <w:rsid w:val="003E513E"/>
    <w:rsid w:val="003F64F2"/>
    <w:rsid w:val="00407053"/>
    <w:rsid w:val="00415727"/>
    <w:rsid w:val="00426D00"/>
    <w:rsid w:val="00432A26"/>
    <w:rsid w:val="0043763E"/>
    <w:rsid w:val="00456E5A"/>
    <w:rsid w:val="004675A7"/>
    <w:rsid w:val="00492F62"/>
    <w:rsid w:val="004948CD"/>
    <w:rsid w:val="0049726E"/>
    <w:rsid w:val="004B3AF4"/>
    <w:rsid w:val="004C0510"/>
    <w:rsid w:val="004D072E"/>
    <w:rsid w:val="0050019B"/>
    <w:rsid w:val="005001A7"/>
    <w:rsid w:val="0050410F"/>
    <w:rsid w:val="0050653B"/>
    <w:rsid w:val="00507EFA"/>
    <w:rsid w:val="00512BEC"/>
    <w:rsid w:val="00525017"/>
    <w:rsid w:val="00535A84"/>
    <w:rsid w:val="005565D2"/>
    <w:rsid w:val="00556CF8"/>
    <w:rsid w:val="00564E12"/>
    <w:rsid w:val="00564E3F"/>
    <w:rsid w:val="005651B0"/>
    <w:rsid w:val="00573459"/>
    <w:rsid w:val="0058465E"/>
    <w:rsid w:val="00586776"/>
    <w:rsid w:val="00590BC8"/>
    <w:rsid w:val="0059135A"/>
    <w:rsid w:val="00593F87"/>
    <w:rsid w:val="005A0252"/>
    <w:rsid w:val="005A1D30"/>
    <w:rsid w:val="005A49BA"/>
    <w:rsid w:val="005A4A98"/>
    <w:rsid w:val="005A79E8"/>
    <w:rsid w:val="005B1E63"/>
    <w:rsid w:val="005B7345"/>
    <w:rsid w:val="005C5AD9"/>
    <w:rsid w:val="005D7690"/>
    <w:rsid w:val="005E0000"/>
    <w:rsid w:val="005E64CD"/>
    <w:rsid w:val="006015AB"/>
    <w:rsid w:val="00647E79"/>
    <w:rsid w:val="00650738"/>
    <w:rsid w:val="00665BB6"/>
    <w:rsid w:val="00672DE6"/>
    <w:rsid w:val="00685473"/>
    <w:rsid w:val="006C0FD3"/>
    <w:rsid w:val="006C11FF"/>
    <w:rsid w:val="007012BF"/>
    <w:rsid w:val="0070130C"/>
    <w:rsid w:val="007078A0"/>
    <w:rsid w:val="00707C94"/>
    <w:rsid w:val="007140A5"/>
    <w:rsid w:val="0071421F"/>
    <w:rsid w:val="00727AFD"/>
    <w:rsid w:val="007357F6"/>
    <w:rsid w:val="007505F7"/>
    <w:rsid w:val="00755687"/>
    <w:rsid w:val="007579CB"/>
    <w:rsid w:val="00770437"/>
    <w:rsid w:val="00774A18"/>
    <w:rsid w:val="00783DA7"/>
    <w:rsid w:val="007A2BA9"/>
    <w:rsid w:val="007A4DC1"/>
    <w:rsid w:val="007B1C3D"/>
    <w:rsid w:val="007B7F31"/>
    <w:rsid w:val="007C35CD"/>
    <w:rsid w:val="007C7FC6"/>
    <w:rsid w:val="007D174B"/>
    <w:rsid w:val="007D2EEE"/>
    <w:rsid w:val="007D513A"/>
    <w:rsid w:val="007E1A3D"/>
    <w:rsid w:val="007F369E"/>
    <w:rsid w:val="008055BC"/>
    <w:rsid w:val="00812132"/>
    <w:rsid w:val="00822E70"/>
    <w:rsid w:val="00843D9E"/>
    <w:rsid w:val="008578B2"/>
    <w:rsid w:val="0086232E"/>
    <w:rsid w:val="008653F6"/>
    <w:rsid w:val="00865F6A"/>
    <w:rsid w:val="008660CB"/>
    <w:rsid w:val="00871FCE"/>
    <w:rsid w:val="008850AE"/>
    <w:rsid w:val="0089025B"/>
    <w:rsid w:val="008A6534"/>
    <w:rsid w:val="008B6A90"/>
    <w:rsid w:val="008C4E61"/>
    <w:rsid w:val="008C4F3C"/>
    <w:rsid w:val="008C6919"/>
    <w:rsid w:val="008D1B1D"/>
    <w:rsid w:val="008D5C5C"/>
    <w:rsid w:val="008E064D"/>
    <w:rsid w:val="008E5A0A"/>
    <w:rsid w:val="008E6AA2"/>
    <w:rsid w:val="00916076"/>
    <w:rsid w:val="009327DC"/>
    <w:rsid w:val="00951F1D"/>
    <w:rsid w:val="009856C1"/>
    <w:rsid w:val="00991047"/>
    <w:rsid w:val="00991BBC"/>
    <w:rsid w:val="00994A57"/>
    <w:rsid w:val="009B34E0"/>
    <w:rsid w:val="009B398C"/>
    <w:rsid w:val="009C10C1"/>
    <w:rsid w:val="009C5A36"/>
    <w:rsid w:val="009D1F39"/>
    <w:rsid w:val="009E54A2"/>
    <w:rsid w:val="00A01349"/>
    <w:rsid w:val="00A01EBA"/>
    <w:rsid w:val="00A128F3"/>
    <w:rsid w:val="00A277E8"/>
    <w:rsid w:val="00A3727C"/>
    <w:rsid w:val="00A5316A"/>
    <w:rsid w:val="00A56D89"/>
    <w:rsid w:val="00A82A40"/>
    <w:rsid w:val="00A82A8D"/>
    <w:rsid w:val="00A92164"/>
    <w:rsid w:val="00AA386C"/>
    <w:rsid w:val="00AC3E23"/>
    <w:rsid w:val="00AD49A8"/>
    <w:rsid w:val="00AD6BF1"/>
    <w:rsid w:val="00AD74B5"/>
    <w:rsid w:val="00AE623E"/>
    <w:rsid w:val="00AE6243"/>
    <w:rsid w:val="00AF13D2"/>
    <w:rsid w:val="00AF3354"/>
    <w:rsid w:val="00AF423E"/>
    <w:rsid w:val="00AF7264"/>
    <w:rsid w:val="00B00C48"/>
    <w:rsid w:val="00B02CB6"/>
    <w:rsid w:val="00B1272E"/>
    <w:rsid w:val="00B376AC"/>
    <w:rsid w:val="00B4635E"/>
    <w:rsid w:val="00B50B91"/>
    <w:rsid w:val="00B60499"/>
    <w:rsid w:val="00B77652"/>
    <w:rsid w:val="00B80119"/>
    <w:rsid w:val="00B817AA"/>
    <w:rsid w:val="00B8285E"/>
    <w:rsid w:val="00B91435"/>
    <w:rsid w:val="00B92C5A"/>
    <w:rsid w:val="00B94240"/>
    <w:rsid w:val="00B95218"/>
    <w:rsid w:val="00BB4A5D"/>
    <w:rsid w:val="00BB59FA"/>
    <w:rsid w:val="00BE0FE8"/>
    <w:rsid w:val="00BE719F"/>
    <w:rsid w:val="00C01739"/>
    <w:rsid w:val="00C26EC7"/>
    <w:rsid w:val="00C439B3"/>
    <w:rsid w:val="00C464DF"/>
    <w:rsid w:val="00C63110"/>
    <w:rsid w:val="00C649BB"/>
    <w:rsid w:val="00C71768"/>
    <w:rsid w:val="00C74D21"/>
    <w:rsid w:val="00C771C3"/>
    <w:rsid w:val="00C82F43"/>
    <w:rsid w:val="00C95E52"/>
    <w:rsid w:val="00CB36B1"/>
    <w:rsid w:val="00CC1D44"/>
    <w:rsid w:val="00CE57B6"/>
    <w:rsid w:val="00CF7888"/>
    <w:rsid w:val="00D013D6"/>
    <w:rsid w:val="00D05B27"/>
    <w:rsid w:val="00D078A7"/>
    <w:rsid w:val="00D121DA"/>
    <w:rsid w:val="00D14978"/>
    <w:rsid w:val="00D162EA"/>
    <w:rsid w:val="00D22E5B"/>
    <w:rsid w:val="00D2555F"/>
    <w:rsid w:val="00D334A5"/>
    <w:rsid w:val="00D35B7C"/>
    <w:rsid w:val="00D36B61"/>
    <w:rsid w:val="00D40661"/>
    <w:rsid w:val="00D43529"/>
    <w:rsid w:val="00D457F6"/>
    <w:rsid w:val="00D53B14"/>
    <w:rsid w:val="00D53CD3"/>
    <w:rsid w:val="00D63525"/>
    <w:rsid w:val="00D64595"/>
    <w:rsid w:val="00D84A30"/>
    <w:rsid w:val="00D93609"/>
    <w:rsid w:val="00DA7965"/>
    <w:rsid w:val="00DB5CA7"/>
    <w:rsid w:val="00DC06F6"/>
    <w:rsid w:val="00DD3A67"/>
    <w:rsid w:val="00DD5035"/>
    <w:rsid w:val="00DE6DB1"/>
    <w:rsid w:val="00DE6F4B"/>
    <w:rsid w:val="00DE7B2B"/>
    <w:rsid w:val="00DF5204"/>
    <w:rsid w:val="00E03899"/>
    <w:rsid w:val="00E23F7F"/>
    <w:rsid w:val="00E25CF8"/>
    <w:rsid w:val="00E321F2"/>
    <w:rsid w:val="00E406A7"/>
    <w:rsid w:val="00E4312B"/>
    <w:rsid w:val="00E446B5"/>
    <w:rsid w:val="00E478CC"/>
    <w:rsid w:val="00E553CC"/>
    <w:rsid w:val="00E77EBC"/>
    <w:rsid w:val="00E843FD"/>
    <w:rsid w:val="00E85109"/>
    <w:rsid w:val="00E854DD"/>
    <w:rsid w:val="00E93228"/>
    <w:rsid w:val="00E96AF9"/>
    <w:rsid w:val="00EA097A"/>
    <w:rsid w:val="00EA309B"/>
    <w:rsid w:val="00EA700A"/>
    <w:rsid w:val="00EB1CA4"/>
    <w:rsid w:val="00EB5A0F"/>
    <w:rsid w:val="00EB7852"/>
    <w:rsid w:val="00EC58E8"/>
    <w:rsid w:val="00ED0A29"/>
    <w:rsid w:val="00ED43E6"/>
    <w:rsid w:val="00EE0D67"/>
    <w:rsid w:val="00EF1BAB"/>
    <w:rsid w:val="00EF1D5E"/>
    <w:rsid w:val="00EF2587"/>
    <w:rsid w:val="00F25931"/>
    <w:rsid w:val="00F264B3"/>
    <w:rsid w:val="00F35D5E"/>
    <w:rsid w:val="00F35DD9"/>
    <w:rsid w:val="00F379AD"/>
    <w:rsid w:val="00FA1275"/>
    <w:rsid w:val="00FA7842"/>
    <w:rsid w:val="00FB5FF2"/>
    <w:rsid w:val="00FC11E5"/>
    <w:rsid w:val="00FC1555"/>
    <w:rsid w:val="00FC47D6"/>
    <w:rsid w:val="00FC795A"/>
    <w:rsid w:val="00FD1068"/>
    <w:rsid w:val="00FD1353"/>
    <w:rsid w:val="00FE146B"/>
    <w:rsid w:val="00FE3AE1"/>
    <w:rsid w:val="147FA627"/>
    <w:rsid w:val="1E7A054B"/>
    <w:rsid w:val="514D211B"/>
    <w:rsid w:val="57560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cs="Times New Roman"/>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semiHidden/>
    <w:unhideWhenUsed/>
    <w:qFormat/>
    <w:pPr>
      <w:ind w:leftChars="200" w:left="420"/>
    </w:pPr>
  </w:style>
  <w:style w:type="paragraph" w:styleId="a3">
    <w:name w:val="Body Text"/>
    <w:basedOn w:val="a"/>
    <w:link w:val="Char"/>
    <w:uiPriority w:val="99"/>
    <w:semiHidden/>
    <w:unhideWhenUsed/>
    <w:qFormat/>
    <w:pPr>
      <w:spacing w:after="12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a7">
    <w:name w:val="Title"/>
    <w:basedOn w:val="a3"/>
    <w:next w:val="a"/>
    <w:link w:val="Char3"/>
    <w:qFormat/>
    <w:pPr>
      <w:jc w:val="center"/>
    </w:pPr>
    <w:rPr>
      <w:rFonts w:ascii="仿宋_GB2312" w:eastAsia="仿宋_GB2312" w:hAnsi="仿宋" w:cs="Times New Roman"/>
      <w:szCs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Paragraph">
    <w:name w:val="Paragraph"/>
    <w:basedOn w:val="a"/>
    <w:qFormat/>
    <w:pPr>
      <w:widowControl/>
      <w:spacing w:after="240"/>
    </w:pPr>
    <w:rPr>
      <w:rFonts w:ascii="Arial" w:eastAsia="宋体" w:hAnsi="Arial" w:cs="Times New Roman"/>
      <w:kern w:val="0"/>
      <w:sz w:val="22"/>
      <w:szCs w:val="20"/>
      <w:lang w:val="en-GB"/>
    </w:rPr>
  </w:style>
  <w:style w:type="paragraph" w:customStyle="1" w:styleId="11">
    <w:name w:val="列出段落1"/>
    <w:basedOn w:val="a"/>
    <w:uiPriority w:val="34"/>
    <w:qFormat/>
    <w:pPr>
      <w:ind w:firstLineChars="200" w:firstLine="420"/>
    </w:pPr>
    <w:rPr>
      <w:rFonts w:ascii="Times New Roman" w:eastAsia="宋体" w:hAnsi="Times New Roman" w:cs="Times New Roman"/>
      <w:szCs w:val="20"/>
    </w:rPr>
  </w:style>
  <w:style w:type="paragraph" w:customStyle="1" w:styleId="12">
    <w:name w:val="修订1"/>
    <w:hidden/>
    <w:uiPriority w:val="99"/>
    <w:semiHidden/>
    <w:qFormat/>
    <w:rPr>
      <w:kern w:val="2"/>
      <w:sz w:val="21"/>
      <w:szCs w:val="22"/>
    </w:rPr>
  </w:style>
  <w:style w:type="character" w:customStyle="1" w:styleId="Char3">
    <w:name w:val="标题 Char"/>
    <w:basedOn w:val="a0"/>
    <w:link w:val="a7"/>
    <w:qFormat/>
    <w:rPr>
      <w:rFonts w:ascii="仿宋_GB2312" w:eastAsia="仿宋_GB2312" w:hAnsi="仿宋" w:cs="Times New Roman"/>
      <w:kern w:val="2"/>
      <w:sz w:val="21"/>
      <w:szCs w:val="24"/>
    </w:rPr>
  </w:style>
  <w:style w:type="character" w:customStyle="1" w:styleId="Char">
    <w:name w:val="正文文本 Char"/>
    <w:basedOn w:val="a0"/>
    <w:link w:val="a3"/>
    <w:uiPriority w:val="99"/>
    <w:semiHidden/>
    <w:qFormat/>
    <w:rPr>
      <w:kern w:val="2"/>
      <w:sz w:val="21"/>
      <w:szCs w:val="22"/>
    </w:rPr>
  </w:style>
  <w:style w:type="character" w:customStyle="1" w:styleId="Char0">
    <w:name w:val="批注框文本 Char"/>
    <w:basedOn w:val="a0"/>
    <w:link w:val="a4"/>
    <w:uiPriority w:val="99"/>
    <w:semiHidden/>
    <w:qFormat/>
    <w:rPr>
      <w:kern w:val="2"/>
      <w:sz w:val="18"/>
      <w:szCs w:val="18"/>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uiPriority w:val="9"/>
    <w:qFormat/>
    <w:rPr>
      <w:rFonts w:ascii="黑体" w:eastAsia="黑体" w:hAnsi="黑体" w:cs="Times New Roman"/>
      <w:bCs/>
      <w:caps/>
      <w:kern w:val="2"/>
      <w:sz w:val="44"/>
      <w:szCs w:val="32"/>
    </w:rPr>
  </w:style>
  <w:style w:type="character" w:customStyle="1" w:styleId="3Char">
    <w:name w:val="标题 3 Char"/>
    <w:basedOn w:val="a0"/>
    <w:link w:val="3"/>
    <w:qFormat/>
    <w:rPr>
      <w:rFonts w:ascii="黑体" w:eastAsia="黑体" w:hAnsi="黑体" w:cs="Times New Roman"/>
      <w:smallCaps/>
      <w:kern w:val="2"/>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cs="Times New Roman"/>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semiHidden/>
    <w:unhideWhenUsed/>
    <w:qFormat/>
    <w:pPr>
      <w:ind w:leftChars="200" w:left="420"/>
    </w:pPr>
  </w:style>
  <w:style w:type="paragraph" w:styleId="a3">
    <w:name w:val="Body Text"/>
    <w:basedOn w:val="a"/>
    <w:link w:val="Char"/>
    <w:uiPriority w:val="99"/>
    <w:semiHidden/>
    <w:unhideWhenUsed/>
    <w:qFormat/>
    <w:pPr>
      <w:spacing w:after="12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a7">
    <w:name w:val="Title"/>
    <w:basedOn w:val="a3"/>
    <w:next w:val="a"/>
    <w:link w:val="Char3"/>
    <w:qFormat/>
    <w:pPr>
      <w:jc w:val="center"/>
    </w:pPr>
    <w:rPr>
      <w:rFonts w:ascii="仿宋_GB2312" w:eastAsia="仿宋_GB2312" w:hAnsi="仿宋" w:cs="Times New Roman"/>
      <w:szCs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Paragraph">
    <w:name w:val="Paragraph"/>
    <w:basedOn w:val="a"/>
    <w:qFormat/>
    <w:pPr>
      <w:widowControl/>
      <w:spacing w:after="240"/>
    </w:pPr>
    <w:rPr>
      <w:rFonts w:ascii="Arial" w:eastAsia="宋体" w:hAnsi="Arial" w:cs="Times New Roman"/>
      <w:kern w:val="0"/>
      <w:sz w:val="22"/>
      <w:szCs w:val="20"/>
      <w:lang w:val="en-GB"/>
    </w:rPr>
  </w:style>
  <w:style w:type="paragraph" w:customStyle="1" w:styleId="11">
    <w:name w:val="列出段落1"/>
    <w:basedOn w:val="a"/>
    <w:uiPriority w:val="34"/>
    <w:qFormat/>
    <w:pPr>
      <w:ind w:firstLineChars="200" w:firstLine="420"/>
    </w:pPr>
    <w:rPr>
      <w:rFonts w:ascii="Times New Roman" w:eastAsia="宋体" w:hAnsi="Times New Roman" w:cs="Times New Roman"/>
      <w:szCs w:val="20"/>
    </w:rPr>
  </w:style>
  <w:style w:type="paragraph" w:customStyle="1" w:styleId="12">
    <w:name w:val="修订1"/>
    <w:hidden/>
    <w:uiPriority w:val="99"/>
    <w:semiHidden/>
    <w:qFormat/>
    <w:rPr>
      <w:kern w:val="2"/>
      <w:sz w:val="21"/>
      <w:szCs w:val="22"/>
    </w:rPr>
  </w:style>
  <w:style w:type="character" w:customStyle="1" w:styleId="Char3">
    <w:name w:val="标题 Char"/>
    <w:basedOn w:val="a0"/>
    <w:link w:val="a7"/>
    <w:qFormat/>
    <w:rPr>
      <w:rFonts w:ascii="仿宋_GB2312" w:eastAsia="仿宋_GB2312" w:hAnsi="仿宋" w:cs="Times New Roman"/>
      <w:kern w:val="2"/>
      <w:sz w:val="21"/>
      <w:szCs w:val="24"/>
    </w:rPr>
  </w:style>
  <w:style w:type="character" w:customStyle="1" w:styleId="Char">
    <w:name w:val="正文文本 Char"/>
    <w:basedOn w:val="a0"/>
    <w:link w:val="a3"/>
    <w:uiPriority w:val="99"/>
    <w:semiHidden/>
    <w:qFormat/>
    <w:rPr>
      <w:kern w:val="2"/>
      <w:sz w:val="21"/>
      <w:szCs w:val="22"/>
    </w:rPr>
  </w:style>
  <w:style w:type="character" w:customStyle="1" w:styleId="Char0">
    <w:name w:val="批注框文本 Char"/>
    <w:basedOn w:val="a0"/>
    <w:link w:val="a4"/>
    <w:uiPriority w:val="99"/>
    <w:semiHidden/>
    <w:qFormat/>
    <w:rPr>
      <w:kern w:val="2"/>
      <w:sz w:val="18"/>
      <w:szCs w:val="18"/>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uiPriority w:val="9"/>
    <w:qFormat/>
    <w:rPr>
      <w:rFonts w:ascii="黑体" w:eastAsia="黑体" w:hAnsi="黑体" w:cs="Times New Roman"/>
      <w:bCs/>
      <w:caps/>
      <w:kern w:val="2"/>
      <w:sz w:val="44"/>
      <w:szCs w:val="32"/>
    </w:rPr>
  </w:style>
  <w:style w:type="character" w:customStyle="1" w:styleId="3Char">
    <w:name w:val="标题 3 Char"/>
    <w:basedOn w:val="a0"/>
    <w:link w:val="3"/>
    <w:qFormat/>
    <w:rPr>
      <w:rFonts w:ascii="黑体" w:eastAsia="黑体" w:hAnsi="黑体" w:cs="Times New Roman"/>
      <w:smallCaps/>
      <w:kern w:val="2"/>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4.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oleObject" Target="embeddings/oleObject3.bin"/><Relationship Id="rId55" Type="http://schemas.openxmlformats.org/officeDocument/2006/relationships/image" Target="media/image43.wmf"/><Relationship Id="rId63" Type="http://schemas.openxmlformats.org/officeDocument/2006/relationships/image" Target="media/image47.wmf"/><Relationship Id="rId68" Type="http://schemas.openxmlformats.org/officeDocument/2006/relationships/image" Target="media/image49.wmf"/><Relationship Id="rId76" Type="http://schemas.openxmlformats.org/officeDocument/2006/relationships/image" Target="media/image53.wmf"/><Relationship Id="rId7" Type="http://schemas.openxmlformats.org/officeDocument/2006/relationships/endnotes" Target="endnotes.xml"/><Relationship Id="rId71"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1.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2.wmf"/><Relationship Id="rId58" Type="http://schemas.openxmlformats.org/officeDocument/2006/relationships/oleObject" Target="embeddings/oleObject7.bin"/><Relationship Id="rId66" Type="http://schemas.openxmlformats.org/officeDocument/2006/relationships/image" Target="media/image48.wmf"/><Relationship Id="rId74" Type="http://schemas.openxmlformats.org/officeDocument/2006/relationships/image" Target="media/image52.wmf"/><Relationship Id="rId79" Type="http://schemas.openxmlformats.org/officeDocument/2006/relationships/oleObject" Target="embeddings/oleObject18.bin"/><Relationship Id="rId5" Type="http://schemas.openxmlformats.org/officeDocument/2006/relationships/webSettings" Target="webSettings.xml"/><Relationship Id="rId61" Type="http://schemas.openxmlformats.org/officeDocument/2006/relationships/image" Target="media/image46.wmf"/><Relationship Id="rId82"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oleObject" Target="embeddings/oleObject4.bin"/><Relationship Id="rId60" Type="http://schemas.openxmlformats.org/officeDocument/2006/relationships/oleObject" Target="embeddings/oleObject8.bin"/><Relationship Id="rId65" Type="http://schemas.openxmlformats.org/officeDocument/2006/relationships/oleObject" Target="embeddings/oleObject11.bin"/><Relationship Id="rId73" Type="http://schemas.openxmlformats.org/officeDocument/2006/relationships/oleObject" Target="embeddings/oleObject15.bin"/><Relationship Id="rId78" Type="http://schemas.openxmlformats.org/officeDocument/2006/relationships/image" Target="media/image54.wmf"/><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oleObject" Target="embeddings/oleObject2.bin"/><Relationship Id="rId56" Type="http://schemas.openxmlformats.org/officeDocument/2006/relationships/oleObject" Target="embeddings/oleObject6.bin"/><Relationship Id="rId64" Type="http://schemas.openxmlformats.org/officeDocument/2006/relationships/oleObject" Target="embeddings/oleObject10.bin"/><Relationship Id="rId69" Type="http://schemas.openxmlformats.org/officeDocument/2006/relationships/oleObject" Target="embeddings/oleObject13.bin"/><Relationship Id="rId77" Type="http://schemas.openxmlformats.org/officeDocument/2006/relationships/oleObject" Target="embeddings/oleObject17.bin"/><Relationship Id="rId8" Type="http://schemas.openxmlformats.org/officeDocument/2006/relationships/image" Target="media/image1.wmf"/><Relationship Id="rId51" Type="http://schemas.openxmlformats.org/officeDocument/2006/relationships/image" Target="media/image41.wmf"/><Relationship Id="rId72" Type="http://schemas.openxmlformats.org/officeDocument/2006/relationships/image" Target="media/image51.wmf"/><Relationship Id="rId80"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oleObject" Target="embeddings/oleObject1.bin"/><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45.wmf"/><Relationship Id="rId67" Type="http://schemas.openxmlformats.org/officeDocument/2006/relationships/oleObject" Target="embeddings/oleObject12.bin"/><Relationship Id="rId20" Type="http://schemas.openxmlformats.org/officeDocument/2006/relationships/image" Target="media/image13.wmf"/><Relationship Id="rId41" Type="http://schemas.openxmlformats.org/officeDocument/2006/relationships/image" Target="media/image33.wmf"/><Relationship Id="rId54" Type="http://schemas.openxmlformats.org/officeDocument/2006/relationships/oleObject" Target="embeddings/oleObject5.bin"/><Relationship Id="rId62" Type="http://schemas.openxmlformats.org/officeDocument/2006/relationships/oleObject" Target="embeddings/oleObject9.bin"/><Relationship Id="rId70" Type="http://schemas.openxmlformats.org/officeDocument/2006/relationships/image" Target="media/image50.wmf"/><Relationship Id="rId75" Type="http://schemas.openxmlformats.org/officeDocument/2006/relationships/oleObject" Target="embeddings/oleObject16.bin"/><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0.wmf"/><Relationship Id="rId57" Type="http://schemas.openxmlformats.org/officeDocument/2006/relationships/image" Target="media/image4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1326</Words>
  <Characters>7559</Characters>
  <Application>Microsoft Office Word</Application>
  <DocSecurity>0</DocSecurity>
  <Lines>62</Lines>
  <Paragraphs>17</Paragraphs>
  <ScaleCrop>false</ScaleCrop>
  <Company/>
  <LinksUpToDate>false</LinksUpToDate>
  <CharactersWithSpaces>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xiao</dc:creator>
  <cp:lastModifiedBy>梁爽</cp:lastModifiedBy>
  <cp:revision>119</cp:revision>
  <dcterms:created xsi:type="dcterms:W3CDTF">2021-11-14T00:16:00Z</dcterms:created>
  <dcterms:modified xsi:type="dcterms:W3CDTF">2023-02-17T07:56:00Z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498FCE9F4CA54E8BAEEFAB222BD5955B</vt:lpwstr>
  </property>
</Properties>
</file>