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1"/>
          <w:szCs w:val="21"/>
        </w:rPr>
      </w:pPr>
      <w:r>
        <w:rPr>
          <w:rFonts w:ascii="黑体" w:hAnsi="宋体" w:eastAsia="黑体" w:cs="黑体"/>
          <w:i w:val="0"/>
          <w:iCs w:val="0"/>
          <w:caps w:val="0"/>
          <w:color w:val="333333"/>
          <w:spacing w:val="0"/>
          <w:sz w:val="32"/>
          <w:szCs w:val="32"/>
          <w:bdr w:val="none" w:color="auto" w:sz="0" w:space="0"/>
          <w:shd w:val="clear" w:fill="FFFFFF"/>
        </w:rPr>
        <w:t>附件</w:t>
      </w:r>
      <w:r>
        <w:rPr>
          <w:rFonts w:hint="eastAsia" w:ascii="黑体" w:hAnsi="宋体" w:eastAsia="黑体" w:cs="黑体"/>
          <w:i w:val="0"/>
          <w:iCs w:val="0"/>
          <w:caps w:val="0"/>
          <w:color w:val="333333"/>
          <w:spacing w:val="0"/>
          <w:sz w:val="32"/>
          <w:szCs w:val="32"/>
          <w:bdr w:val="none" w:color="auto" w:sz="0" w:space="0"/>
          <w:shd w:val="clear"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7"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44"/>
          <w:szCs w:val="4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7" w:lineRule="atLeast"/>
        <w:ind w:left="0" w:right="0"/>
        <w:jc w:val="center"/>
        <w:rPr>
          <w:rFonts w:hint="default" w:ascii="Times New Roman" w:hAnsi="Times New Roman" w:cs="Times New Roman"/>
          <w:sz w:val="21"/>
          <w:szCs w:val="21"/>
        </w:rPr>
      </w:pPr>
      <w:r>
        <w:rPr>
          <w:rFonts w:ascii="方正小标宋简体" w:hAnsi="方正小标宋简体" w:eastAsia="方正小标宋简体" w:cs="方正小标宋简体"/>
          <w:i w:val="0"/>
          <w:iCs w:val="0"/>
          <w:caps w:val="0"/>
          <w:color w:val="333333"/>
          <w:spacing w:val="0"/>
          <w:sz w:val="44"/>
          <w:szCs w:val="44"/>
          <w:bdr w:val="none" w:color="auto" w:sz="0" w:space="0"/>
          <w:shd w:val="clear" w:fill="FFFFFF"/>
        </w:rPr>
        <w:t>2023</w:t>
      </w: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年“淮海新消费·销售竞赛季”活动方案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7" w:lineRule="atLeast"/>
        <w:ind w:left="0" w:right="0"/>
        <w:jc w:val="both"/>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7" w:lineRule="atLeast"/>
        <w:ind w:left="420" w:right="0" w:firstLine="32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sz w:val="32"/>
          <w:szCs w:val="32"/>
          <w:bdr w:val="none" w:color="auto" w:sz="0" w:space="0"/>
          <w:shd w:val="clear" w:fill="FFFFFF"/>
        </w:rPr>
        <w:t>一、活动目的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ascii="仿宋" w:hAnsi="仿宋" w:eastAsia="仿宋" w:cs="仿宋"/>
          <w:i w:val="0"/>
          <w:iCs w:val="0"/>
          <w:caps w:val="0"/>
          <w:color w:val="333333"/>
          <w:spacing w:val="0"/>
          <w:sz w:val="32"/>
          <w:szCs w:val="32"/>
          <w:bdr w:val="none" w:color="auto" w:sz="0" w:space="0"/>
          <w:shd w:val="clear" w:fill="FFFFFF"/>
        </w:rPr>
        <w:t>按照“淮海新消费”四季系列主题活动的总体部署，强化对重点商贸企业支持力度，运用市场化手段发挥流通企业自主作用，激励商贸流通企业创新促销形式、加大促销力度，拉动市场消费回暖，激发更多内生动力，营造争优创先的氛围，推动消费加快恢复和潜力充分释放，助力消费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7" w:lineRule="atLeast"/>
        <w:ind w:left="420" w:right="0" w:firstLine="32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sz w:val="32"/>
          <w:szCs w:val="32"/>
          <w:bdr w:val="none" w:color="auto" w:sz="0" w:space="0"/>
          <w:shd w:val="clear" w:fill="FFFFFF"/>
        </w:rPr>
        <w:t>二、活动时间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7"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bdr w:val="none" w:color="auto" w:sz="0" w:space="0"/>
          <w:shd w:val="clear" w:fill="FFFFFF"/>
        </w:rPr>
        <w:t>2023年1月至6月。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7" w:lineRule="atLeast"/>
        <w:ind w:left="420" w:right="0" w:firstLine="32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sz w:val="32"/>
          <w:szCs w:val="32"/>
          <w:bdr w:val="none" w:color="auto" w:sz="0" w:space="0"/>
          <w:shd w:val="clear" w:fill="FFFFFF"/>
        </w:rPr>
        <w:t>三、企业要求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bdr w:val="none" w:color="auto" w:sz="0" w:space="0"/>
          <w:shd w:val="clear" w:fill="FFFFFF"/>
        </w:rPr>
        <w:t>（一）纳入徐州市限额以上批发零售业和住宿餐饮业一套表统计列统企业。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bdr w:val="none" w:color="auto" w:sz="0" w:space="0"/>
          <w:shd w:val="clear" w:fill="FFFFFF"/>
        </w:rPr>
        <w:t>（二）积极参加“淮海新消费”四季主题系列活动的限额以上批发、零售、住宿和餐饮业企业。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7"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bdr w:val="none" w:color="auto" w:sz="0" w:space="0"/>
          <w:shd w:val="clear" w:fill="FFFFFF"/>
        </w:rPr>
        <w:t>（三）在各地2022年销售规模居前，今年3月27日前自愿报名参加“淮海新消费·销售竞赛季”的限额以上批发、零售、住宿和餐饮业企业（各板块参赛的住宿、餐饮业企业分别不少于5家）。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7" w:lineRule="atLeast"/>
        <w:ind w:left="420" w:right="0" w:firstLine="32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sz w:val="32"/>
          <w:szCs w:val="32"/>
          <w:bdr w:val="none" w:color="auto" w:sz="0" w:space="0"/>
          <w:shd w:val="clear" w:fill="FFFFFF"/>
        </w:rPr>
        <w:t>四、竞赛内容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7"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bdr w:val="none" w:color="auto" w:sz="0" w:space="0"/>
          <w:shd w:val="clear" w:fill="FFFFFF"/>
        </w:rPr>
        <w:t>（一）由各地商务、统计部门对2023年上半年当地限额以上批发业企业销售额、零售业企业销售额、住宿业企业营业额、餐饮业企业营业额贡献率（批发业企业销售额净增额占当地限额以上批发业销售额净增额的比重、零售业企业销售额净增额占当地限额以上零售业销售额净增额的比重、住宿业企业营业额净增额占当地限额以上住宿业营业额净增额的比重、餐饮业企业营业额净增额占当地限额以上餐饮业营业额净增额的比重）排名情况进行初审并做好参评工作，复审由市商务局、市统计局联合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7" w:lineRule="atLeast"/>
        <w:ind w:left="0" w:right="0" w:firstLine="640"/>
        <w:jc w:val="both"/>
        <w:rPr>
          <w:rFonts w:hint="default" w:ascii="Times New Roman" w:hAnsi="Times New Roman" w:cs="Times New Roman"/>
          <w:sz w:val="21"/>
          <w:szCs w:val="21"/>
        </w:rPr>
      </w:pPr>
      <w:r>
        <w:rPr>
          <w:rFonts w:ascii="楷体" w:hAnsi="楷体" w:eastAsia="楷体" w:cs="楷体"/>
          <w:i w:val="0"/>
          <w:iCs w:val="0"/>
          <w:caps w:val="0"/>
          <w:color w:val="333333"/>
          <w:spacing w:val="0"/>
          <w:sz w:val="32"/>
          <w:szCs w:val="32"/>
          <w:bdr w:val="none" w:color="auto" w:sz="0" w:space="0"/>
          <w:shd w:val="clear" w:fill="FFFFFF"/>
        </w:rPr>
        <w:t>（二）设立否决事项：</w:t>
      </w:r>
      <w:r>
        <w:rPr>
          <w:rFonts w:hint="eastAsia" w:ascii="仿宋" w:hAnsi="仿宋" w:eastAsia="仿宋" w:cs="仿宋"/>
          <w:i w:val="0"/>
          <w:iCs w:val="0"/>
          <w:caps w:val="0"/>
          <w:color w:val="333333"/>
          <w:spacing w:val="0"/>
          <w:sz w:val="32"/>
          <w:szCs w:val="32"/>
          <w:bdr w:val="none" w:color="auto" w:sz="0" w:space="0"/>
          <w:shd w:val="clear" w:fill="FFFFFF"/>
        </w:rPr>
        <w:t>近三年企业法定代表人发生重大违法违纪案件，企业发生统计造假、弄虚作假、严重失信行为或者较大及以上安全生产事故，相关企业不予参评。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7"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333333"/>
          <w:spacing w:val="0"/>
          <w:sz w:val="32"/>
          <w:szCs w:val="32"/>
          <w:bdr w:val="none" w:color="auto" w:sz="0" w:space="0"/>
          <w:shd w:val="clear" w:fill="FFFFFF"/>
        </w:rPr>
        <w:t>（三）奖励标准。</w:t>
      </w:r>
      <w:r>
        <w:rPr>
          <w:rFonts w:hint="eastAsia" w:ascii="仿宋" w:hAnsi="仿宋" w:eastAsia="仿宋" w:cs="仿宋"/>
          <w:i w:val="0"/>
          <w:iCs w:val="0"/>
          <w:caps w:val="0"/>
          <w:color w:val="333333"/>
          <w:spacing w:val="0"/>
          <w:sz w:val="32"/>
          <w:szCs w:val="32"/>
          <w:bdr w:val="none" w:color="auto" w:sz="0" w:space="0"/>
          <w:shd w:val="clear" w:fill="FFFFFF"/>
        </w:rPr>
        <w:t>一等奖：对全市限额以上批发、零售业销售额贡献率排名第1至第2名的批发、零售业企业，分别给予不超过10万元的资金奖励；对全市限额以上住宿、餐饮业营业额贡献率排名第1至第2名的住宿、餐饮业企业分别给予不超过8万元的资金奖励。二等奖：对全市限额以上批发、零售业销售额贡献率排名第3至第7名的批发、零售业企业，分别给予不超过6万元的资金奖励；对全市限额以上住宿、餐饮业营业额贡献率排名第3至5名的住宿、餐饮业企业分别给予不超过4万元的资金奖励。三等奖：对全市限额以上批发、零售业销售额贡献率排名第8至第20名的批发、零售业企业，分别给予不超过4万元的资金奖励；对全市限额以上住宿、餐饮业营业额贡献率排名第6至10名的住宿、餐饮业企业分别给予不超过2万元的资金奖励。特殊贡献奖：对在此次“淮海新消费·销售竞赛季”活动中影响力较大并支持商务、统计工作的12家重点商贸统计一套表列统企业，给予不超过2万元的资金鼓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7"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bdr w:val="none" w:color="auto" w:sz="0" w:space="0"/>
          <w:shd w:val="clear" w:fill="FFFFFF"/>
        </w:rPr>
        <w:t>此次奖励资金按现行财政体制执行。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7" w:lineRule="atLeast"/>
        <w:ind w:left="420" w:right="0" w:firstLine="32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sz w:val="32"/>
          <w:szCs w:val="32"/>
          <w:bdr w:val="none" w:color="auto" w:sz="0" w:space="0"/>
          <w:shd w:val="clear" w:fill="FFFFFF"/>
        </w:rPr>
        <w:t>五、工作要求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7"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333333"/>
          <w:spacing w:val="0"/>
          <w:sz w:val="32"/>
          <w:szCs w:val="32"/>
          <w:bdr w:val="none" w:color="auto" w:sz="0" w:space="0"/>
          <w:shd w:val="clear" w:fill="FFFFFF"/>
        </w:rPr>
        <w:t>（一）高度重视，全面动员。</w:t>
      </w:r>
      <w:r>
        <w:rPr>
          <w:rFonts w:hint="eastAsia" w:ascii="仿宋" w:hAnsi="仿宋" w:eastAsia="仿宋" w:cs="仿宋"/>
          <w:i w:val="0"/>
          <w:iCs w:val="0"/>
          <w:caps w:val="0"/>
          <w:color w:val="333333"/>
          <w:spacing w:val="0"/>
          <w:sz w:val="32"/>
          <w:szCs w:val="32"/>
          <w:bdr w:val="none" w:color="auto" w:sz="0" w:space="0"/>
          <w:shd w:val="clear" w:fill="FFFFFF"/>
        </w:rPr>
        <w:t>上半年是促消费加快恢复的关键时期，是决定全年目标任务能否顺利完成的“窗口期”。各地要高度重视，抓重点带全面，对所有重点流通企业进行一次全面调研，上门服务，广泛动员企业积极参与。注重与媒体联动，加大宣传力度，扩大活动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7"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333333"/>
          <w:spacing w:val="0"/>
          <w:sz w:val="32"/>
          <w:szCs w:val="32"/>
          <w:bdr w:val="none" w:color="auto" w:sz="0" w:space="0"/>
          <w:shd w:val="clear" w:fill="FFFFFF"/>
        </w:rPr>
        <w:t>（二）强化统筹，形成合力。</w:t>
      </w:r>
      <w:r>
        <w:rPr>
          <w:rFonts w:hint="eastAsia" w:ascii="仿宋" w:hAnsi="仿宋" w:eastAsia="仿宋" w:cs="仿宋"/>
          <w:i w:val="0"/>
          <w:iCs w:val="0"/>
          <w:caps w:val="0"/>
          <w:color w:val="333333"/>
          <w:spacing w:val="0"/>
          <w:sz w:val="32"/>
          <w:szCs w:val="32"/>
          <w:bdr w:val="none" w:color="auto" w:sz="0" w:space="0"/>
          <w:shd w:val="clear" w:fill="FFFFFF"/>
        </w:rPr>
        <w:t>在“淮海新消费·销售竞赛季”活动期间，各地要强化统筹协调和资源整合，结合“淮海新消费”四季主题系列活动，开展丰富多彩的配套活动，形成促消费合力，并及时总结上报活动开展情况和成效。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7"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333333"/>
          <w:spacing w:val="0"/>
          <w:sz w:val="32"/>
          <w:szCs w:val="32"/>
          <w:bdr w:val="none" w:color="auto" w:sz="0" w:space="0"/>
          <w:shd w:val="clear" w:fill="FFFFFF"/>
        </w:rPr>
        <w:t>（三）防范风险，确保安全。</w:t>
      </w:r>
      <w:r>
        <w:rPr>
          <w:rFonts w:hint="eastAsia" w:ascii="仿宋" w:hAnsi="仿宋" w:eastAsia="仿宋" w:cs="仿宋"/>
          <w:i w:val="0"/>
          <w:iCs w:val="0"/>
          <w:caps w:val="0"/>
          <w:color w:val="333333"/>
          <w:spacing w:val="0"/>
          <w:sz w:val="32"/>
          <w:szCs w:val="32"/>
          <w:bdr w:val="none" w:color="auto" w:sz="0" w:space="0"/>
          <w:shd w:val="clear" w:fill="FFFFFF"/>
        </w:rPr>
        <w:t>各地要高度重视活动的举办安全，积极配合有关部门，完善安全预案，严格落实企业安全生产主体责任，确保安全、消防等措施完善，有效防范活动场所发生安全生产等事故。</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sz w:val="32"/>
          <w:szCs w:val="32"/>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2023年“淮海新消费·销售竞赛季”企业报名表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28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8"/>
          <w:szCs w:val="28"/>
          <w:bdr w:val="none" w:color="auto" w:sz="0" w:space="0"/>
          <w:shd w:val="clear" w:fill="FFFFFF"/>
        </w:rPr>
        <w:t>商务部门：</w:t>
      </w:r>
      <w:r>
        <w:rPr>
          <w:rFonts w:hint="default" w:ascii="Times New Roman" w:hAnsi="Times New Roman" w:eastAsia="宋体" w:cs="Times New Roman"/>
          <w:i w:val="0"/>
          <w:iCs w:val="0"/>
          <w:caps w:val="0"/>
          <w:color w:val="333333"/>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（公章）                         统计局：</w:t>
      </w:r>
      <w:r>
        <w:rPr>
          <w:rFonts w:hint="default" w:ascii="Times New Roman" w:hAnsi="Times New Roman" w:eastAsia="宋体" w:cs="Times New Roman"/>
          <w:i w:val="0"/>
          <w:iCs w:val="0"/>
          <w:caps w:val="0"/>
          <w:color w:val="333333"/>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（公章）</w:t>
      </w:r>
    </w:p>
    <w:tbl>
      <w:tblPr>
        <w:tblpPr w:vertAnchor="text" w:tblpXSpec="left"/>
        <w:tblW w:w="133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94"/>
        <w:gridCol w:w="1818"/>
        <w:gridCol w:w="1300"/>
        <w:gridCol w:w="2181"/>
        <w:gridCol w:w="2750"/>
        <w:gridCol w:w="1280"/>
        <w:gridCol w:w="3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36" w:hRule="atLeast"/>
        </w:trPr>
        <w:tc>
          <w:tcPr>
            <w:tcW w:w="794" w:type="dxa"/>
            <w:tcBorders>
              <w:top w:val="single" w:color="000000" w:sz="8" w:space="0"/>
              <w:left w:val="single" w:color="000000" w:sz="8" w:space="0"/>
              <w:bottom w:val="single" w:color="000000" w:sz="8" w:space="0"/>
              <w:right w:val="single" w:color="000000" w:sz="8"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序号</w:t>
            </w:r>
          </w:p>
        </w:tc>
        <w:tc>
          <w:tcPr>
            <w:tcW w:w="1818" w:type="dxa"/>
            <w:tcBorders>
              <w:top w:val="single" w:color="000000" w:sz="8" w:space="0"/>
              <w:left w:val="nil"/>
              <w:bottom w:val="single" w:color="000000" w:sz="8" w:space="0"/>
              <w:right w:val="single" w:color="000000" w:sz="8"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企业名称</w:t>
            </w:r>
          </w:p>
        </w:tc>
        <w:tc>
          <w:tcPr>
            <w:tcW w:w="1300" w:type="dxa"/>
            <w:tcBorders>
              <w:top w:val="single" w:color="000000" w:sz="8" w:space="0"/>
              <w:left w:val="nil"/>
              <w:bottom w:val="single" w:color="000000" w:sz="8" w:space="0"/>
              <w:right w:val="single" w:color="000000" w:sz="8"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企业类型</w:t>
            </w:r>
          </w:p>
        </w:tc>
        <w:tc>
          <w:tcPr>
            <w:tcW w:w="2181" w:type="dxa"/>
            <w:tcBorders>
              <w:top w:val="single" w:color="000000" w:sz="8" w:space="0"/>
              <w:left w:val="nil"/>
              <w:bottom w:val="single" w:color="000000" w:sz="8" w:space="0"/>
              <w:right w:val="single" w:color="000000" w:sz="8"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法定代表人</w:t>
            </w:r>
          </w:p>
        </w:tc>
        <w:tc>
          <w:tcPr>
            <w:tcW w:w="2752"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统一社会信用代码</w:t>
            </w:r>
          </w:p>
        </w:tc>
        <w:tc>
          <w:tcPr>
            <w:tcW w:w="1281"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企业联系人</w:t>
            </w:r>
          </w:p>
        </w:tc>
        <w:tc>
          <w:tcPr>
            <w:tcW w:w="3230"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rPr>
              <w:t>手机号码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6" w:hRule="atLeast"/>
        </w:trPr>
        <w:tc>
          <w:tcPr>
            <w:tcW w:w="794"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default" w:ascii="Times New Roman" w:hAnsi="Times New Roman" w:cs="Times New Roman"/>
                <w:color w:val="000000"/>
                <w:sz w:val="24"/>
                <w:szCs w:val="24"/>
                <w:bdr w:val="none" w:color="auto" w:sz="0" w:space="0"/>
              </w:rPr>
              <w:t> </w:t>
            </w:r>
          </w:p>
        </w:tc>
        <w:tc>
          <w:tcPr>
            <w:tcW w:w="1818" w:type="dxa"/>
            <w:tcBorders>
              <w:top w:val="nil"/>
              <w:left w:val="nil"/>
              <w:bottom w:val="single" w:color="000000" w:sz="8" w:space="0"/>
              <w:right w:val="single" w:color="000000" w:sz="8"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default" w:ascii="Times New Roman" w:hAnsi="Times New Roman" w:cs="Times New Roman"/>
                <w:color w:val="000000"/>
                <w:sz w:val="24"/>
                <w:szCs w:val="24"/>
                <w:bdr w:val="none" w:color="auto" w:sz="0" w:space="0"/>
              </w:rPr>
              <w:t> </w:t>
            </w:r>
          </w:p>
        </w:tc>
        <w:tc>
          <w:tcPr>
            <w:tcW w:w="130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default" w:ascii="Times New Roman" w:hAnsi="Times New Roman" w:cs="Times New Roman"/>
                <w:color w:val="000000"/>
                <w:sz w:val="24"/>
                <w:szCs w:val="24"/>
                <w:bdr w:val="none" w:color="auto" w:sz="0" w:space="0"/>
              </w:rPr>
              <w:t> </w:t>
            </w:r>
          </w:p>
        </w:tc>
        <w:tc>
          <w:tcPr>
            <w:tcW w:w="2181" w:type="dxa"/>
            <w:tcBorders>
              <w:top w:val="nil"/>
              <w:left w:val="nil"/>
              <w:bottom w:val="single" w:color="000000" w:sz="8" w:space="0"/>
              <w:right w:val="single" w:color="000000" w:sz="8"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default" w:ascii="Times New Roman" w:hAnsi="Times New Roman" w:cs="Times New Roman"/>
                <w:color w:val="000000"/>
                <w:sz w:val="24"/>
                <w:szCs w:val="24"/>
                <w:bdr w:val="none" w:color="auto" w:sz="0" w:space="0"/>
              </w:rPr>
              <w:t> </w:t>
            </w:r>
          </w:p>
        </w:tc>
        <w:tc>
          <w:tcPr>
            <w:tcW w:w="2752" w:type="dxa"/>
            <w:tcBorders>
              <w:top w:val="nil"/>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default" w:ascii="Times New Roman" w:hAnsi="Times New Roman" w:cs="Times New Roman"/>
                <w:color w:val="000000"/>
                <w:sz w:val="24"/>
                <w:szCs w:val="24"/>
                <w:bdr w:val="none" w:color="auto" w:sz="0" w:space="0"/>
              </w:rPr>
              <w:t> </w:t>
            </w:r>
          </w:p>
        </w:tc>
        <w:tc>
          <w:tcPr>
            <w:tcW w:w="1281" w:type="dxa"/>
            <w:tcBorders>
              <w:top w:val="nil"/>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default" w:ascii="Times New Roman" w:hAnsi="Times New Roman" w:cs="Times New Roman"/>
                <w:color w:val="000000"/>
                <w:sz w:val="24"/>
                <w:szCs w:val="24"/>
                <w:bdr w:val="none" w:color="auto" w:sz="0" w:space="0"/>
              </w:rPr>
              <w:t> </w:t>
            </w:r>
          </w:p>
        </w:tc>
        <w:tc>
          <w:tcPr>
            <w:tcW w:w="3230" w:type="dxa"/>
            <w:tcBorders>
              <w:top w:val="nil"/>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default" w:ascii="Times New Roman" w:hAnsi="Times New Roman" w:cs="Times New Roman"/>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6" w:hRule="atLeast"/>
        </w:trPr>
        <w:tc>
          <w:tcPr>
            <w:tcW w:w="794"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default" w:ascii="Times New Roman" w:hAnsi="Times New Roman" w:cs="Times New Roman"/>
                <w:color w:val="000000"/>
                <w:sz w:val="24"/>
                <w:szCs w:val="24"/>
                <w:bdr w:val="none" w:color="auto" w:sz="0" w:space="0"/>
              </w:rPr>
              <w:t> </w:t>
            </w:r>
          </w:p>
        </w:tc>
        <w:tc>
          <w:tcPr>
            <w:tcW w:w="1818" w:type="dxa"/>
            <w:tcBorders>
              <w:top w:val="nil"/>
              <w:left w:val="nil"/>
              <w:bottom w:val="single" w:color="000000" w:sz="8" w:space="0"/>
              <w:right w:val="single" w:color="000000" w:sz="8"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default" w:ascii="Times New Roman" w:hAnsi="Times New Roman" w:cs="Times New Roman"/>
                <w:color w:val="000000"/>
                <w:sz w:val="24"/>
                <w:szCs w:val="24"/>
                <w:bdr w:val="none" w:color="auto" w:sz="0" w:space="0"/>
              </w:rPr>
              <w:t> </w:t>
            </w:r>
          </w:p>
        </w:tc>
        <w:tc>
          <w:tcPr>
            <w:tcW w:w="130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default" w:ascii="Times New Roman" w:hAnsi="Times New Roman" w:cs="Times New Roman"/>
                <w:color w:val="000000"/>
                <w:sz w:val="24"/>
                <w:szCs w:val="24"/>
                <w:bdr w:val="none" w:color="auto" w:sz="0" w:space="0"/>
              </w:rPr>
              <w:t> </w:t>
            </w:r>
          </w:p>
        </w:tc>
        <w:tc>
          <w:tcPr>
            <w:tcW w:w="2181" w:type="dxa"/>
            <w:tcBorders>
              <w:top w:val="nil"/>
              <w:left w:val="nil"/>
              <w:bottom w:val="single" w:color="000000" w:sz="8" w:space="0"/>
              <w:right w:val="single" w:color="000000" w:sz="8"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default" w:ascii="Times New Roman" w:hAnsi="Times New Roman" w:cs="Times New Roman"/>
                <w:color w:val="000000"/>
                <w:sz w:val="24"/>
                <w:szCs w:val="24"/>
                <w:bdr w:val="none" w:color="auto" w:sz="0" w:space="0"/>
              </w:rPr>
              <w:t> </w:t>
            </w:r>
          </w:p>
        </w:tc>
        <w:tc>
          <w:tcPr>
            <w:tcW w:w="2752" w:type="dxa"/>
            <w:tcBorders>
              <w:top w:val="nil"/>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default" w:ascii="Times New Roman" w:hAnsi="Times New Roman" w:cs="Times New Roman"/>
                <w:color w:val="000000"/>
                <w:sz w:val="24"/>
                <w:szCs w:val="24"/>
                <w:bdr w:val="none" w:color="auto" w:sz="0" w:space="0"/>
              </w:rPr>
              <w:t> </w:t>
            </w:r>
          </w:p>
        </w:tc>
        <w:tc>
          <w:tcPr>
            <w:tcW w:w="1281" w:type="dxa"/>
            <w:tcBorders>
              <w:top w:val="nil"/>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default" w:ascii="Times New Roman" w:hAnsi="Times New Roman" w:cs="Times New Roman"/>
                <w:color w:val="000000"/>
                <w:sz w:val="24"/>
                <w:szCs w:val="24"/>
                <w:bdr w:val="none" w:color="auto" w:sz="0" w:space="0"/>
              </w:rPr>
              <w:t> </w:t>
            </w:r>
          </w:p>
        </w:tc>
        <w:tc>
          <w:tcPr>
            <w:tcW w:w="3230" w:type="dxa"/>
            <w:tcBorders>
              <w:top w:val="nil"/>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default" w:ascii="Times New Roman" w:hAnsi="Times New Roman" w:cs="Times New Roman"/>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6" w:hRule="atLeast"/>
        </w:trPr>
        <w:tc>
          <w:tcPr>
            <w:tcW w:w="794"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default" w:ascii="Times New Roman" w:hAnsi="Times New Roman" w:cs="Times New Roman"/>
                <w:color w:val="000000"/>
                <w:sz w:val="24"/>
                <w:szCs w:val="24"/>
                <w:bdr w:val="none" w:color="auto" w:sz="0" w:space="0"/>
              </w:rPr>
              <w:t> </w:t>
            </w:r>
          </w:p>
        </w:tc>
        <w:tc>
          <w:tcPr>
            <w:tcW w:w="1818" w:type="dxa"/>
            <w:tcBorders>
              <w:top w:val="nil"/>
              <w:left w:val="nil"/>
              <w:bottom w:val="single" w:color="000000" w:sz="8" w:space="0"/>
              <w:right w:val="single" w:color="000000" w:sz="8"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default" w:ascii="Times New Roman" w:hAnsi="Times New Roman" w:cs="Times New Roman"/>
                <w:color w:val="000000"/>
                <w:sz w:val="24"/>
                <w:szCs w:val="24"/>
                <w:bdr w:val="none" w:color="auto" w:sz="0" w:space="0"/>
              </w:rPr>
              <w:t> </w:t>
            </w:r>
          </w:p>
        </w:tc>
        <w:tc>
          <w:tcPr>
            <w:tcW w:w="130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default" w:ascii="Times New Roman" w:hAnsi="Times New Roman" w:cs="Times New Roman"/>
                <w:color w:val="000000"/>
                <w:sz w:val="24"/>
                <w:szCs w:val="24"/>
                <w:bdr w:val="none" w:color="auto" w:sz="0" w:space="0"/>
              </w:rPr>
              <w:t> </w:t>
            </w:r>
          </w:p>
        </w:tc>
        <w:tc>
          <w:tcPr>
            <w:tcW w:w="2181" w:type="dxa"/>
            <w:tcBorders>
              <w:top w:val="nil"/>
              <w:left w:val="nil"/>
              <w:bottom w:val="single" w:color="000000" w:sz="8" w:space="0"/>
              <w:right w:val="single" w:color="000000" w:sz="8"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default" w:ascii="Times New Roman" w:hAnsi="Times New Roman" w:cs="Times New Roman"/>
                <w:color w:val="000000"/>
                <w:sz w:val="24"/>
                <w:szCs w:val="24"/>
                <w:bdr w:val="none" w:color="auto" w:sz="0" w:space="0"/>
              </w:rPr>
              <w:t> </w:t>
            </w:r>
          </w:p>
        </w:tc>
        <w:tc>
          <w:tcPr>
            <w:tcW w:w="2752" w:type="dxa"/>
            <w:tcBorders>
              <w:top w:val="nil"/>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default" w:ascii="Times New Roman" w:hAnsi="Times New Roman" w:cs="Times New Roman"/>
                <w:color w:val="000000"/>
                <w:sz w:val="24"/>
                <w:szCs w:val="24"/>
                <w:bdr w:val="none" w:color="auto" w:sz="0" w:space="0"/>
              </w:rPr>
              <w:t> </w:t>
            </w:r>
          </w:p>
        </w:tc>
        <w:tc>
          <w:tcPr>
            <w:tcW w:w="1281" w:type="dxa"/>
            <w:tcBorders>
              <w:top w:val="nil"/>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default" w:ascii="Times New Roman" w:hAnsi="Times New Roman" w:cs="Times New Roman"/>
                <w:color w:val="000000"/>
                <w:sz w:val="24"/>
                <w:szCs w:val="24"/>
                <w:bdr w:val="none" w:color="auto" w:sz="0" w:space="0"/>
              </w:rPr>
              <w:t> </w:t>
            </w:r>
          </w:p>
        </w:tc>
        <w:tc>
          <w:tcPr>
            <w:tcW w:w="3230" w:type="dxa"/>
            <w:tcBorders>
              <w:top w:val="nil"/>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default" w:ascii="Times New Roman" w:hAnsi="Times New Roman" w:cs="Times New Roman"/>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9" w:hRule="atLeast"/>
        </w:trPr>
        <w:tc>
          <w:tcPr>
            <w:tcW w:w="794"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default" w:ascii="Times New Roman" w:hAnsi="Times New Roman" w:cs="Times New Roman"/>
                <w:color w:val="000000"/>
                <w:sz w:val="24"/>
                <w:szCs w:val="24"/>
                <w:bdr w:val="none" w:color="auto" w:sz="0" w:space="0"/>
              </w:rPr>
              <w:t> </w:t>
            </w:r>
          </w:p>
        </w:tc>
        <w:tc>
          <w:tcPr>
            <w:tcW w:w="1818" w:type="dxa"/>
            <w:tcBorders>
              <w:top w:val="nil"/>
              <w:left w:val="nil"/>
              <w:bottom w:val="single" w:color="000000" w:sz="8" w:space="0"/>
              <w:right w:val="single" w:color="000000" w:sz="8"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default" w:ascii="Times New Roman" w:hAnsi="Times New Roman" w:cs="Times New Roman"/>
                <w:color w:val="000000"/>
                <w:sz w:val="24"/>
                <w:szCs w:val="24"/>
                <w:bdr w:val="none" w:color="auto" w:sz="0" w:space="0"/>
              </w:rPr>
              <w:t> </w:t>
            </w:r>
          </w:p>
        </w:tc>
        <w:tc>
          <w:tcPr>
            <w:tcW w:w="1300" w:type="dxa"/>
            <w:tcBorders>
              <w:top w:val="nil"/>
              <w:left w:val="nil"/>
              <w:bottom w:val="single" w:color="000000" w:sz="8" w:space="0"/>
              <w:right w:val="single" w:color="000000" w:sz="8"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default" w:ascii="Times New Roman" w:hAnsi="Times New Roman" w:cs="Times New Roman"/>
                <w:color w:val="000000"/>
                <w:sz w:val="24"/>
                <w:szCs w:val="24"/>
                <w:bdr w:val="none" w:color="auto" w:sz="0" w:space="0"/>
              </w:rPr>
              <w:t> </w:t>
            </w:r>
          </w:p>
        </w:tc>
        <w:tc>
          <w:tcPr>
            <w:tcW w:w="2181" w:type="dxa"/>
            <w:tcBorders>
              <w:top w:val="nil"/>
              <w:left w:val="nil"/>
              <w:bottom w:val="single" w:color="000000" w:sz="8" w:space="0"/>
              <w:right w:val="single" w:color="000000" w:sz="8"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default" w:ascii="Times New Roman" w:hAnsi="Times New Roman" w:cs="Times New Roman"/>
                <w:color w:val="000000"/>
                <w:sz w:val="24"/>
                <w:szCs w:val="24"/>
                <w:bdr w:val="none" w:color="auto" w:sz="0" w:space="0"/>
              </w:rPr>
              <w:t> </w:t>
            </w:r>
          </w:p>
        </w:tc>
        <w:tc>
          <w:tcPr>
            <w:tcW w:w="2752" w:type="dxa"/>
            <w:tcBorders>
              <w:top w:val="nil"/>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default" w:ascii="Times New Roman" w:hAnsi="Times New Roman" w:cs="Times New Roman"/>
                <w:color w:val="000000"/>
                <w:sz w:val="24"/>
                <w:szCs w:val="24"/>
                <w:bdr w:val="none" w:color="auto" w:sz="0" w:space="0"/>
              </w:rPr>
              <w:t> </w:t>
            </w:r>
          </w:p>
        </w:tc>
        <w:tc>
          <w:tcPr>
            <w:tcW w:w="1281" w:type="dxa"/>
            <w:tcBorders>
              <w:top w:val="nil"/>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default" w:ascii="Times New Roman" w:hAnsi="Times New Roman" w:cs="Times New Roman"/>
                <w:color w:val="000000"/>
                <w:sz w:val="24"/>
                <w:szCs w:val="24"/>
                <w:bdr w:val="none" w:color="auto" w:sz="0" w:space="0"/>
              </w:rPr>
              <w:t> </w:t>
            </w:r>
          </w:p>
        </w:tc>
        <w:tc>
          <w:tcPr>
            <w:tcW w:w="3230" w:type="dxa"/>
            <w:tcBorders>
              <w:top w:val="nil"/>
              <w:left w:val="nil"/>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Times New Roman" w:hAnsi="Times New Roman" w:cs="Times New Roman"/>
                <w:sz w:val="21"/>
                <w:szCs w:val="21"/>
              </w:rPr>
            </w:pPr>
            <w:r>
              <w:rPr>
                <w:rFonts w:hint="default" w:ascii="Times New Roman" w:hAnsi="Times New Roman" w:cs="Times New Roman"/>
                <w:color w:val="000000"/>
                <w:sz w:val="24"/>
                <w:szCs w:val="24"/>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20"/>
        <w:jc w:val="center"/>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20"/>
        <w:jc w:val="center"/>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20"/>
        <w:jc w:val="center"/>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20"/>
        <w:jc w:val="center"/>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20"/>
        <w:jc w:val="center"/>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20"/>
        <w:jc w:val="center"/>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20"/>
        <w:jc w:val="center"/>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20"/>
        <w:jc w:val="center"/>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20"/>
        <w:jc w:val="center"/>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20"/>
        <w:jc w:val="both"/>
        <w:rPr>
          <w:rFonts w:hint="default" w:ascii="Times New Roman" w:hAnsi="Times New Roman" w:cs="Times New Roman"/>
          <w:sz w:val="21"/>
          <w:szCs w:val="21"/>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  联系人：</w:t>
      </w:r>
      <w:r>
        <w:rPr>
          <w:rFonts w:hint="default" w:ascii="Times New Roman" w:hAnsi="Times New Roman" w:eastAsia="宋体" w:cs="Times New Roman"/>
          <w:i w:val="0"/>
          <w:iCs w:val="0"/>
          <w:caps w:val="0"/>
          <w:color w:val="333333"/>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shd w:val="clear" w:fill="FFFFFF"/>
        </w:rPr>
        <w:t>附件3</w:t>
      </w:r>
      <w:r>
        <w:rPr>
          <w:rFonts w:hint="default" w:ascii="Times New Roman" w:hAnsi="Times New Roman" w:eastAsia="宋体" w:cs="Times New Roman"/>
          <w:i w:val="0"/>
          <w:iCs w:val="0"/>
          <w:caps w:val="0"/>
          <w:color w:val="000000"/>
          <w:spacing w:val="0"/>
          <w:sz w:val="44"/>
          <w:szCs w:val="4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2200"/>
        <w:jc w:val="left"/>
        <w:rPr>
          <w:rFonts w:hint="default" w:ascii="Times New Roman" w:hAnsi="Times New Roman" w:cs="Times New Roman"/>
          <w:sz w:val="21"/>
          <w:szCs w:val="21"/>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2023年“淮海新消费</w:t>
      </w: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w:t>
      </w: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销售竞赛季”成效统计表</w:t>
      </w:r>
    </w:p>
    <w:tbl>
      <w:tblPr>
        <w:tblpPr w:vertAnchor="text" w:tblpXSpec="left"/>
        <w:tblW w:w="134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71"/>
        <w:gridCol w:w="1716"/>
        <w:gridCol w:w="750"/>
        <w:gridCol w:w="1335"/>
        <w:gridCol w:w="2061"/>
        <w:gridCol w:w="1389"/>
        <w:gridCol w:w="3315"/>
        <w:gridCol w:w="2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8" w:hRule="atLeast"/>
        </w:trPr>
        <w:tc>
          <w:tcPr>
            <w:tcW w:w="13480" w:type="dxa"/>
            <w:gridSpan w:val="8"/>
            <w:tcBorders>
              <w:top w:val="nil"/>
              <w:left w:val="nil"/>
              <w:bottom w:val="single" w:color="auto" w:sz="8" w:space="0"/>
              <w:right w:val="nil"/>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cs="Times New Roman"/>
                <w:sz w:val="21"/>
                <w:szCs w:val="21"/>
              </w:rPr>
            </w:pPr>
            <w:r>
              <w:rPr>
                <w:rFonts w:hint="eastAsia" w:ascii="仿宋" w:hAnsi="仿宋" w:eastAsia="仿宋" w:cs="仿宋"/>
                <w:sz w:val="28"/>
                <w:szCs w:val="28"/>
                <w:bdr w:val="none" w:color="auto" w:sz="0" w:space="0"/>
              </w:rPr>
              <w:t>商务部门：</w:t>
            </w:r>
            <w:r>
              <w:rPr>
                <w:rFonts w:hint="default" w:ascii="Times New Roman" w:hAnsi="Times New Roman" w:cs="Times New Roman"/>
                <w:sz w:val="28"/>
                <w:szCs w:val="28"/>
                <w:bdr w:val="none" w:color="auto" w:sz="0" w:space="0"/>
              </w:rPr>
              <w:t>        </w:t>
            </w:r>
            <w:r>
              <w:rPr>
                <w:rFonts w:hint="eastAsia" w:ascii="仿宋" w:hAnsi="仿宋" w:eastAsia="仿宋" w:cs="仿宋"/>
                <w:sz w:val="28"/>
                <w:szCs w:val="28"/>
                <w:bdr w:val="none" w:color="auto" w:sz="0" w:space="0"/>
              </w:rPr>
              <w:t>（公章）</w:t>
            </w:r>
            <w:r>
              <w:rPr>
                <w:rFonts w:hint="default" w:ascii="Times New Roman" w:hAnsi="Times New Roman" w:cs="Times New Roman"/>
                <w:sz w:val="28"/>
                <w:szCs w:val="28"/>
                <w:bdr w:val="none" w:color="auto" w:sz="0" w:space="0"/>
              </w:rPr>
              <w:t>                                 </w:t>
            </w:r>
            <w:r>
              <w:rPr>
                <w:rFonts w:hint="eastAsia" w:ascii="仿宋" w:hAnsi="仿宋" w:eastAsia="仿宋" w:cs="仿宋"/>
                <w:sz w:val="28"/>
                <w:szCs w:val="28"/>
                <w:bdr w:val="none" w:color="auto" w:sz="0" w:space="0"/>
              </w:rPr>
              <w:t>统计局：</w:t>
            </w:r>
            <w:r>
              <w:rPr>
                <w:rFonts w:hint="default" w:ascii="Times New Roman" w:hAnsi="Times New Roman" w:cs="Times New Roman"/>
                <w:sz w:val="28"/>
                <w:szCs w:val="28"/>
                <w:bdr w:val="none" w:color="auto" w:sz="0" w:space="0"/>
              </w:rPr>
              <w:t>        </w:t>
            </w:r>
            <w:r>
              <w:rPr>
                <w:rFonts w:hint="eastAsia" w:ascii="仿宋" w:hAnsi="仿宋" w:eastAsia="仿宋" w:cs="仿宋"/>
                <w:sz w:val="28"/>
                <w:szCs w:val="28"/>
                <w:bdr w:val="none" w:color="auto" w:sz="0" w:space="0"/>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0" w:hRule="atLeast"/>
        </w:trPr>
        <w:tc>
          <w:tcPr>
            <w:tcW w:w="77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eastAsia" w:ascii="宋体" w:hAnsi="宋体" w:eastAsia="宋体" w:cs="宋体"/>
                <w:sz w:val="22"/>
                <w:szCs w:val="22"/>
                <w:bdr w:val="none" w:color="auto" w:sz="0" w:space="0"/>
              </w:rPr>
              <w:t>排名</w:t>
            </w:r>
          </w:p>
        </w:tc>
        <w:tc>
          <w:tcPr>
            <w:tcW w:w="1716"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eastAsia" w:ascii="宋体" w:hAnsi="宋体" w:eastAsia="宋体" w:cs="宋体"/>
                <w:sz w:val="22"/>
                <w:szCs w:val="22"/>
                <w:bdr w:val="none" w:color="auto" w:sz="0" w:space="0"/>
              </w:rPr>
              <w:t>参赛企业名称</w:t>
            </w:r>
          </w:p>
        </w:tc>
        <w:tc>
          <w:tcPr>
            <w:tcW w:w="75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eastAsia" w:ascii="宋体" w:hAnsi="宋体" w:eastAsia="宋体" w:cs="宋体"/>
                <w:sz w:val="22"/>
                <w:szCs w:val="22"/>
                <w:bdr w:val="none" w:color="auto" w:sz="0" w:space="0"/>
              </w:rPr>
              <w:t>企业类型</w:t>
            </w:r>
          </w:p>
        </w:tc>
        <w:tc>
          <w:tcPr>
            <w:tcW w:w="133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eastAsia" w:ascii="宋体" w:hAnsi="宋体" w:eastAsia="宋体" w:cs="宋体"/>
                <w:sz w:val="22"/>
                <w:szCs w:val="22"/>
                <w:bdr w:val="none" w:color="auto" w:sz="0" w:space="0"/>
              </w:rPr>
              <w:t>主要促消费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eastAsia" w:ascii="宋体" w:hAnsi="宋体" w:eastAsia="宋体" w:cs="宋体"/>
                <w:sz w:val="22"/>
                <w:szCs w:val="22"/>
                <w:bdr w:val="none" w:color="auto" w:sz="0" w:space="0"/>
              </w:rPr>
              <w:t>活动</w:t>
            </w:r>
          </w:p>
        </w:tc>
        <w:tc>
          <w:tcPr>
            <w:tcW w:w="345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1155" w:right="0" w:hanging="1155"/>
              <w:jc w:val="both"/>
              <w:rPr>
                <w:rFonts w:hint="default" w:ascii="Times New Roman" w:hAnsi="Times New Roman" w:cs="Times New Roman"/>
                <w:sz w:val="21"/>
                <w:szCs w:val="21"/>
              </w:rPr>
            </w:pPr>
            <w:r>
              <w:rPr>
                <w:rFonts w:hint="eastAsia" w:ascii="宋体" w:hAnsi="宋体" w:eastAsia="宋体" w:cs="宋体"/>
                <w:sz w:val="21"/>
                <w:szCs w:val="21"/>
                <w:bdr w:val="none" w:color="auto" w:sz="0" w:space="0"/>
              </w:rPr>
              <w:t>2023年上半年销售额、营业额净增额（万元）</w:t>
            </w:r>
          </w:p>
        </w:tc>
        <w:tc>
          <w:tcPr>
            <w:tcW w:w="3308"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eastAsia" w:ascii="宋体" w:hAnsi="宋体" w:eastAsia="宋体" w:cs="宋体"/>
                <w:sz w:val="22"/>
                <w:szCs w:val="22"/>
                <w:bdr w:val="none" w:color="auto" w:sz="0" w:space="0"/>
              </w:rPr>
              <w:t>2023年上半年销售额、营业额贡献率（</w:t>
            </w:r>
            <w:r>
              <w:rPr>
                <w:rFonts w:hint="default" w:ascii="Times New Roman" w:hAnsi="Times New Roman" w:cs="Times New Roman"/>
                <w:sz w:val="22"/>
                <w:szCs w:val="22"/>
                <w:bdr w:val="none" w:color="auto" w:sz="0" w:space="0"/>
              </w:rPr>
              <w:t>%</w:t>
            </w:r>
            <w:r>
              <w:rPr>
                <w:rFonts w:hint="eastAsia" w:ascii="宋体" w:hAnsi="宋体" w:eastAsia="宋体" w:cs="宋体"/>
                <w:sz w:val="22"/>
                <w:szCs w:val="22"/>
                <w:bdr w:val="none" w:color="auto" w:sz="0" w:space="0"/>
              </w:rPr>
              <w:t>）</w:t>
            </w:r>
          </w:p>
        </w:tc>
        <w:tc>
          <w:tcPr>
            <w:tcW w:w="215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eastAsia" w:ascii="宋体" w:hAnsi="宋体" w:eastAsia="宋体" w:cs="宋体"/>
                <w:sz w:val="22"/>
                <w:szCs w:val="22"/>
                <w:bdr w:val="none" w:color="auto" w:sz="0" w:space="0"/>
              </w:rPr>
              <w:t>是否存在否决项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trPr>
        <w:tc>
          <w:tcPr>
            <w:tcW w:w="77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 </w:t>
            </w:r>
          </w:p>
        </w:tc>
        <w:tc>
          <w:tcPr>
            <w:tcW w:w="1716"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 </w:t>
            </w:r>
          </w:p>
        </w:tc>
        <w:tc>
          <w:tcPr>
            <w:tcW w:w="75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 </w:t>
            </w:r>
          </w:p>
        </w:tc>
        <w:tc>
          <w:tcPr>
            <w:tcW w:w="133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 </w:t>
            </w:r>
          </w:p>
        </w:tc>
        <w:tc>
          <w:tcPr>
            <w:tcW w:w="345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 </w:t>
            </w:r>
          </w:p>
        </w:tc>
        <w:tc>
          <w:tcPr>
            <w:tcW w:w="3308"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 </w:t>
            </w:r>
          </w:p>
        </w:tc>
        <w:tc>
          <w:tcPr>
            <w:tcW w:w="215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trPr>
        <w:tc>
          <w:tcPr>
            <w:tcW w:w="77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 </w:t>
            </w:r>
          </w:p>
        </w:tc>
        <w:tc>
          <w:tcPr>
            <w:tcW w:w="1716"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 </w:t>
            </w:r>
          </w:p>
        </w:tc>
        <w:tc>
          <w:tcPr>
            <w:tcW w:w="75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 </w:t>
            </w:r>
          </w:p>
        </w:tc>
        <w:tc>
          <w:tcPr>
            <w:tcW w:w="133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 </w:t>
            </w:r>
          </w:p>
        </w:tc>
        <w:tc>
          <w:tcPr>
            <w:tcW w:w="345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 </w:t>
            </w:r>
          </w:p>
        </w:tc>
        <w:tc>
          <w:tcPr>
            <w:tcW w:w="3308"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 </w:t>
            </w:r>
          </w:p>
        </w:tc>
        <w:tc>
          <w:tcPr>
            <w:tcW w:w="215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trPr>
        <w:tc>
          <w:tcPr>
            <w:tcW w:w="77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 </w:t>
            </w:r>
          </w:p>
        </w:tc>
        <w:tc>
          <w:tcPr>
            <w:tcW w:w="1716"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 </w:t>
            </w:r>
          </w:p>
        </w:tc>
        <w:tc>
          <w:tcPr>
            <w:tcW w:w="75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 </w:t>
            </w:r>
          </w:p>
        </w:tc>
        <w:tc>
          <w:tcPr>
            <w:tcW w:w="133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 </w:t>
            </w:r>
          </w:p>
        </w:tc>
        <w:tc>
          <w:tcPr>
            <w:tcW w:w="345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 </w:t>
            </w:r>
          </w:p>
        </w:tc>
        <w:tc>
          <w:tcPr>
            <w:tcW w:w="3308"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 </w:t>
            </w:r>
          </w:p>
        </w:tc>
        <w:tc>
          <w:tcPr>
            <w:tcW w:w="215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trPr>
        <w:tc>
          <w:tcPr>
            <w:tcW w:w="77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 </w:t>
            </w:r>
          </w:p>
        </w:tc>
        <w:tc>
          <w:tcPr>
            <w:tcW w:w="1716"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 </w:t>
            </w:r>
          </w:p>
        </w:tc>
        <w:tc>
          <w:tcPr>
            <w:tcW w:w="75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 </w:t>
            </w:r>
          </w:p>
        </w:tc>
        <w:tc>
          <w:tcPr>
            <w:tcW w:w="133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 </w:t>
            </w:r>
          </w:p>
        </w:tc>
        <w:tc>
          <w:tcPr>
            <w:tcW w:w="345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 </w:t>
            </w:r>
          </w:p>
        </w:tc>
        <w:tc>
          <w:tcPr>
            <w:tcW w:w="3308"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 </w:t>
            </w:r>
          </w:p>
        </w:tc>
        <w:tc>
          <w:tcPr>
            <w:tcW w:w="215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5" w:hRule="atLeast"/>
        </w:trPr>
        <w:tc>
          <w:tcPr>
            <w:tcW w:w="2487" w:type="dxa"/>
            <w:gridSpan w:val="2"/>
            <w:tcBorders>
              <w:top w:val="nil"/>
              <w:left w:val="nil"/>
              <w:bottom w:val="nil"/>
              <w:right w:val="nil"/>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cs="Times New Roman"/>
                <w:sz w:val="21"/>
                <w:szCs w:val="21"/>
              </w:rPr>
            </w:pPr>
            <w:r>
              <w:rPr>
                <w:rFonts w:hint="eastAsia" w:ascii="方正仿宋_GBK" w:hAnsi="方正仿宋_GBK" w:eastAsia="方正仿宋_GBK" w:cs="方正仿宋_GBK"/>
                <w:sz w:val="32"/>
                <w:szCs w:val="32"/>
                <w:bdr w:val="none" w:color="auto" w:sz="0" w:space="0"/>
              </w:rPr>
              <w:t>填报时间：</w:t>
            </w:r>
          </w:p>
        </w:tc>
        <w:tc>
          <w:tcPr>
            <w:tcW w:w="4146" w:type="dxa"/>
            <w:gridSpan w:val="3"/>
            <w:tcBorders>
              <w:top w:val="nil"/>
              <w:left w:val="nil"/>
              <w:bottom w:val="nil"/>
              <w:right w:val="nil"/>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cs="Times New Roman"/>
                <w:sz w:val="21"/>
                <w:szCs w:val="21"/>
              </w:rPr>
            </w:pPr>
            <w:r>
              <w:rPr>
                <w:rFonts w:hint="eastAsia" w:ascii="方正仿宋_GBK" w:hAnsi="方正仿宋_GBK" w:eastAsia="方正仿宋_GBK" w:cs="方正仿宋_GBK"/>
                <w:sz w:val="32"/>
                <w:szCs w:val="32"/>
                <w:bdr w:val="none" w:color="auto" w:sz="0" w:space="0"/>
              </w:rPr>
              <w:t>联系人：</w:t>
            </w:r>
          </w:p>
        </w:tc>
        <w:tc>
          <w:tcPr>
            <w:tcW w:w="4697" w:type="dxa"/>
            <w:gridSpan w:val="2"/>
            <w:tcBorders>
              <w:top w:val="nil"/>
              <w:left w:val="nil"/>
              <w:bottom w:val="nil"/>
              <w:right w:val="nil"/>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1440"/>
              <w:jc w:val="left"/>
              <w:rPr>
                <w:rFonts w:hint="default" w:ascii="Times New Roman" w:hAnsi="Times New Roman" w:cs="Times New Roman"/>
                <w:sz w:val="21"/>
                <w:szCs w:val="21"/>
              </w:rPr>
            </w:pPr>
            <w:r>
              <w:rPr>
                <w:rFonts w:hint="eastAsia" w:ascii="方正仿宋_GBK" w:hAnsi="方正仿宋_GBK" w:eastAsia="方正仿宋_GBK" w:cs="方正仿宋_GBK"/>
                <w:sz w:val="32"/>
                <w:szCs w:val="32"/>
                <w:bdr w:val="none" w:color="auto" w:sz="0" w:space="0"/>
              </w:rPr>
              <w:t>联系电话：</w:t>
            </w:r>
          </w:p>
        </w:tc>
        <w:tc>
          <w:tcPr>
            <w:tcW w:w="2150" w:type="dxa"/>
            <w:tcBorders>
              <w:top w:val="nil"/>
              <w:left w:val="nil"/>
              <w:bottom w:val="nil"/>
              <w:right w:val="nil"/>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1440"/>
              <w:jc w:val="left"/>
              <w:rPr>
                <w:rFonts w:hint="default" w:ascii="Times New Roman" w:hAnsi="Times New Roman" w:cs="Times New Roman"/>
                <w:sz w:val="21"/>
                <w:szCs w:val="21"/>
              </w:rPr>
            </w:pPr>
            <w:r>
              <w:rPr>
                <w:rFonts w:hint="eastAsia" w:ascii="方正仿宋_GBK" w:hAnsi="方正仿宋_GBK" w:eastAsia="方正仿宋_GBK" w:cs="方正仿宋_GBK"/>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765" w:type="dxa"/>
            <w:tcBorders>
              <w:top w:val="nil"/>
              <w:left w:val="nil"/>
              <w:bottom w:val="nil"/>
              <w:right w:val="nil"/>
            </w:tcBorders>
            <w:shd w:val="clear"/>
            <w:vAlign w:val="center"/>
          </w:tcPr>
          <w:p>
            <w:pPr>
              <w:rPr>
                <w:rFonts w:hint="eastAsia" w:ascii="宋体"/>
                <w:sz w:val="24"/>
                <w:szCs w:val="24"/>
              </w:rPr>
            </w:pPr>
          </w:p>
        </w:tc>
        <w:tc>
          <w:tcPr>
            <w:tcW w:w="1710" w:type="dxa"/>
            <w:tcBorders>
              <w:top w:val="nil"/>
              <w:left w:val="nil"/>
              <w:bottom w:val="nil"/>
              <w:right w:val="nil"/>
            </w:tcBorders>
            <w:shd w:val="clear"/>
            <w:vAlign w:val="center"/>
          </w:tcPr>
          <w:p>
            <w:pPr>
              <w:rPr>
                <w:rFonts w:hint="eastAsia" w:ascii="宋体"/>
                <w:sz w:val="24"/>
                <w:szCs w:val="24"/>
              </w:rPr>
            </w:pPr>
          </w:p>
        </w:tc>
        <w:tc>
          <w:tcPr>
            <w:tcW w:w="750" w:type="dxa"/>
            <w:tcBorders>
              <w:top w:val="nil"/>
              <w:left w:val="nil"/>
              <w:bottom w:val="nil"/>
              <w:right w:val="nil"/>
            </w:tcBorders>
            <w:shd w:val="clear"/>
            <w:vAlign w:val="center"/>
          </w:tcPr>
          <w:p>
            <w:pPr>
              <w:rPr>
                <w:rFonts w:hint="eastAsia" w:ascii="宋体"/>
                <w:sz w:val="24"/>
                <w:szCs w:val="24"/>
              </w:rPr>
            </w:pPr>
          </w:p>
        </w:tc>
        <w:tc>
          <w:tcPr>
            <w:tcW w:w="1335" w:type="dxa"/>
            <w:tcBorders>
              <w:top w:val="nil"/>
              <w:left w:val="nil"/>
              <w:bottom w:val="nil"/>
              <w:right w:val="nil"/>
            </w:tcBorders>
            <w:shd w:val="clear"/>
            <w:vAlign w:val="center"/>
          </w:tcPr>
          <w:p>
            <w:pPr>
              <w:rPr>
                <w:rFonts w:hint="eastAsia" w:ascii="宋体"/>
                <w:sz w:val="24"/>
                <w:szCs w:val="24"/>
              </w:rPr>
            </w:pPr>
          </w:p>
        </w:tc>
        <w:tc>
          <w:tcPr>
            <w:tcW w:w="2055" w:type="dxa"/>
            <w:tcBorders>
              <w:top w:val="nil"/>
              <w:left w:val="nil"/>
              <w:bottom w:val="nil"/>
              <w:right w:val="nil"/>
            </w:tcBorders>
            <w:shd w:val="clear"/>
            <w:vAlign w:val="center"/>
          </w:tcPr>
          <w:p>
            <w:pPr>
              <w:rPr>
                <w:rFonts w:hint="eastAsia" w:ascii="宋体"/>
                <w:sz w:val="24"/>
                <w:szCs w:val="24"/>
              </w:rPr>
            </w:pPr>
          </w:p>
        </w:tc>
        <w:tc>
          <w:tcPr>
            <w:tcW w:w="1395" w:type="dxa"/>
            <w:tcBorders>
              <w:top w:val="nil"/>
              <w:left w:val="nil"/>
              <w:bottom w:val="nil"/>
              <w:right w:val="nil"/>
            </w:tcBorders>
            <w:shd w:val="clear"/>
            <w:vAlign w:val="center"/>
          </w:tcPr>
          <w:p>
            <w:pPr>
              <w:rPr>
                <w:rFonts w:hint="eastAsia" w:ascii="宋体"/>
                <w:sz w:val="24"/>
                <w:szCs w:val="24"/>
              </w:rPr>
            </w:pPr>
          </w:p>
        </w:tc>
        <w:tc>
          <w:tcPr>
            <w:tcW w:w="3315" w:type="dxa"/>
            <w:tcBorders>
              <w:top w:val="nil"/>
              <w:left w:val="nil"/>
              <w:bottom w:val="nil"/>
              <w:right w:val="nil"/>
            </w:tcBorders>
            <w:shd w:val="clear"/>
            <w:vAlign w:val="center"/>
          </w:tcPr>
          <w:p>
            <w:pPr>
              <w:rPr>
                <w:rFonts w:hint="eastAsia" w:ascii="宋体"/>
                <w:sz w:val="24"/>
                <w:szCs w:val="24"/>
              </w:rPr>
            </w:pPr>
          </w:p>
        </w:tc>
        <w:tc>
          <w:tcPr>
            <w:tcW w:w="2145" w:type="dxa"/>
            <w:tcBorders>
              <w:top w:val="nil"/>
              <w:left w:val="nil"/>
              <w:bottom w:val="nil"/>
              <w:right w:val="nil"/>
            </w:tcBorders>
            <w:shd w:val="cle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default" w:ascii="Times New Roman" w:hAnsi="Times New Roman" w:cs="Times New Roman"/>
          <w:sz w:val="21"/>
          <w:szCs w:val="21"/>
        </w:rPr>
      </w:pPr>
      <w:r>
        <w:rPr>
          <w:rFonts w:hint="eastAsia" w:ascii="方正仿宋_GBK" w:hAnsi="方正仿宋_GBK" w:eastAsia="方正仿宋_GBK" w:cs="方正仿宋_GBK"/>
          <w:i w:val="0"/>
          <w:iCs w:val="0"/>
          <w:caps w:val="0"/>
          <w:color w:val="000000"/>
          <w:spacing w:val="0"/>
          <w:sz w:val="24"/>
          <w:szCs w:val="24"/>
          <w:u w:val="none"/>
          <w:bdr w:val="none" w:color="auto" w:sz="0" w:space="0"/>
          <w:shd w:val="clear" w:fill="FFFFFF"/>
        </w:rPr>
        <w:t>备注：1. 参赛企业上半年销售额及净增额是指经统计部门核实的2023年1－6月批发、零售业企业的销售额和同期净增量。2.参赛企业销售额贡献率是指2023年1－6月企业销售额净增额占同期当地限额以上批发、零售业销售额净增额的比重。3.参赛企业上半年营业额及净增额是指经统计部门核实的2023年1－6月住宿、餐饮业企业的营业额和同期净增量。4.参赛企业营业额贡献率是指2023年1－6月住宿、餐饮业企业营业额净增额占同期当地限额以上住宿、餐饮业营业额净增额的比重。5.排名按照限额以上批发、零售业企业销售额和住宿、餐饮业企业营业额贡献率排序。</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00000000"/>
    <w:rsid w:val="47561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2023-03-15T09:04:54Z</dcterms:created>
  <dc:creator>Administrator</dc:creator>
  <cp:lastModifiedBy>阿淼</cp:lastModifiedBy>
  <dcterms:modified xsi:type="dcterms:W3CDTF">2023-03-15T09:05:24Z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514ABD571A084E09A8111D11BF67E41F</vt:lpwstr>
  </property>
</Properties>
</file>