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31"/>
          <w:szCs w:val="31"/>
          <w:shd w:val="clear" w:fill="FFFFFF"/>
        </w:rPr>
        <w:t>2023年度市级环境保护专项资金拟安排项目表</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56"/>
        <w:gridCol w:w="1157"/>
        <w:gridCol w:w="1766"/>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Fonts w:hint="default" w:ascii="Times New Roman" w:hAnsi="Times New Roman" w:eastAsia="微软雅黑" w:cs="Times New Roman"/>
                <w:i w:val="0"/>
                <w:iCs w:val="0"/>
                <w:caps w:val="0"/>
                <w:color w:val="3D3D3D"/>
                <w:spacing w:val="0"/>
                <w:sz w:val="24"/>
                <w:szCs w:val="24"/>
                <w:bdr w:val="none" w:color="auto" w:sz="0" w:space="0"/>
              </w:rPr>
              <w:t>序号</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Fonts w:hint="default" w:ascii="Times New Roman" w:hAnsi="Times New Roman" w:eastAsia="微软雅黑" w:cs="Times New Roman"/>
                <w:i w:val="0"/>
                <w:iCs w:val="0"/>
                <w:caps w:val="0"/>
                <w:color w:val="3D3D3D"/>
                <w:spacing w:val="0"/>
                <w:sz w:val="24"/>
                <w:szCs w:val="24"/>
                <w:bdr w:val="none" w:color="auto" w:sz="0" w:space="0"/>
              </w:rPr>
              <w:t>申报单位</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Fonts w:hint="default" w:ascii="Times New Roman" w:hAnsi="Times New Roman" w:eastAsia="微软雅黑" w:cs="Times New Roman"/>
                <w:i w:val="0"/>
                <w:iCs w:val="0"/>
                <w:caps w:val="0"/>
                <w:color w:val="3D3D3D"/>
                <w:spacing w:val="0"/>
                <w:sz w:val="24"/>
                <w:szCs w:val="24"/>
                <w:bdr w:val="none" w:color="auto" w:sz="0" w:space="0"/>
              </w:rPr>
              <w:t>项目名称</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Fonts w:ascii="黑体" w:hAnsi="宋体" w:eastAsia="黑体" w:cs="黑体"/>
                <w:i w:val="0"/>
                <w:iCs w:val="0"/>
                <w:caps w:val="0"/>
                <w:color w:val="3D3D3D"/>
                <w:spacing w:val="0"/>
                <w:sz w:val="24"/>
                <w:szCs w:val="24"/>
                <w:bdr w:val="none" w:color="auto" w:sz="0" w:space="0"/>
              </w:rPr>
              <w:t>申报</w:t>
            </w:r>
            <w:r>
              <w:rPr>
                <w:rFonts w:hint="default" w:ascii="Times New Roman" w:hAnsi="Times New Roman" w:eastAsia="微软雅黑" w:cs="Times New Roman"/>
                <w:i w:val="0"/>
                <w:iCs w:val="0"/>
                <w:caps w:val="0"/>
                <w:color w:val="3D3D3D"/>
                <w:spacing w:val="0"/>
                <w:sz w:val="24"/>
                <w:szCs w:val="24"/>
                <w:bdr w:val="none" w:color="auto" w:sz="0" w:space="0"/>
              </w:rPr>
              <w:t>主要建设内容及规模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7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i w:val="0"/>
                <w:iCs w:val="0"/>
                <w:caps w:val="0"/>
                <w:color w:val="3D3D3D"/>
                <w:spacing w:val="0"/>
                <w:sz w:val="22"/>
                <w:szCs w:val="22"/>
                <w:bdr w:val="none" w:color="auto" w:sz="0" w:space="0"/>
              </w:rPr>
              <w:t>1</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泰州市2023年生态空间保护区域天地双眼监管项目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为深入打好污染防治攻坚战，全面落实省政府《江苏省生态空间管控区区域监督管理办法》（苏政办发〔2021〕3号）、《省政府办公厅关于印发江苏省生态空间管控监督管理办法的通知》（苏政办发〔2021〕20号）《江苏省生态空间管控区域监督管理评估细则》的通知》（苏环办〔2022〕283号）等文件要求，基于1173平方公里生态空间管控区基础调查结果，开展日常监管（地眼）和系统排查（天眼）两个方面工作，主要是根据高分辨率遥感影像每半年一次进行监查，针对新增项目开展备案、调研、整改、销号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i w:val="0"/>
                <w:iCs w:val="0"/>
                <w:caps w:val="0"/>
                <w:color w:val="3D3D3D"/>
                <w:spacing w:val="0"/>
                <w:sz w:val="22"/>
                <w:szCs w:val="22"/>
                <w:bdr w:val="none" w:color="auto" w:sz="0" w:space="0"/>
              </w:rPr>
              <w:t>2</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泰州市2022年度生态空间管控区域环境质量评估</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针对生态空间管控区域内存在的问题，研究选定生态空间管控区域内生物多样性的样线和样方，提升环境质量指数的措施和方法，提交技术报告。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2"/>
                <w:szCs w:val="22"/>
                <w:bdr w:val="none" w:color="auto" w:sz="0" w:space="0"/>
              </w:rPr>
              <w:t>3</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泰州市“泰美丽”生物多样性保护社会调查参与方法与技术手段研究项目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1.构建针对泰州特有鸟类的AI识别算法，训练可识别不少于20种鸟类；2.研究eDNA与超声监测协同观测长江鱼类资源可行性，依托春江湿地公园观测站开展试点工作；3.开展先进鸟类与鱼类观测方法学术交流，掌握最新技术成果，指导泰州实践；4.整合2022年度生物多样性本底数据，向公众发布，提高生物多样性保护社会参与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i w:val="0"/>
                <w:iCs w:val="0"/>
                <w:caps w:val="0"/>
                <w:color w:val="3D3D3D"/>
                <w:spacing w:val="0"/>
                <w:sz w:val="22"/>
                <w:szCs w:val="22"/>
                <w:bdr w:val="none" w:color="auto" w:sz="0" w:space="0"/>
              </w:rPr>
              <w:t>4</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15"/>
                <w:sz w:val="18"/>
                <w:szCs w:val="18"/>
                <w:bdr w:val="none" w:color="auto" w:sz="0" w:space="0"/>
              </w:rPr>
              <w:t>2023年度泰州市固定污染源排污许可监管</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为固定污染源许可证核发及复核等提供技术支撑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i w:val="0"/>
                <w:iCs w:val="0"/>
                <w:caps w:val="0"/>
                <w:color w:val="3D3D3D"/>
                <w:spacing w:val="0"/>
                <w:sz w:val="22"/>
                <w:szCs w:val="22"/>
                <w:bdr w:val="none" w:color="auto" w:sz="0" w:space="0"/>
              </w:rPr>
              <w:t>5</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2023年度环评文件技术复核</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1.项目环评复核：抽取报告表不少于70个，报告书不少于16本，每本报告至少有2名专家，每个季度开展一次复核现场交流会；2.规划环评复核：根据三年全覆盖要求，2023年需检查园区10个，现场核查人员必须至少包括两名省级专家；3.环评单位现场检查：在泰环评单位合计18家，开展全覆盖现场检查，检查频次为2次/年，并配合国家、省级不定期调度以及现场陪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0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2"/>
                <w:szCs w:val="22"/>
                <w:bdr w:val="none" w:color="auto" w:sz="0" w:space="0"/>
              </w:rPr>
              <w:t>6</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2023年度环境影响评价委托评审</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开展规划和建设项目环评申报材料编制规范性、环境合理性、可批性审核，开展技术咨询评估服务，针对规划和项目特点邀请相关专家，组织召开专家技术咨询会，为环评审批和审查提供支撑服务。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1"/>
                <w:szCs w:val="21"/>
                <w:bdr w:val="none" w:color="auto" w:sz="0" w:space="0"/>
              </w:rPr>
              <w:t>7</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开展危险废物省级发证经营单位二恶英监督性监测</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我市危险废物省级发证经营单位共6家，对7个焚烧炉排气筒开展二噁英监督性监测（对比2022年，新增1个泰兴淳蓝二期焚烧炉排气筒）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1"/>
                <w:szCs w:val="21"/>
                <w:bdr w:val="none" w:color="auto" w:sz="0" w:space="0"/>
              </w:rPr>
              <w:t>8</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15"/>
                <w:sz w:val="18"/>
                <w:szCs w:val="18"/>
                <w:bdr w:val="none" w:color="auto" w:sz="0" w:space="0"/>
              </w:rPr>
              <w:t>全市已建危废视频边缘节点平台运营维护</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重点涉废企业已建成的危废视频边缘节点平台监控视频的存储和AI分析、运营维护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2"/>
                <w:szCs w:val="22"/>
                <w:bdr w:val="none" w:color="auto" w:sz="0" w:space="0"/>
              </w:rPr>
              <w:t>9</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危废规范化环境管理评估</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i w:val="0"/>
                <w:iCs w:val="0"/>
                <w:caps w:val="0"/>
                <w:color w:val="3D3D3D"/>
                <w:spacing w:val="0"/>
                <w:sz w:val="18"/>
                <w:szCs w:val="18"/>
                <w:bdr w:val="none" w:color="auto" w:sz="0" w:space="0"/>
              </w:rPr>
              <w:t>根据评估指标完成危废规范化环境管理评估，提交评估报告。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2"/>
                <w:szCs w:val="22"/>
                <w:bdr w:val="none" w:color="auto" w:sz="0" w:space="0"/>
              </w:rPr>
              <w:t>10</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泰州市排污总量指标复核项目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对泰州市排污总量入库项目进行审核，主要包括：1、政府规划实施生态环境基础设施建设和减排、扩容等工程；2、污染物排放标准、排放总量控制要求调整的，排污单位在新的标准、要求正式实施前开展减排工程，形成的污染物减排量；3、企业关闭或落后过剩产能淘汰，形成的污染物减排量；4、排污单位在达标排放基础上，投资（不涉及政府资金）实施污染治理、技术改造升级等形成的污染物减排量，并自愿申请储备库收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22"/>
                <w:szCs w:val="22"/>
                <w:bdr w:val="none" w:color="auto" w:sz="0" w:space="0"/>
              </w:rPr>
              <w:t>11</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2022年度市级生态环境污染源统计数据复核</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2023年8月底前，完成800多家环统年报企业数据系统复核和现场审核；2023年底前，提供每家企业复核相关台账资料；2023年底前，提供环统年报企业数据核查与分析报告。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ascii="方正仿宋_GBK" w:hAnsi="方正仿宋_GBK" w:eastAsia="方正仿宋_GBK" w:cs="方正仿宋_GBK"/>
                <w:i w:val="0"/>
                <w:iCs w:val="0"/>
                <w:caps w:val="0"/>
                <w:color w:val="3D3D3D"/>
                <w:spacing w:val="0"/>
                <w:sz w:val="19"/>
                <w:szCs w:val="19"/>
                <w:bdr w:val="none" w:color="auto" w:sz="0" w:space="0"/>
              </w:rPr>
              <w:t>12</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省级以上园区污染物排放总量核算复核</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收集汇总泰州全市省级以上园区2023年度污染物排放总量核算数据；对园区核算数据进行抽查，形成初步复核意见并安排整改；编制园区污染物排放总量核算复核报告；召开专家复核会，形成专家复核意见。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13</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泰州市2022年度城镇区域水污染物平衡核算项目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编制《泰州市2022年度城镇区域水污染物平衡核算报告》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1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14</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泰州市入河排污口监督管理方案研究及2023年度排口设置技术评估项目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研究制订《泰州市入河排污口监督管理实施方案》、《泰州市入河排污口分级审批备案规程》《泰州市入河排污口规范化设置管理办法》,预计完成8个入河排污口设置技术评估报告。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15</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泰州市重点水域（第一批）生态缓冲带划定与综合管控项目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研究制订泰州市重点水域（第一批）生态缓冲带划定与综合管控方案。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16</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铁塔高空视频监控服务项目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将海陵区、医药高新区（高港区）120个摄像头进行硬件升级，更换像素更高，变倍更大的高清摄像头，对后台存储器进行扩容，提高对监管盲区、核心区域和市（区）边界地区的大气环境视频监管能力。同时，提供2年的技术服务，将监管范围内的秸秆焚烧、道路、工地、码头扬尘污染纳入监管范围，通过人工值守结合大数据人工智能分析，实时发现问题并告警，减少污染物排放，推动环境空气质量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17</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编制2023年秋冬季重污染天气应急减排清单</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textAlignment w:val="center"/>
            </w:pPr>
            <w:r>
              <w:rPr>
                <w:rFonts w:hint="eastAsia" w:ascii="宋体" w:hAnsi="宋体" w:eastAsia="宋体" w:cs="宋体"/>
                <w:i w:val="0"/>
                <w:iCs w:val="0"/>
                <w:caps w:val="0"/>
                <w:color w:val="3D3D3D"/>
                <w:spacing w:val="0"/>
                <w:sz w:val="18"/>
                <w:szCs w:val="18"/>
                <w:bdr w:val="none" w:color="auto" w:sz="0" w:space="0"/>
              </w:rPr>
              <w:t>1.开展泰州市2023年重点行业企业绩效分级评价工作，组织专家审核绩效分级申报为A、B、B-、绩效引领性级企业的申报材料以及现场情况。2.编制泰州市2023年秋冬季重污染天气工业源、扬尘源、移动源应急减排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18</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非道路移动机械编码登记</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建立非道路移动机械登记管理平台，开展非道路移动机械编码登记工作。项目完成后，通过动态掌握底数，划定禁止使用高排放非道路移动机械的区域，减少污染排放量，改善环境空气质量。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19</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泰州市土壤污染状况调查和风险评估、风险管控、修复效果评估评审工作</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5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省生态环境厅省自然资源厅关于试点开展建设用地土壤污染风险评估、风险管控和修复效果评估报告评审工作的通知》（苏环办〔2019〕309号）；《关于进一步加强化工等企业关闭遗留地块土壤风险管控工作的通知》“2023年底，所有具备调查条件的高风险遗留地块应完成土壤污染状况调查工作”《建设用地土壤污染状况初步调查监督检查工作指南（试行）》“检查采样分析工作计划中的采样方案，选取部分采样点，通过现场旁站等方式进行现场查看，赴检验检测机构现场查看的方式，查阅相关记录，或者采取平行样品比对分析、统一监控样品分析等方式对相关地块的样品分析测试质量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20</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泰州市区流域水环境质量考核断面自动站运维质控</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泰州市区13个流域水环境质量考核断面自动站运维费用和质控费用。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21</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泰州三水厂自动站运维和质控</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泰州三水厂自动站运维费用和质控费用。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22</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引江河杜庄备用水源地自动站运维质控</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引江河杜庄备用水源地自动站运维费用和质控费用。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23</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空气微型站运维</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16台3参数空气微型站运维费用。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24</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21"/>
                <w:szCs w:val="21"/>
                <w:bdr w:val="none" w:color="auto" w:sz="0" w:space="0"/>
              </w:rPr>
              <w:t>港口空气站运维</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21"/>
                <w:szCs w:val="21"/>
                <w:bdr w:val="none" w:color="auto" w:sz="0" w:space="0"/>
              </w:rPr>
              <w:t>港口空气自动监测站运维</w:t>
            </w:r>
            <w:r>
              <w:rPr>
                <w:rFonts w:hint="eastAsia" w:ascii="宋体" w:hAnsi="宋体" w:eastAsia="宋体" w:cs="宋体"/>
                <w:i w:val="0"/>
                <w:iCs w:val="0"/>
                <w:caps w:val="0"/>
                <w:color w:val="3D3D3D"/>
                <w:spacing w:val="0"/>
                <w:sz w:val="18"/>
                <w:szCs w:val="18"/>
                <w:bdr w:val="none" w:color="auto" w:sz="0" w:space="0"/>
              </w:rPr>
              <w:t> </w:t>
            </w:r>
            <w:r>
              <w:rPr>
                <w:rFonts w:hint="eastAsia" w:ascii="宋体" w:hAnsi="宋体" w:eastAsia="宋体" w:cs="宋体"/>
                <w:i w:val="0"/>
                <w:iCs w:val="0"/>
                <w:caps w:val="0"/>
                <w:color w:val="3D3D3D"/>
                <w:spacing w:val="0"/>
                <w:sz w:val="21"/>
                <w:szCs w:val="21"/>
                <w:bdr w:val="none" w:color="auto" w:sz="0" w:space="0"/>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25</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机动车尾气遥感监测系统运维</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机动车尾气遥感监测系统运维费用。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26</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市区乡镇站运维质控</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市区25个乡镇空气站运维费用和质控招标费用。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27</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泰州市生态环境局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2023年度省级生态环境保护专项资金入库申报技术咨询服务</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通过申报省级项目库，争取项目多入库，多争取省级专项资金，为我市生态环保事业提供资金支持。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28</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“健康长江泰州行动"指挥中心</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大屏等设备及网络运行驻场维护</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信息技术工程师进行驻点维护，开展办公设备的维护保养。组建技术支撑团队排除重大网络故障，满足重要会议活动技术保障需求。提供机房值班巡检、网络安全问题、系统故障抢修等紧急需求的信息技术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29</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“健康长江泰州行动"指挥中心</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泰州市卫星遥感水质反演数据资源</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在已有成果基础上加强卫星遥感技术在水环境监测领域的应用，利用卫星遥感监测技术在大尺度、大氛围内对长江泰州段水体变迁进行分析，并利用遥感反演模型实现水体透明度监测、黑臭水体监测、水域覆盖遥感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30</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i w:val="0"/>
                <w:iCs w:val="0"/>
                <w:caps w:val="0"/>
                <w:color w:val="3D3D3D"/>
                <w:spacing w:val="0"/>
                <w:sz w:val="18"/>
                <w:szCs w:val="18"/>
                <w:bdr w:val="none" w:color="auto" w:sz="0" w:space="0"/>
              </w:rPr>
              <w:t>“健康长江泰州行动"指挥中心</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“健康长江泰州行动”大数据平台运行维护</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指挥中心配套沿江铁塔高空瞭望视频系统，形成7*24小时视频监控信息资源汇聚至健康长江大数据平台。开展无人机等执法设备的管理维护，购买相关设备保险。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31</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pPr>
            <w:r>
              <w:rPr>
                <w:rFonts w:hint="eastAsia" w:ascii="宋体" w:hAnsi="宋体" w:eastAsia="宋体" w:cs="宋体"/>
                <w:i w:val="0"/>
                <w:iCs w:val="0"/>
                <w:caps w:val="0"/>
                <w:color w:val="3D3D3D"/>
                <w:spacing w:val="0"/>
                <w:sz w:val="18"/>
                <w:szCs w:val="18"/>
                <w:bdr w:val="none" w:color="auto" w:sz="0" w:space="0"/>
              </w:rPr>
              <w:t>“健康长江泰州行动"指挥中心</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通江支流水站运维（2022年度）</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长江泰州段通江河流目前已建成水质自动监测站50座，1期46个水站运维自2022年7月3日至2023年7月2日，2期4个水站自2022年12月1日至2023年7月2日。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32</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pPr>
            <w:r>
              <w:rPr>
                <w:rFonts w:hint="eastAsia" w:ascii="宋体" w:hAnsi="宋体" w:eastAsia="宋体" w:cs="宋体"/>
                <w:i w:val="0"/>
                <w:iCs w:val="0"/>
                <w:caps w:val="0"/>
                <w:color w:val="3D3D3D"/>
                <w:spacing w:val="0"/>
                <w:sz w:val="18"/>
                <w:szCs w:val="18"/>
                <w:bdr w:val="none" w:color="auto" w:sz="0" w:space="0"/>
              </w:rPr>
              <w:t>“健康长江泰州行动"指挥中心</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21"/>
                <w:szCs w:val="21"/>
                <w:bdr w:val="none" w:color="auto" w:sz="0" w:space="0"/>
              </w:rPr>
              <w:t>通江支流水站运维</w:t>
            </w:r>
            <w:r>
              <w:rPr>
                <w:rFonts w:hint="eastAsia" w:ascii="宋体" w:hAnsi="宋体" w:eastAsia="宋体" w:cs="宋体"/>
                <w:i w:val="0"/>
                <w:iCs w:val="0"/>
                <w:caps w:val="0"/>
                <w:color w:val="3D3D3D"/>
                <w:spacing w:val="0"/>
                <w:sz w:val="18"/>
                <w:szCs w:val="18"/>
                <w:bdr w:val="none" w:color="auto" w:sz="0" w:space="0"/>
              </w:rPr>
              <w:t> </w:t>
            </w:r>
            <w:r>
              <w:rPr>
                <w:rFonts w:hint="eastAsia" w:ascii="宋体" w:hAnsi="宋体" w:eastAsia="宋体" w:cs="宋体"/>
                <w:i w:val="0"/>
                <w:iCs w:val="0"/>
                <w:caps w:val="0"/>
                <w:color w:val="3D3D3D"/>
                <w:spacing w:val="0"/>
                <w:sz w:val="21"/>
                <w:szCs w:val="21"/>
                <w:bdr w:val="none" w:color="auto" w:sz="0" w:space="0"/>
              </w:rPr>
              <w:t>（2023年度）</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长江泰州段通江河流目前已建成水质自动监测站50座，50个水站运维自2023年7月3日至2024年7月2日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33</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pPr>
            <w:r>
              <w:rPr>
                <w:rFonts w:hint="eastAsia" w:ascii="宋体" w:hAnsi="宋体" w:eastAsia="宋体" w:cs="宋体"/>
                <w:i w:val="0"/>
                <w:iCs w:val="0"/>
                <w:caps w:val="0"/>
                <w:color w:val="3D3D3D"/>
                <w:spacing w:val="0"/>
                <w:sz w:val="18"/>
                <w:szCs w:val="18"/>
                <w:bdr w:val="none" w:color="auto" w:sz="0" w:space="0"/>
              </w:rPr>
              <w:t>泰州市生态环境信息中心</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信息系统备用能源保障项目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更换机房电源系统（主要包含UPS主机、蓄电池等）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0"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34</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泰州市生态环境综合行政执法局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聘请第三方辅助执法项目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1.第三方机构派两名专职技术人员入驻现场服务，听从执法局工作安排，协助参与现场检查并提供技术支撑和咨询服务；2.对自动监测监控设备进行比对监测等，并根据监测数据与自动监测监控数据进行比对分析，形成监测分析评估报告，为后续自动监控专项执法检查提供依据；3.对重点区域、重点行业开展污染源调查排查，全面梳理污染源调查情况，并出具具有权威性的调查评估报告；4.对企业污染防治设施、生态环境保护措施、自动监测监控设备运行情况进行评估，并形成可专业评估意见；5.对企业环评、自主验收、排污许可证等环保手续进行调查评估，并出具专业的评估意见；6.利用无人机、无人船、大数据分析等手段进行污染物溯源分析，并提供专业、权威的溯源分析报告，为精准发现生态环境违法行为提供技术支撑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35</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泰州市生态环境综合行政执法局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火电、水泥和造纸行业污染源排放自动监控数据标记和电子督办驻地运维</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驻地运维费用、数据线路费用。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36</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泰州市生态环境综合行政执法局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重点污染源视频监控租赁服务项目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1.按照生态环境部最新技术标准规范，现场监控站房配备安装视频监视设施；2.国控、省控和重点地区重点污染源增加安装治污设施运行和排污口视频监控设备。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37</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泰州市生态环境综合行政执法局</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淮河流域入河排污口监测、溯源技术支撑工作</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1.制定《泰州市淮河流域入河（湖）排污口初步监测方案》，明确监测指标、时间、频次以及质量控制等要求；2.编制《泰州市淮河流域入河（湖）排污口溯源方案》，明确溯源要求、注意点、技术方法等，为精准整治提供靶向支撑；3.根据最新的入河（湖）排污口分类原则，制定每一小类入河（湖）排污口整治思路，逐一明确各类入河（湖）排污口整治要求，形成《泰州市淮河流域入河（湖）排污口分类整治思路》；4.结合省、市关于“江苏省入河（湖）排污口排查整治系统”信息填报要求，协助泰州市执法局开展系统“监测、溯源、整治”等信息填报审核工作；5.根据各市（区）监测、溯源、整治工作开展情况，全面、系统的梳理泰州市淮河流域入河（湖）排污口排查整治进度，汇总形成2023年《泰州市淮河流域入河（湖）排污口监测、溯源、整治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38</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泰州市亚星塑业有限公司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环保设施升级改造项目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本项目在完成环保三同时竣工验收后，生产工艺不变，在公司现有高精度聚四氟乙烯薄膜、聚四氟乙烯玻璃纤维布车间内新增分体旋翼式蓄热氧化RTO设备，并配套建设废气收集管网系统、配电设施等。改造后的VOCs的排放量由原有的1.5669吨/年（含无组织废气）降至0.160吨/年。本项目在行业内具有高度的示范性和先进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39</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泰州众航船舶有限公司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涂装房喷漆间有机废气治理改造项目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8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本项目在完成环保三同时竣工验收后，生产工艺不变，对涂装房四间喷漆间有机废气装置进行改造，淘汰活性炭吸附装置8台套，拟新增有机废气治理（催化燃烧）等主要设备4台（套）。改造后的VOCs的排放量由原有的29.4吨/年降至5.88吨/年，（其中甲苯的排放量由原有的5.88吨/年降至1.176吨/年，二甲苯的排放量由原有的8.82吨/年降至1.764吨/年）。本项目在行业内具有高度的示范性和先进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40</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江苏海阳锦纶新材料有限公司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浸胶烟气处理装置环保升级节能改造项目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对现有1#、2#浸胶车间废气改用RTO焚烧工艺处理。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41</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泰州润江建设发展有限公司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污水站废气处理改造项目</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对原料药公共服务平台污水处理站废气处理装置进行升级改造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方正仿宋_GBK" w:hAnsi="方正仿宋_GBK" w:eastAsia="方正仿宋_GBK" w:cs="方正仿宋_GBK"/>
                <w:i w:val="0"/>
                <w:iCs w:val="0"/>
                <w:caps w:val="0"/>
                <w:color w:val="3D3D3D"/>
                <w:spacing w:val="0"/>
                <w:sz w:val="19"/>
                <w:szCs w:val="19"/>
                <w:bdr w:val="none" w:color="auto" w:sz="0" w:space="0"/>
              </w:rPr>
              <w:t>42</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i w:val="0"/>
                <w:iCs w:val="0"/>
                <w:caps w:val="0"/>
                <w:color w:val="3D3D3D"/>
                <w:spacing w:val="0"/>
                <w:sz w:val="18"/>
                <w:szCs w:val="18"/>
                <w:bdr w:val="none" w:color="auto" w:sz="0" w:space="0"/>
              </w:rPr>
              <w:t>泰州常发农业装备有限公司</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钣金涂装线升级改造</w:t>
            </w:r>
          </w:p>
        </w:tc>
        <w:tc>
          <w:tcPr>
            <w:tcW w:w="5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15" w:lineRule="atLeast"/>
              <w:jc w:val="center"/>
              <w:textAlignment w:val="center"/>
            </w:pPr>
            <w:r>
              <w:rPr>
                <w:rFonts w:hint="eastAsia" w:ascii="宋体" w:hAnsi="宋体" w:eastAsia="宋体" w:cs="宋体"/>
                <w:i w:val="0"/>
                <w:iCs w:val="0"/>
                <w:caps w:val="0"/>
                <w:color w:val="3D3D3D"/>
                <w:spacing w:val="0"/>
                <w:sz w:val="18"/>
                <w:szCs w:val="18"/>
                <w:bdr w:val="none" w:color="auto" w:sz="0" w:space="0"/>
              </w:rPr>
              <w:t>1.拆除原油漆生产线改建为喷粉生产线一条；2.拆除原电泳面包式烘房，改建为通过式桥式烘道；3.喷粉房安装防爆装置，烘道废气处理设施安装用电监控装置；4.废气处理设施工艺改进为水喷淋-干式过滤-二级活性炭处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5D17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2023-03-16T10:14:57Z</dcterms:created>
  <dc:creator>Administrator</dc:creator>
  <cp:lastModifiedBy>阿淼</cp:lastModifiedBy>
  <dcterms:modified xsi:type="dcterms:W3CDTF">2023-03-16T10:15:17Z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DD590B38F5B348D9A4C89B6EEDBD7DFC</vt:lpwstr>
  </property>
</Properties>
</file>