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eastAsia" w:ascii="方正小标宋_GBK" w:hAnsi="方正小标宋_GBK" w:eastAsia="方正小标宋_GBK" w:cs="方正小标宋_GBK"/>
          <w:color w:val="000000"/>
          <w:sz w:val="44"/>
          <w:szCs w:val="44"/>
          <w:lang w:val="en-US" w:eastAsia="zh-CN"/>
        </w:rPr>
      </w:pPr>
      <w:r>
        <w:rPr>
          <w:rFonts w:hint="eastAsia" w:ascii="方正小标宋_GBK" w:hAnsi="方正小标宋_GBK" w:eastAsia="方正小标宋_GBK" w:cs="方正小标宋_GBK"/>
          <w:color w:val="000000"/>
          <w:sz w:val="44"/>
          <w:szCs w:val="44"/>
          <w:lang w:val="en-US" w:eastAsia="zh-CN"/>
        </w:rPr>
        <w:t>2023年泰州市合成树脂乳液</w:t>
      </w:r>
      <w:r>
        <w:rPr>
          <w:rFonts w:hint="default" w:ascii="方正小标宋_GBK" w:hAnsi="方正小标宋_GBK" w:eastAsia="方正小标宋_GBK" w:cs="方正小标宋_GBK"/>
          <w:color w:val="000000"/>
          <w:sz w:val="44"/>
          <w:szCs w:val="44"/>
          <w:lang w:val="en-US" w:eastAsia="zh-CN"/>
        </w:rPr>
        <w:t>外墙涂料</w:t>
      </w:r>
      <w:r>
        <w:rPr>
          <w:rFonts w:hint="eastAsia" w:ascii="方正小标宋_GBK" w:hAnsi="方正小标宋_GBK" w:eastAsia="方正小标宋_GBK" w:cs="方正小标宋_GBK"/>
          <w:color w:val="000000"/>
          <w:sz w:val="44"/>
          <w:szCs w:val="44"/>
          <w:lang w:val="en-US" w:eastAsia="zh-CN"/>
        </w:rPr>
        <w:t>产品</w:t>
      </w:r>
    </w:p>
    <w:p>
      <w:pPr>
        <w:snapToGrid w:val="0"/>
        <w:spacing w:line="580" w:lineRule="exact"/>
        <w:jc w:val="center"/>
        <w:rPr>
          <w:rFonts w:hint="eastAsia" w:ascii="方正小标宋_GBK" w:hAnsi="方正小标宋_GBK" w:eastAsia="方正小标宋_GBK" w:cs="方正小标宋_GBK"/>
          <w:color w:val="000000"/>
          <w:sz w:val="44"/>
          <w:szCs w:val="44"/>
          <w:lang w:val="en-US" w:eastAsia="zh-CN"/>
        </w:rPr>
      </w:pPr>
      <w:r>
        <w:rPr>
          <w:rFonts w:hint="eastAsia" w:ascii="方正小标宋_GBK" w:hAnsi="方正小标宋_GBK" w:eastAsia="方正小标宋_GBK" w:cs="方正小标宋_GBK"/>
          <w:color w:val="000000"/>
          <w:sz w:val="44"/>
          <w:szCs w:val="44"/>
          <w:lang w:val="en-US" w:eastAsia="zh-CN"/>
        </w:rPr>
        <w:t>质量监督抽查实施细则</w:t>
      </w:r>
    </w:p>
    <w:p>
      <w:pPr>
        <w:spacing w:line="600" w:lineRule="exact"/>
        <w:ind w:firstLine="723" w:firstLineChars="200"/>
        <w:jc w:val="center"/>
        <w:rPr>
          <w:rFonts w:hint="default" w:ascii="宋体" w:hAnsi="宋体" w:eastAsia="宋体" w:cs="宋体"/>
          <w:b/>
          <w:sz w:val="36"/>
          <w:szCs w:val="36"/>
          <w:lang w:val="en-US"/>
        </w:rPr>
      </w:pP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kern w:val="0"/>
          <w:sz w:val="32"/>
          <w:szCs w:val="32"/>
          <w:shd w:val="clear" w:color="auto" w:fill="FFFFFF"/>
          <w:lang w:eastAsia="zh-CN" w:bidi="ar"/>
        </w:rPr>
      </w:pPr>
      <w:r>
        <w:rPr>
          <w:rFonts w:hint="eastAsia" w:ascii="黑体" w:hAnsi="黑体" w:eastAsia="黑体" w:cs="黑体"/>
          <w:bCs/>
          <w:sz w:val="32"/>
          <w:szCs w:val="32"/>
          <w:lang w:val="en-US" w:eastAsia="zh-CN"/>
        </w:rPr>
        <w:t>1、</w:t>
      </w:r>
      <w:r>
        <w:rPr>
          <w:rFonts w:hint="eastAsia" w:ascii="黑体" w:hAnsi="黑体" w:eastAsia="黑体" w:cs="黑体"/>
          <w:bCs/>
          <w:sz w:val="32"/>
          <w:szCs w:val="32"/>
          <w:lang w:eastAsia="zh-CN"/>
        </w:rPr>
        <w:t>范围</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本细则适用于泰州市市场监督管理局组织的合成树脂乳液外墙涂料产品质量监督抽查检验。本细则规定了此产品的抽样方法、检验依据、检验项目、检验方法、判定原则、异议处理及复检。</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2、抽样方法</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b/>
          <w:bCs/>
          <w:kern w:val="0"/>
          <w:sz w:val="32"/>
          <w:szCs w:val="32"/>
          <w:shd w:val="clear" w:color="auto" w:fill="FFFFFF"/>
          <w:lang w:bidi="ar"/>
        </w:rPr>
      </w:pPr>
      <w:r>
        <w:rPr>
          <w:rFonts w:hint="eastAsia" w:ascii="仿宋" w:hAnsi="仿宋" w:eastAsia="仿宋" w:cs="仿宋"/>
          <w:b/>
          <w:bCs/>
          <w:kern w:val="0"/>
          <w:sz w:val="32"/>
          <w:szCs w:val="32"/>
          <w:shd w:val="clear" w:color="auto" w:fill="FFFFFF"/>
          <w:lang w:bidi="ar"/>
        </w:rPr>
        <w:t>2.1生产企业、实体店抽样</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在受检企业的成品仓库或者其确认场所，随机抽取有产品质量检验合格证明或者其他形式表明合格的待销产品。</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在生产企业抽样，独立包装产品质量≤5kg时，同一批次产品抽样基数不少于20个独立包装，抽取2个独立包装，其中，1个独立包装作为检验样品，1个独立包装作为备用样品。应尽量整包装抽取，避免分装。</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在贮罐、大桶或其他较大容器中抽样，抽样基数不低于100kg，搅拌均匀后抽取样品，当有若干个容器时，应按照表1确定被取样容器的最低件数并进行随机抽取。抽取2份不低于3kg的样品，其中，1份样品作为检验样品，1份样品作为备用样品。</w:t>
      </w:r>
    </w:p>
    <w:p>
      <w:pPr>
        <w:keepNext w:val="0"/>
        <w:keepLines w:val="0"/>
        <w:pageBreakBefore w:val="0"/>
        <w:widowControl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color w:val="000000"/>
          <w:kern w:val="0"/>
          <w:sz w:val="32"/>
          <w:szCs w:val="32"/>
          <w:lang w:val="en-US" w:eastAsia="zh-CN" w:bidi="ar"/>
        </w:rPr>
        <w:t>外墙涂料面漆：抽样量应满足以下要求：a、单组分：抽取不低于3kg的样品2份；b、多组分：抽取主漆不低于3kg的样品2份，配套产品按配比抽取样品2份。当独立包装产品质量≤5kg 时，应尽量整包装抽取，避免分装，以上所抽的2份样品，一份为检验样品，一份为备用样品。</w:t>
      </w:r>
    </w:p>
    <w:p>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表</w:t>
      </w:r>
      <w:r>
        <w:rPr>
          <w:rFonts w:hint="eastAsia" w:ascii="仿宋" w:hAnsi="仿宋" w:eastAsia="仿宋" w:cs="仿宋"/>
          <w:color w:val="000000"/>
          <w:sz w:val="28"/>
          <w:szCs w:val="28"/>
          <w:lang w:val="en-US" w:eastAsia="zh-CN"/>
        </w:rPr>
        <w:t xml:space="preserve">1 </w:t>
      </w:r>
      <w:r>
        <w:rPr>
          <w:rFonts w:hint="eastAsia" w:ascii="仿宋" w:hAnsi="仿宋" w:eastAsia="仿宋" w:cs="仿宋"/>
          <w:color w:val="000000"/>
          <w:sz w:val="28"/>
          <w:szCs w:val="28"/>
          <w:lang w:eastAsia="zh-CN"/>
        </w:rPr>
        <w:t>被抽取数量最低件数</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1"/>
        <w:gridCol w:w="4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eastAsia="zh-CN"/>
              </w:rPr>
              <w:t>容器的总数</w:t>
            </w:r>
            <w:r>
              <w:rPr>
                <w:rFonts w:hint="eastAsia" w:ascii="仿宋" w:hAnsi="仿宋" w:eastAsia="仿宋" w:cs="仿宋"/>
                <w:b/>
                <w:bCs/>
                <w:color w:val="auto"/>
                <w:kern w:val="0"/>
                <w:sz w:val="24"/>
                <w:szCs w:val="24"/>
                <w:lang w:val="en-US" w:eastAsia="zh-CN"/>
              </w:rPr>
              <w:t>N</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eastAsia="zh-CN"/>
              </w:rPr>
              <w:t>被取样容器的最低件数</w:t>
            </w:r>
            <w:r>
              <w:rPr>
                <w:rFonts w:hint="eastAsia" w:ascii="仿宋" w:hAnsi="仿宋" w:eastAsia="仿宋" w:cs="仿宋"/>
                <w:b/>
                <w:bCs/>
                <w:color w:val="auto"/>
                <w:kern w:val="0"/>
                <w:sz w:val="24"/>
                <w:szCs w:val="24"/>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1—2</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eastAsia="zh-CN"/>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3—8</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9—25</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36—100</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101—500</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501—1000</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eastAsia="zh-CN"/>
              </w:rPr>
              <w:t>其后类推</w:t>
            </w:r>
          </w:p>
        </w:tc>
        <w:tc>
          <w:tcPr>
            <w:tcW w:w="468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n=</w:t>
            </w:r>
            <m:oMath>
              <m:rad>
                <m:radPr>
                  <m:degHide m:val="1"/>
                  <m:ctrlPr>
                    <w:rPr>
                      <w:rFonts w:hint="eastAsia" w:ascii="Cambria Math" w:hAnsi="Cambria Math" w:eastAsia="仿宋" w:cs="仿宋"/>
                      <w:i/>
                      <w:color w:val="auto"/>
                      <w:kern w:val="0"/>
                      <w:sz w:val="24"/>
                      <w:szCs w:val="24"/>
                      <w:lang w:val="en-US"/>
                    </w:rPr>
                  </m:ctrlPr>
                </m:radPr>
                <m:deg>
                  <m:ctrlPr>
                    <w:rPr>
                      <w:rFonts w:hint="eastAsia" w:ascii="Cambria Math" w:hAnsi="Cambria Math" w:eastAsia="仿宋" w:cs="仿宋"/>
                      <w:i/>
                      <w:color w:val="auto"/>
                      <w:kern w:val="0"/>
                      <w:sz w:val="24"/>
                      <w:szCs w:val="24"/>
                      <w:lang w:val="en-US"/>
                    </w:rPr>
                  </m:ctrlPr>
                </m:deg>
                <m:e>
                  <m:r>
                    <m:rPr/>
                    <w:rPr>
                      <w:rFonts w:hint="eastAsia" w:ascii="Cambria Math" w:hAnsi="Cambria Math" w:eastAsia="仿宋" w:cs="仿宋"/>
                      <w:color w:val="auto"/>
                      <w:kern w:val="0"/>
                      <w:sz w:val="24"/>
                      <w:szCs w:val="24"/>
                      <w:lang w:val="en-US" w:eastAsia="zh-CN"/>
                    </w:rPr>
                    <m:t>N/2</m:t>
                  </m:r>
                  <m:ctrlPr>
                    <w:rPr>
                      <w:rFonts w:hint="eastAsia" w:ascii="Cambria Math" w:hAnsi="Cambria Math" w:eastAsia="仿宋" w:cs="仿宋"/>
                      <w:i/>
                      <w:color w:val="auto"/>
                      <w:kern w:val="0"/>
                      <w:sz w:val="24"/>
                      <w:szCs w:val="24"/>
                      <w:lang w:val="en-US"/>
                    </w:rPr>
                  </m:ctrlPr>
                </m:e>
              </m:rad>
            </m:oMath>
          </w:p>
        </w:tc>
      </w:tr>
    </w:tbl>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在实体店抽样，随机抽取近期生产的同一批次合格待销产品，索取发票等购样凭据留证。抽取数量2桶，其中1桶作为检验样品，1桶作为备用样品，抽样基数满足抽样数量即可。</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抽样工作由承检机构持“江苏省产品质量监督检验员证”的不少于2名工作人员共同完成。检验用样品按进货价购买，采样过程均需拍照留证。一经采样，立即封样，任何人不得调换。</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3、检验依据</w:t>
      </w:r>
    </w:p>
    <w:p>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合成树脂乳液</w:t>
      </w:r>
      <w:r>
        <w:rPr>
          <w:rFonts w:hint="default" w:ascii="仿宋" w:hAnsi="仿宋" w:eastAsia="仿宋" w:cs="仿宋"/>
          <w:color w:val="000000"/>
          <w:sz w:val="28"/>
          <w:szCs w:val="28"/>
          <w:lang w:val="en-US" w:eastAsia="zh-CN"/>
        </w:rPr>
        <w:t>外墙涂料</w:t>
      </w:r>
      <w:r>
        <w:rPr>
          <w:rFonts w:hint="eastAsia" w:ascii="仿宋" w:hAnsi="仿宋" w:eastAsia="仿宋" w:cs="仿宋"/>
          <w:color w:val="000000"/>
          <w:sz w:val="28"/>
          <w:szCs w:val="28"/>
          <w:lang w:val="en-US" w:eastAsia="zh-CN"/>
        </w:rPr>
        <w:t>产品</w:t>
      </w:r>
      <w:r>
        <w:rPr>
          <w:rFonts w:hint="eastAsia" w:ascii="仿宋" w:hAnsi="仿宋" w:eastAsia="仿宋" w:cs="仿宋"/>
          <w:color w:val="000000"/>
          <w:sz w:val="28"/>
          <w:szCs w:val="28"/>
        </w:rPr>
        <w:t>检验项目</w:t>
      </w:r>
    </w:p>
    <w:tbl>
      <w:tblPr>
        <w:tblStyle w:val="1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1"/>
        <w:gridCol w:w="3220"/>
        <w:gridCol w:w="1958"/>
        <w:gridCol w:w="27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blHeader/>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序号</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检验项目</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检验依据</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检验检测方法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1</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VOC</w:t>
            </w:r>
            <w:bookmarkStart w:id="0" w:name="_GoBack"/>
            <w:bookmarkEnd w:id="0"/>
            <w:r>
              <w:rPr>
                <w:rFonts w:hint="eastAsia" w:ascii="仿宋" w:hAnsi="仿宋" w:eastAsia="仿宋" w:cs="仿宋"/>
                <w:b w:val="0"/>
                <w:bCs w:val="0"/>
                <w:color w:val="auto"/>
                <w:kern w:val="0"/>
                <w:sz w:val="24"/>
                <w:szCs w:val="24"/>
                <w:lang w:val="zh-CN" w:eastAsia="zh-CN"/>
              </w:rPr>
              <w:t>含量</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2</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苯系物总和含量</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3</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甲醛含量</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4</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重金属含量（铅、镉、铬、汞）</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5</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对比率</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9755</w:t>
            </w:r>
            <w:r>
              <w:rPr>
                <w:rFonts w:hint="eastAsia" w:ascii="仿宋" w:hAnsi="仿宋" w:eastAsia="仿宋" w:cs="仿宋"/>
                <w:b w:val="0"/>
                <w:bCs w:val="0"/>
                <w:color w:val="auto"/>
                <w:kern w:val="0"/>
                <w:sz w:val="24"/>
                <w:szCs w:val="24"/>
                <w:lang w:val="en-US" w:eastAsia="zh-CN"/>
              </w:rPr>
              <w:t>-2014</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w:t>
            </w:r>
            <w:r>
              <w:rPr>
                <w:rFonts w:hint="eastAsia" w:ascii="仿宋" w:hAnsi="仿宋" w:eastAsia="仿宋" w:cs="仿宋"/>
                <w:b w:val="0"/>
                <w:bCs w:val="0"/>
                <w:color w:val="auto"/>
                <w:kern w:val="0"/>
                <w:sz w:val="24"/>
                <w:szCs w:val="24"/>
                <w:lang w:val="en-US" w:eastAsia="zh-CN"/>
              </w:rPr>
              <w:t xml:space="preserve"> </w:t>
            </w:r>
            <w:r>
              <w:rPr>
                <w:rFonts w:hint="eastAsia" w:ascii="仿宋" w:hAnsi="仿宋" w:eastAsia="仿宋" w:cs="仿宋"/>
                <w:b w:val="0"/>
                <w:bCs w:val="0"/>
                <w:color w:val="auto"/>
                <w:kern w:val="0"/>
                <w:sz w:val="24"/>
                <w:szCs w:val="24"/>
                <w:lang w:val="zh-CN" w:eastAsia="zh-CN"/>
              </w:rPr>
              <w:t>975</w:t>
            </w:r>
            <w:r>
              <w:rPr>
                <w:rFonts w:hint="eastAsia" w:ascii="仿宋" w:hAnsi="仿宋" w:eastAsia="仿宋" w:cs="仿宋"/>
                <w:b w:val="0"/>
                <w:bCs w:val="0"/>
                <w:color w:val="auto"/>
                <w:kern w:val="0"/>
                <w:sz w:val="24"/>
                <w:szCs w:val="24"/>
                <w:lang w:val="en-US" w:eastAsia="zh-CN"/>
              </w:rPr>
              <w:t>5</w:t>
            </w:r>
            <w:r>
              <w:rPr>
                <w:rFonts w:hint="eastAsia" w:ascii="仿宋" w:hAnsi="仿宋" w:eastAsia="仿宋" w:cs="仿宋"/>
                <w:b w:val="0"/>
                <w:bCs w:val="0"/>
                <w:color w:val="auto"/>
                <w:kern w:val="0"/>
                <w:sz w:val="24"/>
                <w:szCs w:val="24"/>
                <w:lang w:val="zh-CN" w:eastAsia="zh-CN"/>
              </w:rPr>
              <w:t>-201</w:t>
            </w:r>
            <w:r>
              <w:rPr>
                <w:rFonts w:hint="eastAsia" w:ascii="仿宋" w:hAnsi="仿宋" w:eastAsia="仿宋" w:cs="仿宋"/>
                <w:b w:val="0"/>
                <w:bCs w:val="0"/>
                <w:color w:val="auto"/>
                <w:kern w:val="0"/>
                <w:sz w:val="24"/>
                <w:szCs w:val="24"/>
                <w:lang w:val="en-US" w:eastAsia="zh-CN"/>
              </w:rPr>
              <w:t>4</w:t>
            </w:r>
            <w:r>
              <w:rPr>
                <w:rFonts w:hint="eastAsia" w:ascii="仿宋" w:hAnsi="仿宋" w:eastAsia="仿宋" w:cs="仿宋"/>
                <w:b w:val="0"/>
                <w:bCs w:val="0"/>
                <w:color w:val="auto"/>
                <w:kern w:val="0"/>
                <w:sz w:val="24"/>
                <w:szCs w:val="24"/>
                <w:lang w:val="zh-CN" w:eastAsia="zh-CN"/>
              </w:rPr>
              <w:t>中5.</w:t>
            </w:r>
            <w:r>
              <w:rPr>
                <w:rFonts w:hint="eastAsia" w:ascii="仿宋" w:hAnsi="仿宋" w:eastAsia="仿宋" w:cs="仿宋"/>
                <w:b w:val="0"/>
                <w:bCs w:val="0"/>
                <w:color w:val="auto"/>
                <w:kern w:val="0"/>
                <w:sz w:val="24"/>
                <w:szCs w:val="24"/>
                <w:lang w:val="en-US" w:eastAsia="zh-CN"/>
              </w:rPr>
              <w:t>3</w:t>
            </w:r>
            <w:r>
              <w:rPr>
                <w:rFonts w:hint="eastAsia" w:ascii="仿宋" w:hAnsi="仿宋" w:eastAsia="仿宋" w:cs="仿宋"/>
                <w:b w:val="0"/>
                <w:bCs w:val="0"/>
                <w:color w:val="auto"/>
                <w:kern w:val="0"/>
                <w:sz w:val="24"/>
                <w:szCs w:val="24"/>
                <w:lang w:val="zh-CN" w:eastAsia="zh-CN"/>
              </w:rPr>
              <w:t>.</w:t>
            </w:r>
            <w:r>
              <w:rPr>
                <w:rFonts w:hint="eastAsia" w:ascii="仿宋" w:hAnsi="仿宋" w:eastAsia="仿宋" w:cs="仿宋"/>
                <w:b w:val="0"/>
                <w:bCs w:val="0"/>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6</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耐碱性</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9755</w:t>
            </w:r>
            <w:r>
              <w:rPr>
                <w:rFonts w:hint="eastAsia" w:ascii="仿宋" w:hAnsi="仿宋" w:eastAsia="仿宋" w:cs="仿宋"/>
                <w:b w:val="0"/>
                <w:bCs w:val="0"/>
                <w:color w:val="auto"/>
                <w:kern w:val="0"/>
                <w:sz w:val="24"/>
                <w:szCs w:val="24"/>
                <w:lang w:val="en-US" w:eastAsia="zh-CN"/>
              </w:rPr>
              <w:t>-2014</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9265-2009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7</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耐洗刷性</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9755</w:t>
            </w:r>
            <w:r>
              <w:rPr>
                <w:rFonts w:hint="eastAsia" w:ascii="仿宋" w:hAnsi="仿宋" w:eastAsia="仿宋" w:cs="仿宋"/>
                <w:b w:val="0"/>
                <w:bCs w:val="0"/>
                <w:color w:val="auto"/>
                <w:kern w:val="0"/>
                <w:sz w:val="24"/>
                <w:szCs w:val="24"/>
                <w:lang w:val="en-US" w:eastAsia="zh-CN"/>
              </w:rPr>
              <w:t>-2014</w:t>
            </w:r>
          </w:p>
        </w:tc>
        <w:tc>
          <w:tcPr>
            <w:tcW w:w="27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9266-2009</w:t>
            </w:r>
          </w:p>
        </w:tc>
      </w:tr>
    </w:tbl>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检验方法包括相关产品标准及试验方法标准。</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4、判定规则</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b/>
          <w:bCs/>
          <w:sz w:val="32"/>
          <w:szCs w:val="32"/>
        </w:rPr>
      </w:pPr>
      <w:r>
        <w:rPr>
          <w:rFonts w:hint="eastAsia" w:ascii="仿宋" w:hAnsi="仿宋" w:eastAsia="仿宋" w:cs="仿宋"/>
          <w:b/>
          <w:bCs/>
          <w:kern w:val="0"/>
          <w:sz w:val="32"/>
          <w:szCs w:val="32"/>
          <w:shd w:val="clear" w:color="auto" w:fill="FFFFFF"/>
          <w:lang w:bidi="ar"/>
        </w:rPr>
        <w:t>4.1</w:t>
      </w:r>
      <w:r>
        <w:rPr>
          <w:rFonts w:hint="eastAsia" w:ascii="仿宋" w:hAnsi="仿宋" w:eastAsia="仿宋" w:cs="仿宋"/>
          <w:b/>
          <w:bCs/>
          <w:sz w:val="32"/>
          <w:szCs w:val="32"/>
        </w:rPr>
        <w:t>依据标准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color w:val="auto"/>
          <w:sz w:val="32"/>
          <w:szCs w:val="32"/>
          <w:lang w:val="zh-CN" w:eastAsia="zh-CN"/>
        </w:rPr>
      </w:pPr>
      <w:r>
        <w:rPr>
          <w:rFonts w:hint="eastAsia" w:ascii="仿宋" w:hAnsi="仿宋" w:eastAsia="仿宋" w:cs="仿宋"/>
          <w:color w:val="auto"/>
          <w:sz w:val="32"/>
          <w:szCs w:val="32"/>
          <w:lang w:val="zh-CN" w:eastAsia="zh-CN"/>
        </w:rPr>
        <w:t>GB/T 9755</w:t>
      </w:r>
      <w:r>
        <w:rPr>
          <w:rFonts w:hint="eastAsia" w:ascii="仿宋" w:hAnsi="仿宋" w:eastAsia="仿宋" w:cs="仿宋"/>
          <w:color w:val="auto"/>
          <w:sz w:val="32"/>
          <w:szCs w:val="32"/>
          <w:lang w:val="en-US" w:eastAsia="zh-CN"/>
        </w:rPr>
        <w:t>-2014</w:t>
      </w:r>
      <w:r>
        <w:rPr>
          <w:rFonts w:hint="eastAsia" w:ascii="仿宋" w:hAnsi="仿宋" w:eastAsia="仿宋" w:cs="仿宋"/>
          <w:color w:val="auto"/>
          <w:sz w:val="32"/>
          <w:szCs w:val="32"/>
          <w:lang w:val="zh-CN" w:eastAsia="zh-CN"/>
        </w:rPr>
        <w:t>《合成树脂乳液外墙涂料》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GB 18582-2020《建筑用墙面涂料中有害物质限量》</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rPr>
        <w:t>现行有效的企业标准、团体标准、地方标准及产品明示质量</w:t>
      </w:r>
      <w:r>
        <w:rPr>
          <w:rFonts w:hint="eastAsia" w:ascii="仿宋" w:hAnsi="仿宋" w:eastAsia="仿宋" w:cs="仿宋"/>
          <w:sz w:val="32"/>
          <w:szCs w:val="32"/>
        </w:rPr>
        <w:t>要求。</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b/>
          <w:bCs/>
          <w:sz w:val="32"/>
          <w:szCs w:val="32"/>
        </w:rPr>
      </w:pPr>
      <w:r>
        <w:rPr>
          <w:rFonts w:hint="eastAsia" w:ascii="仿宋" w:hAnsi="仿宋" w:eastAsia="仿宋" w:cs="仿宋"/>
          <w:b/>
          <w:bCs/>
          <w:kern w:val="0"/>
          <w:sz w:val="32"/>
          <w:szCs w:val="32"/>
          <w:shd w:val="clear" w:color="auto" w:fill="FFFFFF"/>
          <w:lang w:bidi="ar"/>
        </w:rPr>
        <w:t>4.2</w:t>
      </w:r>
      <w:r>
        <w:rPr>
          <w:rFonts w:hint="eastAsia" w:ascii="仿宋" w:hAnsi="仿宋" w:eastAsia="仿宋" w:cs="仿宋"/>
          <w:b/>
          <w:bCs/>
          <w:sz w:val="32"/>
          <w:szCs w:val="32"/>
        </w:rPr>
        <w:t>判定原则</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经检验，检验项目全部合格，判定为被抽查产品合格；检验项目中任一项或一项以上不合格，判定为被抽查产品不合格。</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若被检产品明示的质量要求低于或包含细则中检验项目依据的推荐性标准要求时，应以被检产品明示的质量要求判定，但应在检验报告备注中进行说明。</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若被检产品明示的质量要求缺少本细则中检验项目依据的推荐性标准要求时，该项目不参与判定，但应在检验报告备注中进行说明。</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5、异议处理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5.1对监督抽查程序有异议的，由任务下达部门核查相关证据后维持或者撤销原检验结果。</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5.3对样品信息有异议的，任务下达部门核查样品确认情况和生产企业提交证明材料后，维持或者撤销原检验结果。</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color w:val="FF0000"/>
          <w:sz w:val="32"/>
          <w:szCs w:val="32"/>
        </w:rPr>
      </w:pPr>
      <w:r>
        <w:rPr>
          <w:rFonts w:hint="eastAsia" w:ascii="仿宋" w:hAnsi="仿宋" w:eastAsia="仿宋" w:cs="仿宋"/>
          <w:sz w:val="32"/>
          <w:szCs w:val="32"/>
          <w:lang w:val="en-US" w:eastAsia="zh-CN"/>
        </w:rPr>
        <w:t>5.4本次不复检项目：无。</w:t>
      </w:r>
    </w:p>
    <w:sectPr>
      <w:headerReference r:id="rId5" w:type="first"/>
      <w:headerReference r:id="rId3" w:type="default"/>
      <w:footerReference r:id="rId6" w:type="default"/>
      <w:headerReference r:id="rId4" w:type="even"/>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panose1 w:val="0201050906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创艺简仿宋">
    <w:altName w:val="黑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yNmUxMDM2NjM3N2NlNGY2YmM2N2EzYmE5MTAxMDcifQ=="/>
    <w:docVar w:name="KSO_WPS_MARK_KEY" w:val="e3873878-93a4-4143-bc91-17946453716a"/>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6292E"/>
    <w:rsid w:val="00B63EDE"/>
    <w:rsid w:val="00B75878"/>
    <w:rsid w:val="00B8300A"/>
    <w:rsid w:val="00B970C1"/>
    <w:rsid w:val="00B978B8"/>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9C65B1"/>
    <w:rsid w:val="12F93CA3"/>
    <w:rsid w:val="137A6790"/>
    <w:rsid w:val="13BB0BE6"/>
    <w:rsid w:val="14987A16"/>
    <w:rsid w:val="149B6BF0"/>
    <w:rsid w:val="14E1570A"/>
    <w:rsid w:val="15705885"/>
    <w:rsid w:val="15A93B45"/>
    <w:rsid w:val="1670520E"/>
    <w:rsid w:val="16F11C88"/>
    <w:rsid w:val="17472977"/>
    <w:rsid w:val="183660B4"/>
    <w:rsid w:val="18856C25"/>
    <w:rsid w:val="19E21628"/>
    <w:rsid w:val="1A7A7A29"/>
    <w:rsid w:val="1A7B7DF9"/>
    <w:rsid w:val="1B7E5CCF"/>
    <w:rsid w:val="1B925356"/>
    <w:rsid w:val="1B9B174A"/>
    <w:rsid w:val="1BD20A61"/>
    <w:rsid w:val="1C0F7B0E"/>
    <w:rsid w:val="1C2472F6"/>
    <w:rsid w:val="1C2B02C8"/>
    <w:rsid w:val="1C5965DD"/>
    <w:rsid w:val="1C734384"/>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AFB4A43"/>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6B104CB"/>
    <w:rsid w:val="37102DFC"/>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03326AF"/>
    <w:rsid w:val="41007258"/>
    <w:rsid w:val="414016F7"/>
    <w:rsid w:val="416D009A"/>
    <w:rsid w:val="41C2308A"/>
    <w:rsid w:val="42AC12DF"/>
    <w:rsid w:val="4403385A"/>
    <w:rsid w:val="4671550C"/>
    <w:rsid w:val="4687279B"/>
    <w:rsid w:val="4796026E"/>
    <w:rsid w:val="48863E0A"/>
    <w:rsid w:val="490833CF"/>
    <w:rsid w:val="49704E95"/>
    <w:rsid w:val="49D4419C"/>
    <w:rsid w:val="49F77EC3"/>
    <w:rsid w:val="4A061877"/>
    <w:rsid w:val="4A7529A2"/>
    <w:rsid w:val="4AE616BD"/>
    <w:rsid w:val="4AFB0A4E"/>
    <w:rsid w:val="4C471AF3"/>
    <w:rsid w:val="4C9E737C"/>
    <w:rsid w:val="4D07469E"/>
    <w:rsid w:val="4D461029"/>
    <w:rsid w:val="4D5A7EEF"/>
    <w:rsid w:val="4D871B90"/>
    <w:rsid w:val="4DE67177"/>
    <w:rsid w:val="4E104C11"/>
    <w:rsid w:val="4E2A06D6"/>
    <w:rsid w:val="4E342AE4"/>
    <w:rsid w:val="4E49147A"/>
    <w:rsid w:val="4F1C522C"/>
    <w:rsid w:val="4F973E7F"/>
    <w:rsid w:val="4FA02BC6"/>
    <w:rsid w:val="4FF81DEA"/>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59F7F0C"/>
    <w:rsid w:val="561A3C9D"/>
    <w:rsid w:val="56FB1310"/>
    <w:rsid w:val="57EF06E1"/>
    <w:rsid w:val="57F36F9A"/>
    <w:rsid w:val="58243433"/>
    <w:rsid w:val="5834492C"/>
    <w:rsid w:val="583771DE"/>
    <w:rsid w:val="58B84658"/>
    <w:rsid w:val="590234F2"/>
    <w:rsid w:val="594A04F0"/>
    <w:rsid w:val="597A213B"/>
    <w:rsid w:val="59920975"/>
    <w:rsid w:val="59B3074A"/>
    <w:rsid w:val="59BA1A57"/>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E756BDE"/>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6D64D80"/>
    <w:rsid w:val="77573C5D"/>
    <w:rsid w:val="77604877"/>
    <w:rsid w:val="778D6ACB"/>
    <w:rsid w:val="781F55FF"/>
    <w:rsid w:val="786A77EA"/>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581623"/>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link w:val="14"/>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0"/>
    <w:pPr>
      <w:ind w:firstLine="420" w:firstLineChars="200"/>
    </w:pPr>
    <w:rPr>
      <w:rFonts w:ascii="Calibri" w:hAnsi="Calibri"/>
      <w:szCs w:val="22"/>
    </w:rPr>
  </w:style>
  <w:style w:type="paragraph" w:styleId="3">
    <w:name w:val="annotation text"/>
    <w:basedOn w:val="1"/>
    <w:qFormat/>
    <w:uiPriority w:val="0"/>
    <w:pPr>
      <w:jc w:val="left"/>
    </w:pPr>
  </w:style>
  <w:style w:type="paragraph" w:styleId="4">
    <w:name w:val="Body Text"/>
    <w:basedOn w:val="1"/>
    <w:qFormat/>
    <w:uiPriority w:val="0"/>
    <w:pPr>
      <w:jc w:val="center"/>
    </w:pPr>
    <w:rPr>
      <w:rFonts w:ascii="Calibri" w:hAnsi="Calibri" w:eastAsia="幼圆" w:cs="Calibri"/>
      <w:b/>
      <w:bCs/>
      <w:sz w:val="44"/>
      <w:szCs w:val="44"/>
    </w:rPr>
  </w:style>
  <w:style w:type="paragraph" w:styleId="5">
    <w:name w:val="Body Text Indent"/>
    <w:basedOn w:val="1"/>
    <w:qFormat/>
    <w:uiPriority w:val="0"/>
    <w:pPr>
      <w:spacing w:line="520" w:lineRule="exact"/>
      <w:ind w:left="570"/>
    </w:pPr>
    <w:rPr>
      <w:rFonts w:ascii="方正仿宋简体" w:hAnsi="创艺简仿宋" w:eastAsia="方正仿宋简体"/>
      <w:sz w:val="24"/>
    </w:rPr>
  </w:style>
  <w:style w:type="paragraph" w:styleId="6">
    <w:name w:val="Balloon Text"/>
    <w:basedOn w:val="1"/>
    <w:link w:val="18"/>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qFormat/>
    <w:uiPriority w:val="0"/>
    <w:pPr>
      <w:spacing w:line="360" w:lineRule="auto"/>
      <w:ind w:firstLine="420" w:firstLineChars="200"/>
    </w:pPr>
    <w:rPr>
      <w:rFonts w:ascii="宋体" w:hAnsi="宋体" w:eastAsia="宋体"/>
      <w:sz w:val="21"/>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Char"/>
    <w:basedOn w:val="1"/>
    <w:link w:val="13"/>
    <w:qFormat/>
    <w:uiPriority w:val="0"/>
    <w:pPr>
      <w:widowControl/>
      <w:spacing w:after="160" w:line="240" w:lineRule="exact"/>
      <w:jc w:val="left"/>
    </w:pPr>
    <w:rPr>
      <w:rFonts w:ascii="Verdana" w:hAnsi="Verdana"/>
      <w:kern w:val="0"/>
      <w:sz w:val="18"/>
      <w:szCs w:val="20"/>
      <w:lang w:eastAsia="en-US"/>
    </w:rPr>
  </w:style>
  <w:style w:type="character" w:styleId="15">
    <w:name w:val="page number"/>
    <w:basedOn w:val="13"/>
    <w:qFormat/>
    <w:uiPriority w:val="0"/>
  </w:style>
  <w:style w:type="character" w:styleId="16">
    <w:name w:val="FollowedHyperlink"/>
    <w:basedOn w:val="13"/>
    <w:qFormat/>
    <w:uiPriority w:val="0"/>
    <w:rPr>
      <w:color w:val="00A7D8"/>
      <w:u w:val="none"/>
    </w:rPr>
  </w:style>
  <w:style w:type="character" w:styleId="17">
    <w:name w:val="Hyperlink"/>
    <w:basedOn w:val="13"/>
    <w:qFormat/>
    <w:uiPriority w:val="0"/>
    <w:rPr>
      <w:color w:val="444444"/>
      <w:u w:val="none"/>
    </w:rPr>
  </w:style>
  <w:style w:type="character" w:customStyle="1" w:styleId="18">
    <w:name w:val="批注框文本 Char"/>
    <w:link w:val="6"/>
    <w:qFormat/>
    <w:uiPriority w:val="0"/>
    <w:rPr>
      <w:kern w:val="2"/>
      <w:sz w:val="18"/>
      <w:szCs w:val="18"/>
    </w:rPr>
  </w:style>
  <w:style w:type="paragraph" w:customStyle="1" w:styleId="19">
    <w:name w:val="Table Paragraph"/>
    <w:basedOn w:val="1"/>
    <w:qFormat/>
    <w:uiPriority w:val="1"/>
    <w:rPr>
      <w:rFonts w:ascii="宋体" w:hAnsi="宋体" w:eastAsia="宋体" w:cs="宋体"/>
      <w:lang w:val="zh-CN" w:eastAsia="zh-CN" w:bidi="zh-CN"/>
    </w:rPr>
  </w:style>
  <w:style w:type="paragraph" w:customStyle="1" w:styleId="2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
    <w:name w:val="正文+宋体"/>
    <w:basedOn w:val="1"/>
    <w:qFormat/>
    <w:uiPriority w:val="0"/>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1512</Words>
  <Characters>1754</Characters>
  <Lines>47</Lines>
  <Paragraphs>13</Paragraphs>
  <TotalTime>0</TotalTime>
  <ScaleCrop>false</ScaleCrop>
  <LinksUpToDate>false</LinksUpToDate>
  <CharactersWithSpaces>1773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2015-05-22T03:54:00Z</dcterms:created>
  <dc:creator>cj_wong</dc:creator>
  <cp:lastModifiedBy>Cq</cp:lastModifiedBy>
  <cp:lastPrinted>2020-01-09T02:23:00Z</cp:lastPrinted>
  <dcterms:modified xsi:type="dcterms:W3CDTF">2023-03-13T08:04:26Z</dcterms:modified>
  <dc:title>XXXX年第X批风险监测实施方案</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KSOSaveFontToCloudKey">
    <vt:lpwstr>440214228_cloud</vt:lpwstr>
  </property>
  <property fmtid="{D5CDD505-2E9C-101B-9397-08002B2CF9AE}" pid="4" name="ICV">
    <vt:lpwstr>9039DC391BB545CAB6A42E79808BE795</vt:lpwstr>
  </property>
</Properties>
</file>