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snapToGrid w:val="0"/>
        <w:spacing w:line="580" w:lineRule="exact"/>
        <w:jc w:val="center"/>
        <w:rPr>
          <w:rFonts w:ascii="方正小标宋_GBK" w:hAnsi="华文仿宋" w:eastAsia="方正小标宋_GBK" w:cs="华文仿宋"/>
          <w:bCs/>
          <w:kern w:val="2"/>
          <w:sz w:val="44"/>
          <w:szCs w:val="44"/>
          <w:lang w:val="en-US" w:bidi="ar-SA"/>
        </w:rPr>
      </w:pPr>
      <w:r>
        <w:rPr>
          <w:rFonts w:hint="eastAsia" w:ascii="方正小标宋_GBK" w:hAnsi="华文仿宋" w:eastAsia="方正小标宋_GBK" w:cs="华文仿宋"/>
          <w:bCs/>
          <w:kern w:val="2"/>
          <w:sz w:val="44"/>
          <w:szCs w:val="44"/>
          <w:lang w:val="en-US" w:bidi="ar-SA"/>
        </w:rPr>
        <w:t>2023年泰州市汽车起动用铅酸蓄电池产品质量</w:t>
      </w:r>
    </w:p>
    <w:p>
      <w:pPr>
        <w:autoSpaceDE/>
        <w:autoSpaceDN/>
        <w:snapToGrid w:val="0"/>
        <w:spacing w:line="580" w:lineRule="exact"/>
        <w:jc w:val="center"/>
        <w:rPr>
          <w:rFonts w:ascii="方正小标宋_GBK" w:hAnsi="华文仿宋" w:eastAsia="方正小标宋_GBK" w:cs="华文仿宋"/>
          <w:bCs/>
          <w:kern w:val="2"/>
          <w:sz w:val="44"/>
          <w:szCs w:val="44"/>
          <w:lang w:val="en-US" w:bidi="ar-SA"/>
        </w:rPr>
      </w:pPr>
      <w:r>
        <w:rPr>
          <w:rFonts w:hint="eastAsia" w:ascii="方正小标宋_GBK" w:hAnsi="华文仿宋" w:eastAsia="方正小标宋_GBK" w:cs="华文仿宋"/>
          <w:bCs/>
          <w:kern w:val="2"/>
          <w:sz w:val="44"/>
          <w:szCs w:val="44"/>
          <w:lang w:val="en-US" w:bidi="ar-SA"/>
        </w:rPr>
        <w:t>监督抽查实施细则</w:t>
      </w:r>
    </w:p>
    <w:p>
      <w:pPr>
        <w:autoSpaceDE/>
        <w:autoSpaceDN/>
        <w:snapToGrid w:val="0"/>
        <w:spacing w:line="580" w:lineRule="exact"/>
        <w:jc w:val="center"/>
        <w:rPr>
          <w:rFonts w:hint="eastAsia" w:ascii="方正小标宋_GBK" w:hAnsi="华文仿宋" w:eastAsia="方正小标宋_GBK" w:cs="华文仿宋"/>
          <w:kern w:val="2"/>
          <w:sz w:val="44"/>
          <w:szCs w:val="44"/>
          <w:lang w:val="en-US" w:bidi="ar-SA"/>
        </w:rPr>
      </w:pPr>
    </w:p>
    <w:p>
      <w:pPr>
        <w:autoSpaceDE/>
        <w:autoSpaceDN/>
        <w:spacing w:line="580" w:lineRule="exact"/>
        <w:ind w:firstLine="643" w:firstLineChars="200"/>
        <w:jc w:val="both"/>
        <w:rPr>
          <w:rFonts w:hint="eastAsia" w:ascii="仿宋_GB2312" w:hAnsi="华文仿宋" w:eastAsia="仿宋_GB2312" w:cs="华文仿宋"/>
          <w:b/>
          <w:bCs/>
          <w:kern w:val="2"/>
          <w:sz w:val="32"/>
          <w:szCs w:val="32"/>
          <w:lang w:val="en-US" w:bidi="ar-SA"/>
        </w:rPr>
      </w:pPr>
      <w:r>
        <w:rPr>
          <w:rFonts w:hint="eastAsia" w:ascii="仿宋_GB2312" w:hAnsi="华文仿宋" w:eastAsia="仿宋_GB2312" w:cs="华文仿宋"/>
          <w:b/>
          <w:bCs/>
          <w:kern w:val="2"/>
          <w:sz w:val="32"/>
          <w:szCs w:val="32"/>
          <w:lang w:val="en-US" w:bidi="ar-SA"/>
        </w:rPr>
        <w:t>1. 范围</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本细则适用于泰州市市场监督管理局组织的汽车起动用铅酸蓄电池产品质量监督抽查。本细则规定了此产品的抽样方法、检验依据、检验项目、检验方法、判定原则、异议处理及复检。</w:t>
      </w:r>
    </w:p>
    <w:p>
      <w:pPr>
        <w:autoSpaceDE/>
        <w:autoSpaceDN/>
        <w:spacing w:line="580" w:lineRule="exact"/>
        <w:ind w:firstLine="643" w:firstLineChars="200"/>
        <w:jc w:val="both"/>
        <w:rPr>
          <w:rFonts w:hint="eastAsia" w:ascii="仿宋_GB2312" w:hAnsi="华文仿宋" w:eastAsia="仿宋_GB2312" w:cs="华文仿宋"/>
          <w:b/>
          <w:bCs/>
          <w:kern w:val="2"/>
          <w:sz w:val="32"/>
          <w:szCs w:val="32"/>
          <w:lang w:val="en-US" w:bidi="ar-SA"/>
        </w:rPr>
      </w:pPr>
      <w:r>
        <w:rPr>
          <w:rFonts w:hint="eastAsia" w:ascii="仿宋_GB2312" w:hAnsi="华文仿宋" w:eastAsia="仿宋_GB2312" w:cs="华文仿宋"/>
          <w:b/>
          <w:bCs/>
          <w:kern w:val="2"/>
          <w:sz w:val="32"/>
          <w:szCs w:val="32"/>
          <w:lang w:val="en-US" w:bidi="ar-SA"/>
        </w:rPr>
        <w:t>2 .抽样方法</w:t>
      </w:r>
      <w:bookmarkStart w:id="0" w:name="_GoBack"/>
      <w:bookmarkEnd w:id="0"/>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2.1抽样型号或规格</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抽取样品应为同一型号规格、同一批次的产品。样品信息以起动用铅酸蓄电池永久性标识上为准，永久性标识上为标注的信息，以标签或合格证为准。</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2.2抽样方法及数量</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在企业的成品库内、成品堆放区或待销区域随机抽取有产品质量检验合格证明或者以其他形式表明合格的、近期生产的产品，若产品标注有效期，则有效期应在监督抽查整体工作结束后。</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抽样样品的生产日期必须距抽样日期一个月以内。</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单批次抽样数量为2个，其中检验样品1个，备用样品1个。抽查样品基数满足抽样数量即可。</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随机数一般可使用随机数表、骰子或扑克牌等方法产生。</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2.3样品处置</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2.3.1封样要求</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应当对检验样品和备用样品分别签封，并在封条上施加防拆封措施,使得不破坏封条签封便无法完整取下封条。产品合格证、使用说明等信息及配件随同样品一同封样。</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2.3.2.备样封存地点</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本次抽查的备样应封存在被抽检单位处，未经许可不得擅自拆开。</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2.4 抽样单</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应按有关规定填写抽样单，并记录被抽查产品及企业相关信息。</w:t>
      </w:r>
    </w:p>
    <w:p>
      <w:pPr>
        <w:autoSpaceDE/>
        <w:autoSpaceDN/>
        <w:spacing w:line="580" w:lineRule="exact"/>
        <w:ind w:firstLine="643" w:firstLineChars="200"/>
        <w:jc w:val="both"/>
        <w:rPr>
          <w:rFonts w:hint="eastAsia" w:ascii="仿宋_GB2312" w:hAnsi="华文仿宋" w:eastAsia="仿宋_GB2312" w:cs="华文仿宋"/>
          <w:b/>
          <w:bCs/>
          <w:kern w:val="2"/>
          <w:sz w:val="32"/>
          <w:szCs w:val="32"/>
          <w:lang w:val="en-US" w:bidi="ar-SA"/>
        </w:rPr>
      </w:pPr>
      <w:r>
        <w:rPr>
          <w:rFonts w:hint="eastAsia" w:ascii="仿宋_GB2312" w:hAnsi="华文仿宋" w:eastAsia="仿宋_GB2312" w:cs="华文仿宋"/>
          <w:b/>
          <w:bCs/>
          <w:kern w:val="2"/>
          <w:sz w:val="32"/>
          <w:szCs w:val="32"/>
          <w:lang w:val="en-US" w:bidi="ar-SA"/>
        </w:rPr>
        <w:t>3. 检验依据</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检验项目及检验依据见表1。</w:t>
      </w:r>
    </w:p>
    <w:p>
      <w:pPr>
        <w:autoSpaceDE/>
        <w:autoSpaceDN/>
        <w:spacing w:line="580" w:lineRule="exact"/>
        <w:ind w:firstLine="640" w:firstLineChars="200"/>
        <w:jc w:val="center"/>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表1</w:t>
      </w:r>
      <w:r>
        <w:rPr>
          <w:rFonts w:hint="eastAsia" w:ascii="仿宋_GB2312" w:hAnsi="华文仿宋" w:eastAsia="仿宋_GB2312" w:cs="华文仿宋"/>
          <w:kern w:val="2"/>
          <w:sz w:val="32"/>
          <w:szCs w:val="32"/>
          <w:lang w:val="en-US" w:bidi="ar-SA"/>
        </w:rPr>
        <w:tab/>
      </w:r>
      <w:r>
        <w:rPr>
          <w:rFonts w:hint="eastAsia" w:ascii="仿宋_GB2312" w:hAnsi="华文仿宋" w:eastAsia="仿宋_GB2312" w:cs="华文仿宋"/>
          <w:kern w:val="2"/>
          <w:sz w:val="32"/>
          <w:szCs w:val="32"/>
          <w:lang w:val="en-US" w:bidi="ar-SA"/>
        </w:rPr>
        <w:t>起动用铅酸蓄电池产品检验项目</w:t>
      </w:r>
    </w:p>
    <w:tbl>
      <w:tblPr>
        <w:tblStyle w:val="13"/>
        <w:tblW w:w="97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56"/>
        <w:gridCol w:w="3544"/>
        <w:gridCol w:w="2693"/>
        <w:gridCol w:w="26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856" w:type="dxa"/>
            <w:vMerge w:val="restart"/>
            <w:vAlign w:val="center"/>
          </w:tcPr>
          <w:p>
            <w:pPr>
              <w:autoSpaceDE/>
              <w:autoSpaceDN/>
              <w:spacing w:line="580" w:lineRule="exact"/>
              <w:jc w:val="center"/>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序号</w:t>
            </w:r>
          </w:p>
        </w:tc>
        <w:tc>
          <w:tcPr>
            <w:tcW w:w="3544" w:type="dxa"/>
            <w:vMerge w:val="restart"/>
            <w:vAlign w:val="center"/>
          </w:tcPr>
          <w:p>
            <w:pPr>
              <w:autoSpaceDE/>
              <w:autoSpaceDN/>
              <w:spacing w:line="580" w:lineRule="exact"/>
              <w:jc w:val="center"/>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检验项目</w:t>
            </w:r>
          </w:p>
        </w:tc>
        <w:tc>
          <w:tcPr>
            <w:tcW w:w="2693" w:type="dxa"/>
            <w:vMerge w:val="restart"/>
            <w:vAlign w:val="center"/>
          </w:tcPr>
          <w:p>
            <w:pPr>
              <w:autoSpaceDE/>
              <w:autoSpaceDN/>
              <w:spacing w:line="580" w:lineRule="exact"/>
              <w:jc w:val="center"/>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判定依据</w:t>
            </w:r>
          </w:p>
        </w:tc>
        <w:tc>
          <w:tcPr>
            <w:tcW w:w="2693" w:type="dxa"/>
            <w:vMerge w:val="restart"/>
            <w:vAlign w:val="center"/>
          </w:tcPr>
          <w:p>
            <w:pPr>
              <w:autoSpaceDE/>
              <w:autoSpaceDN/>
              <w:spacing w:line="580" w:lineRule="exact"/>
              <w:ind w:firstLine="64" w:firstLineChars="20"/>
              <w:jc w:val="center"/>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检测方法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80" w:hRule="atLeast"/>
        </w:trPr>
        <w:tc>
          <w:tcPr>
            <w:tcW w:w="856" w:type="dxa"/>
            <w:vMerge w:val="continue"/>
            <w:tcBorders>
              <w:top w:val="nil"/>
            </w:tcBorders>
            <w:vAlign w:val="center"/>
          </w:tcPr>
          <w:p>
            <w:pPr>
              <w:autoSpaceDE/>
              <w:autoSpaceDN/>
              <w:spacing w:line="580" w:lineRule="exact"/>
              <w:ind w:firstLine="640" w:firstLineChars="200"/>
              <w:jc w:val="center"/>
              <w:rPr>
                <w:rFonts w:hint="eastAsia" w:ascii="仿宋_GB2312" w:hAnsi="华文仿宋" w:eastAsia="仿宋_GB2312" w:cs="华文仿宋"/>
                <w:kern w:val="2"/>
                <w:sz w:val="32"/>
                <w:szCs w:val="32"/>
                <w:lang w:val="en-US" w:bidi="ar-SA"/>
              </w:rPr>
            </w:pPr>
          </w:p>
        </w:tc>
        <w:tc>
          <w:tcPr>
            <w:tcW w:w="3544" w:type="dxa"/>
            <w:vMerge w:val="continue"/>
            <w:tcBorders>
              <w:top w:val="nil"/>
            </w:tcBorders>
            <w:vAlign w:val="center"/>
          </w:tcPr>
          <w:p>
            <w:pPr>
              <w:autoSpaceDE/>
              <w:autoSpaceDN/>
              <w:spacing w:line="580" w:lineRule="exact"/>
              <w:ind w:firstLine="640" w:firstLineChars="200"/>
              <w:jc w:val="center"/>
              <w:rPr>
                <w:rFonts w:hint="eastAsia" w:ascii="仿宋_GB2312" w:hAnsi="华文仿宋" w:eastAsia="仿宋_GB2312" w:cs="华文仿宋"/>
                <w:kern w:val="2"/>
                <w:sz w:val="32"/>
                <w:szCs w:val="32"/>
                <w:lang w:val="en-US" w:bidi="ar-SA"/>
              </w:rPr>
            </w:pPr>
          </w:p>
        </w:tc>
        <w:tc>
          <w:tcPr>
            <w:tcW w:w="2693" w:type="dxa"/>
            <w:vMerge w:val="continue"/>
            <w:tcBorders>
              <w:top w:val="nil"/>
            </w:tcBorders>
            <w:vAlign w:val="center"/>
          </w:tcPr>
          <w:p>
            <w:pPr>
              <w:autoSpaceDE/>
              <w:autoSpaceDN/>
              <w:spacing w:line="580" w:lineRule="exact"/>
              <w:ind w:firstLine="640" w:firstLineChars="200"/>
              <w:jc w:val="center"/>
              <w:rPr>
                <w:rFonts w:hint="eastAsia" w:ascii="仿宋_GB2312" w:hAnsi="华文仿宋" w:eastAsia="仿宋_GB2312" w:cs="华文仿宋"/>
                <w:kern w:val="2"/>
                <w:sz w:val="32"/>
                <w:szCs w:val="32"/>
                <w:lang w:val="en-US" w:bidi="ar-SA"/>
              </w:rPr>
            </w:pPr>
          </w:p>
        </w:tc>
        <w:tc>
          <w:tcPr>
            <w:tcW w:w="2693" w:type="dxa"/>
            <w:vMerge w:val="continue"/>
            <w:tcBorders>
              <w:top w:val="nil"/>
            </w:tcBorders>
            <w:vAlign w:val="center"/>
          </w:tcPr>
          <w:p>
            <w:pPr>
              <w:autoSpaceDE/>
              <w:autoSpaceDN/>
              <w:spacing w:line="580" w:lineRule="exact"/>
              <w:ind w:firstLine="640" w:firstLineChars="200"/>
              <w:jc w:val="center"/>
              <w:rPr>
                <w:rFonts w:hint="eastAsia" w:ascii="仿宋_GB2312" w:hAnsi="华文仿宋" w:eastAsia="仿宋_GB2312" w:cs="华文仿宋"/>
                <w:kern w:val="2"/>
                <w:sz w:val="32"/>
                <w:szCs w:val="32"/>
                <w:lang w:val="en-US"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 w:hRule="atLeast"/>
        </w:trPr>
        <w:tc>
          <w:tcPr>
            <w:tcW w:w="856" w:type="dxa"/>
            <w:vAlign w:val="center"/>
          </w:tcPr>
          <w:p>
            <w:pPr>
              <w:autoSpaceDE/>
              <w:autoSpaceDN/>
              <w:spacing w:line="580" w:lineRule="exact"/>
              <w:jc w:val="center"/>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1</w:t>
            </w:r>
          </w:p>
        </w:tc>
        <w:tc>
          <w:tcPr>
            <w:tcW w:w="3544" w:type="dxa"/>
            <w:vAlign w:val="center"/>
          </w:tcPr>
          <w:p>
            <w:pPr>
              <w:jc w:val="center"/>
              <w:rPr>
                <w:rFonts w:hint="eastAsia" w:ascii="仿宋_GB2312" w:hAnsi="华文仿宋" w:eastAsia="仿宋_GB2312" w:cs="华文仿宋"/>
                <w:kern w:val="2"/>
                <w:sz w:val="32"/>
                <w:szCs w:val="32"/>
                <w:lang w:val="en-US" w:eastAsia="zh-CN" w:bidi="ar-SA"/>
              </w:rPr>
            </w:pPr>
            <w:r>
              <w:rPr>
                <w:rFonts w:hint="eastAsia" w:ascii="仿宋_GB2312" w:hAnsi="华文仿宋" w:eastAsia="仿宋_GB2312" w:cs="华文仿宋"/>
                <w:kern w:val="2"/>
                <w:sz w:val="32"/>
                <w:szCs w:val="32"/>
                <w:highlight w:val="none"/>
                <w:lang w:val="en-US" w:eastAsia="zh-CN" w:bidi="ar-SA"/>
              </w:rPr>
              <w:t>标志</w:t>
            </w:r>
          </w:p>
        </w:tc>
        <w:tc>
          <w:tcPr>
            <w:tcW w:w="2693" w:type="dxa"/>
            <w:vMerge w:val="restart"/>
            <w:vAlign w:val="center"/>
          </w:tcPr>
          <w:p>
            <w:pPr>
              <w:autoSpaceDE/>
              <w:autoSpaceDN/>
              <w:spacing w:line="580" w:lineRule="exact"/>
              <w:jc w:val="center"/>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GB/T 5008.1-2013</w:t>
            </w:r>
          </w:p>
          <w:p>
            <w:pPr>
              <w:autoSpaceDE/>
              <w:autoSpaceDN/>
              <w:spacing w:line="580" w:lineRule="exact"/>
              <w:jc w:val="center"/>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GB/T 5008.2-2013</w:t>
            </w:r>
          </w:p>
        </w:tc>
        <w:tc>
          <w:tcPr>
            <w:tcW w:w="2693" w:type="dxa"/>
            <w:vMerge w:val="restart"/>
            <w:vAlign w:val="center"/>
          </w:tcPr>
          <w:p>
            <w:pPr>
              <w:autoSpaceDE/>
              <w:autoSpaceDN/>
              <w:spacing w:line="580" w:lineRule="exact"/>
              <w:jc w:val="center"/>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GB/T 5008.1-2013</w:t>
            </w:r>
          </w:p>
          <w:p>
            <w:pPr>
              <w:autoSpaceDE/>
              <w:autoSpaceDN/>
              <w:spacing w:line="580" w:lineRule="exact"/>
              <w:jc w:val="center"/>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GB/T 5008.2-2013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 w:hRule="atLeast"/>
        </w:trPr>
        <w:tc>
          <w:tcPr>
            <w:tcW w:w="856" w:type="dxa"/>
            <w:vAlign w:val="center"/>
          </w:tcPr>
          <w:p>
            <w:pPr>
              <w:autoSpaceDE/>
              <w:autoSpaceDN/>
              <w:spacing w:line="580" w:lineRule="exact"/>
              <w:jc w:val="center"/>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2</w:t>
            </w:r>
          </w:p>
        </w:tc>
        <w:tc>
          <w:tcPr>
            <w:tcW w:w="3544" w:type="dxa"/>
            <w:vAlign w:val="center"/>
          </w:tcPr>
          <w:p>
            <w:pPr>
              <w:jc w:val="center"/>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极性标识</w:t>
            </w:r>
          </w:p>
        </w:tc>
        <w:tc>
          <w:tcPr>
            <w:tcW w:w="2693" w:type="dxa"/>
            <w:vMerge w:val="continue"/>
            <w:vAlign w:val="center"/>
          </w:tcPr>
          <w:p>
            <w:pPr>
              <w:autoSpaceDE/>
              <w:autoSpaceDN/>
              <w:spacing w:line="580" w:lineRule="exact"/>
              <w:ind w:firstLine="640" w:firstLineChars="200"/>
              <w:jc w:val="center"/>
              <w:rPr>
                <w:rFonts w:hint="eastAsia" w:ascii="仿宋_GB2312" w:hAnsi="华文仿宋" w:eastAsia="仿宋_GB2312" w:cs="华文仿宋"/>
                <w:kern w:val="2"/>
                <w:sz w:val="32"/>
                <w:szCs w:val="32"/>
                <w:lang w:val="en-US" w:bidi="ar-SA"/>
              </w:rPr>
            </w:pPr>
          </w:p>
        </w:tc>
        <w:tc>
          <w:tcPr>
            <w:tcW w:w="2693" w:type="dxa"/>
            <w:vMerge w:val="continue"/>
            <w:vAlign w:val="center"/>
          </w:tcPr>
          <w:p>
            <w:pPr>
              <w:autoSpaceDE/>
              <w:autoSpaceDN/>
              <w:spacing w:line="580" w:lineRule="exact"/>
              <w:ind w:firstLine="640" w:firstLineChars="200"/>
              <w:jc w:val="center"/>
              <w:rPr>
                <w:rFonts w:hint="eastAsia" w:ascii="仿宋_GB2312" w:hAnsi="华文仿宋" w:eastAsia="仿宋_GB2312" w:cs="华文仿宋"/>
                <w:kern w:val="2"/>
                <w:sz w:val="32"/>
                <w:szCs w:val="32"/>
                <w:lang w:val="en-US"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 w:hRule="atLeast"/>
        </w:trPr>
        <w:tc>
          <w:tcPr>
            <w:tcW w:w="856" w:type="dxa"/>
            <w:vAlign w:val="center"/>
          </w:tcPr>
          <w:p>
            <w:pPr>
              <w:autoSpaceDE/>
              <w:autoSpaceDN/>
              <w:spacing w:line="580" w:lineRule="exact"/>
              <w:jc w:val="center"/>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3</w:t>
            </w:r>
          </w:p>
        </w:tc>
        <w:tc>
          <w:tcPr>
            <w:tcW w:w="3544" w:type="dxa"/>
            <w:vAlign w:val="center"/>
          </w:tcPr>
          <w:p>
            <w:pPr>
              <w:jc w:val="center"/>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容量试验</w:t>
            </w:r>
          </w:p>
        </w:tc>
        <w:tc>
          <w:tcPr>
            <w:tcW w:w="2693" w:type="dxa"/>
            <w:vMerge w:val="continue"/>
            <w:vAlign w:val="center"/>
          </w:tcPr>
          <w:p>
            <w:pPr>
              <w:autoSpaceDE/>
              <w:autoSpaceDN/>
              <w:spacing w:line="580" w:lineRule="exact"/>
              <w:ind w:firstLine="640" w:firstLineChars="200"/>
              <w:jc w:val="center"/>
              <w:rPr>
                <w:rFonts w:hint="eastAsia" w:ascii="仿宋_GB2312" w:hAnsi="华文仿宋" w:eastAsia="仿宋_GB2312" w:cs="华文仿宋"/>
                <w:kern w:val="2"/>
                <w:sz w:val="32"/>
                <w:szCs w:val="32"/>
                <w:lang w:val="en-US" w:bidi="ar-SA"/>
              </w:rPr>
            </w:pPr>
          </w:p>
        </w:tc>
        <w:tc>
          <w:tcPr>
            <w:tcW w:w="2693" w:type="dxa"/>
            <w:vMerge w:val="continue"/>
            <w:vAlign w:val="center"/>
          </w:tcPr>
          <w:p>
            <w:pPr>
              <w:autoSpaceDE/>
              <w:autoSpaceDN/>
              <w:spacing w:line="580" w:lineRule="exact"/>
              <w:ind w:firstLine="640" w:firstLineChars="200"/>
              <w:jc w:val="center"/>
              <w:rPr>
                <w:rFonts w:hint="eastAsia" w:ascii="仿宋_GB2312" w:hAnsi="华文仿宋" w:eastAsia="仿宋_GB2312" w:cs="华文仿宋"/>
                <w:kern w:val="2"/>
                <w:sz w:val="32"/>
                <w:szCs w:val="32"/>
                <w:lang w:val="en-US" w:bidi="ar-SA"/>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 w:hRule="atLeast"/>
        </w:trPr>
        <w:tc>
          <w:tcPr>
            <w:tcW w:w="856" w:type="dxa"/>
            <w:vAlign w:val="center"/>
          </w:tcPr>
          <w:p>
            <w:pPr>
              <w:autoSpaceDE/>
              <w:autoSpaceDN/>
              <w:spacing w:line="580" w:lineRule="exact"/>
              <w:jc w:val="center"/>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4</w:t>
            </w:r>
          </w:p>
        </w:tc>
        <w:tc>
          <w:tcPr>
            <w:tcW w:w="3544" w:type="dxa"/>
            <w:vAlign w:val="center"/>
          </w:tcPr>
          <w:p>
            <w:pPr>
              <w:jc w:val="center"/>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highlight w:val="none"/>
                <w:lang w:val="en-US" w:bidi="ar-SA"/>
              </w:rPr>
              <w:t>充电接受能力</w:t>
            </w:r>
          </w:p>
        </w:tc>
        <w:tc>
          <w:tcPr>
            <w:tcW w:w="2693" w:type="dxa"/>
            <w:vMerge w:val="continue"/>
            <w:vAlign w:val="center"/>
          </w:tcPr>
          <w:p>
            <w:pPr>
              <w:autoSpaceDE/>
              <w:autoSpaceDN/>
              <w:spacing w:line="580" w:lineRule="exact"/>
              <w:ind w:firstLine="640" w:firstLineChars="200"/>
              <w:jc w:val="center"/>
              <w:rPr>
                <w:rFonts w:hint="eastAsia" w:ascii="仿宋_GB2312" w:hAnsi="华文仿宋" w:eastAsia="仿宋_GB2312" w:cs="华文仿宋"/>
                <w:kern w:val="2"/>
                <w:sz w:val="32"/>
                <w:szCs w:val="32"/>
                <w:lang w:val="en-US" w:bidi="ar-SA"/>
              </w:rPr>
            </w:pPr>
          </w:p>
        </w:tc>
        <w:tc>
          <w:tcPr>
            <w:tcW w:w="2693" w:type="dxa"/>
            <w:vMerge w:val="continue"/>
            <w:vAlign w:val="center"/>
          </w:tcPr>
          <w:p>
            <w:pPr>
              <w:autoSpaceDE/>
              <w:autoSpaceDN/>
              <w:spacing w:line="580" w:lineRule="exact"/>
              <w:ind w:firstLine="640" w:firstLineChars="200"/>
              <w:jc w:val="center"/>
              <w:rPr>
                <w:rFonts w:hint="eastAsia" w:ascii="仿宋_GB2312" w:hAnsi="华文仿宋" w:eastAsia="仿宋_GB2312" w:cs="华文仿宋"/>
                <w:kern w:val="2"/>
                <w:sz w:val="32"/>
                <w:szCs w:val="32"/>
                <w:lang w:val="en-US" w:bidi="ar-SA"/>
              </w:rPr>
            </w:pPr>
          </w:p>
        </w:tc>
      </w:tr>
    </w:tbl>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检验方法包括相关产品标准及试验方法标准。</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凡是注日期的文件，其随后所有的修改单（不包括勘误的内容）或修订版不适用于本细则。凡是不注日期的文件，其最新版本适用于本细则。</w:t>
      </w:r>
    </w:p>
    <w:p>
      <w:pPr>
        <w:autoSpaceDE/>
        <w:autoSpaceDN/>
        <w:spacing w:line="580" w:lineRule="exact"/>
        <w:ind w:firstLine="643" w:firstLineChars="200"/>
        <w:jc w:val="both"/>
        <w:rPr>
          <w:rFonts w:hint="eastAsia" w:ascii="仿宋_GB2312" w:hAnsi="华文仿宋" w:eastAsia="仿宋_GB2312" w:cs="华文仿宋"/>
          <w:b/>
          <w:bCs/>
          <w:kern w:val="2"/>
          <w:sz w:val="32"/>
          <w:szCs w:val="32"/>
          <w:lang w:val="en-US" w:bidi="ar-SA"/>
        </w:rPr>
      </w:pPr>
      <w:r>
        <w:rPr>
          <w:rFonts w:hint="eastAsia" w:ascii="仿宋_GB2312" w:hAnsi="华文仿宋" w:eastAsia="仿宋_GB2312" w:cs="华文仿宋"/>
          <w:b/>
          <w:bCs/>
          <w:kern w:val="2"/>
          <w:sz w:val="32"/>
          <w:szCs w:val="32"/>
          <w:lang w:val="en-US" w:bidi="ar-SA"/>
        </w:rPr>
        <w:t>4.判定规则</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4.1依据标准</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 xml:space="preserve">GB/T 5008.1-2013 《起动用铅酸蓄电池 第1部分：技术条件和试验方法》；  </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GB/T 5008.2-2013 《起动用铅酸蓄电池 第2部分：产品品种规格和端子尺寸、标记》；</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现行有效的企业标准、团体标准、地方标准及产品明示质量要求。</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4.2判定原则</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抽查起动用铅酸蓄电池产品经检验，检验项目全部合格，判定为抽查产品合格；检验项目中任一项或一项以上不合格，判定为被抽查产品不合格。</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若被检产品明示的质量要求高于本细则中检验项目依据的标准要求时，应按被检产品明示的质量要求判定。</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若被检产品明示的质量要求低于本细则中检验项目依据的强制性标准要求时，应按照强制性标准要求判定。</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若被检产品明示的质量要求低于或包含细则中检验项目依据的推荐性标准要求时，应以被检产品明示的质量要求判定，但应在检验报告备注中进行说明。</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若被检产品明示的质量要求缺少本细则中检验项目依据的强制性标准要求时，应按照强制性标准要求判定。</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若被检产品明示的质量要求缺少本细则中检验项目依据的推荐性标准要求时，该项目不参与判定，但应在检验报告备注中进行说明。</w:t>
      </w:r>
    </w:p>
    <w:p>
      <w:pPr>
        <w:autoSpaceDE/>
        <w:autoSpaceDN/>
        <w:spacing w:line="580" w:lineRule="exact"/>
        <w:ind w:firstLine="643" w:firstLineChars="200"/>
        <w:jc w:val="both"/>
        <w:rPr>
          <w:rFonts w:hint="eastAsia" w:ascii="仿宋_GB2312" w:hAnsi="华文仿宋" w:eastAsia="仿宋_GB2312" w:cs="华文仿宋"/>
          <w:b/>
          <w:bCs/>
          <w:kern w:val="2"/>
          <w:sz w:val="32"/>
          <w:szCs w:val="32"/>
          <w:lang w:val="en-US" w:bidi="ar-SA"/>
        </w:rPr>
      </w:pPr>
      <w:r>
        <w:rPr>
          <w:rFonts w:hint="eastAsia" w:ascii="仿宋_GB2312" w:hAnsi="华文仿宋" w:eastAsia="仿宋_GB2312" w:cs="华文仿宋"/>
          <w:b/>
          <w:bCs/>
          <w:kern w:val="2"/>
          <w:sz w:val="32"/>
          <w:szCs w:val="32"/>
          <w:lang w:val="en-US" w:bidi="ar-SA"/>
        </w:rPr>
        <w:t>5.异议处理</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5.1对监督抽查程序有异议的，由任务下达部门核查相关证据后维持或者撤销原检验结果。</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5.3对样品信息有异议的，任务下达部门核查样品确认情况和生产企业提交证明材料后，维持或者撤销原检验结果。</w:t>
      </w:r>
    </w:p>
    <w:p>
      <w:pPr>
        <w:autoSpaceDE/>
        <w:autoSpaceDN/>
        <w:spacing w:line="580" w:lineRule="exact"/>
        <w:ind w:firstLine="640" w:firstLineChars="200"/>
        <w:jc w:val="both"/>
        <w:rPr>
          <w:rFonts w:hint="eastAsia" w:ascii="仿宋_GB2312" w:hAnsi="华文仿宋" w:eastAsia="仿宋_GB2312" w:cs="华文仿宋"/>
          <w:kern w:val="2"/>
          <w:sz w:val="32"/>
          <w:szCs w:val="32"/>
          <w:lang w:val="en-US" w:bidi="ar-SA"/>
        </w:rPr>
      </w:pPr>
      <w:r>
        <w:rPr>
          <w:rFonts w:hint="eastAsia" w:ascii="仿宋_GB2312" w:hAnsi="华文仿宋" w:eastAsia="仿宋_GB2312" w:cs="华文仿宋"/>
          <w:kern w:val="2"/>
          <w:sz w:val="32"/>
          <w:szCs w:val="32"/>
          <w:lang w:val="en-US" w:bidi="ar-SA"/>
        </w:rPr>
        <w:t>5.4由于起动用铅酸蓄电池检验有时效性，超过检验时效后的性能性检测不予复检。</w:t>
      </w:r>
    </w:p>
    <w:p>
      <w:pPr>
        <w:pStyle w:val="5"/>
        <w:tabs>
          <w:tab w:val="left" w:pos="967"/>
          <w:tab w:val="left" w:pos="969"/>
        </w:tabs>
        <w:spacing w:before="120" w:line="360" w:lineRule="auto"/>
        <w:ind w:left="0" w:firstLine="640" w:firstLineChars="200"/>
        <w:rPr>
          <w:rFonts w:hint="eastAsia" w:ascii="仿宋_GB2312" w:hAnsi="华文仿宋" w:eastAsia="仿宋_GB2312" w:cs="华文仿宋"/>
          <w:b w:val="0"/>
          <w:bCs w:val="0"/>
          <w:kern w:val="2"/>
          <w:sz w:val="32"/>
          <w:szCs w:val="32"/>
          <w:lang w:val="en-US" w:bidi="ar-SA"/>
        </w:rPr>
      </w:pPr>
    </w:p>
    <w:sectPr>
      <w:footerReference r:id="rId3" w:type="default"/>
      <w:pgSz w:w="11910" w:h="16840"/>
      <w:pgMar w:top="1440" w:right="1080" w:bottom="1440" w:left="1080" w:header="0" w:footer="97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3622675</wp:posOffset>
              </wp:positionH>
              <wp:positionV relativeFrom="page">
                <wp:posOffset>9937750</wp:posOffset>
              </wp:positionV>
              <wp:extent cx="315595" cy="173355"/>
              <wp:effectExtent l="0" t="0" r="0" b="0"/>
              <wp:wrapNone/>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315595" cy="173355"/>
                      </a:xfrm>
                      <a:prstGeom prst="rect">
                        <a:avLst/>
                      </a:prstGeom>
                      <a:noFill/>
                      <a:ln>
                        <a:noFill/>
                      </a:ln>
                      <a:effectLst/>
                    </wps:spPr>
                    <wps:txbx>
                      <w:txbxContent>
                        <w:p>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2</w:t>
                          </w:r>
                          <w:r>
                            <w:fldChar w:fldCharType="end"/>
                          </w:r>
                          <w:r>
                            <w:rPr>
                              <w:rFonts w:ascii="Times New Roman"/>
                            </w:rPr>
                            <w:t xml:space="preserve"> -</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85.25pt;margin-top:782.5pt;height:13.65pt;width:24.85pt;mso-position-horizontal-relative:page;mso-position-vertical-relative:page;z-index:-251657216;mso-width-relative:page;mso-height-relative:page;" filled="f" stroked="f" coordsize="21600,21600" o:gfxdata="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2rdppNoAAAANAQAADwAAAAAAAAABACAAAAAiAAAAZHJz&#10;L2Rvd25yZXYueG1sUEsBAhQAFAAAAAgAh07iQNWJauoCAgAAEQQAAA4AAAAAAAAAAQAgAAAAKQEA&#10;AGRycy9lMm9Eb2MueG1sUEsFBgAAAAAGAAYAWQEAAJ0FAAAAAA==&#10;">
              <v:fill on="f" focussize="0,0"/>
              <v:stroke on="f"/>
              <v:imagedata o:title=""/>
              <o:lock v:ext="edit" aspectratio="f"/>
              <v:textbox inset="0mm,0mm,0mm,0mm">
                <w:txbxContent>
                  <w:p>
                    <w:pPr>
                      <w:pStyle w:val="6"/>
                      <w:spacing w:before="11"/>
                      <w:ind w:left="20"/>
                      <w:rPr>
                        <w:rFonts w:ascii="Times New Roman"/>
                      </w:rPr>
                    </w:pPr>
                    <w:r>
                      <w:rPr>
                        <w:rFonts w:ascii="Times New Roman"/>
                      </w:rPr>
                      <w:t xml:space="preserve">- </w:t>
                    </w:r>
                    <w:r>
                      <w:fldChar w:fldCharType="begin"/>
                    </w:r>
                    <w:r>
                      <w:rPr>
                        <w:rFonts w:ascii="Times New Roman"/>
                      </w:rPr>
                      <w:instrText xml:space="preserve"> PAGE </w:instrText>
                    </w:r>
                    <w:r>
                      <w:fldChar w:fldCharType="separate"/>
                    </w:r>
                    <w:r>
                      <w:rPr>
                        <w:rFonts w:ascii="Times New Roman"/>
                      </w:rPr>
                      <w:t>2</w:t>
                    </w:r>
                    <w:r>
                      <w:fldChar w:fldCharType="end"/>
                    </w:r>
                    <w:r>
                      <w:rPr>
                        <w:rFonts w:ascii="Times New Roma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FiOTJjZjYwODEzYmJjMGNkOGZlMmI2M2JkMjc1MmMifQ=="/>
  </w:docVars>
  <w:rsids>
    <w:rsidRoot w:val="00D74BB0"/>
    <w:rsid w:val="0000650C"/>
    <w:rsid w:val="0002623E"/>
    <w:rsid w:val="0003266E"/>
    <w:rsid w:val="00042E52"/>
    <w:rsid w:val="00075D2C"/>
    <w:rsid w:val="000831B2"/>
    <w:rsid w:val="000E438C"/>
    <w:rsid w:val="000F1035"/>
    <w:rsid w:val="00114B79"/>
    <w:rsid w:val="00164799"/>
    <w:rsid w:val="00164C00"/>
    <w:rsid w:val="001760BA"/>
    <w:rsid w:val="00194036"/>
    <w:rsid w:val="001C333A"/>
    <w:rsid w:val="001C67A8"/>
    <w:rsid w:val="002851E4"/>
    <w:rsid w:val="0029014B"/>
    <w:rsid w:val="002B6731"/>
    <w:rsid w:val="002D1C3B"/>
    <w:rsid w:val="002D7400"/>
    <w:rsid w:val="003031BA"/>
    <w:rsid w:val="003175BB"/>
    <w:rsid w:val="0034298F"/>
    <w:rsid w:val="00353D64"/>
    <w:rsid w:val="00364FD6"/>
    <w:rsid w:val="0036591F"/>
    <w:rsid w:val="00395BCD"/>
    <w:rsid w:val="003A45F1"/>
    <w:rsid w:val="003D4C42"/>
    <w:rsid w:val="003E45D1"/>
    <w:rsid w:val="004058B1"/>
    <w:rsid w:val="00432A23"/>
    <w:rsid w:val="00435ACF"/>
    <w:rsid w:val="00456ACC"/>
    <w:rsid w:val="004626D2"/>
    <w:rsid w:val="00477D1A"/>
    <w:rsid w:val="00491441"/>
    <w:rsid w:val="00493196"/>
    <w:rsid w:val="004B1147"/>
    <w:rsid w:val="004B1CE9"/>
    <w:rsid w:val="004D1190"/>
    <w:rsid w:val="00533F57"/>
    <w:rsid w:val="00537E82"/>
    <w:rsid w:val="00557205"/>
    <w:rsid w:val="00577D33"/>
    <w:rsid w:val="005833D3"/>
    <w:rsid w:val="00611AA6"/>
    <w:rsid w:val="00611E80"/>
    <w:rsid w:val="00614648"/>
    <w:rsid w:val="00621C5C"/>
    <w:rsid w:val="00667D37"/>
    <w:rsid w:val="00684D22"/>
    <w:rsid w:val="006B3A82"/>
    <w:rsid w:val="007312EA"/>
    <w:rsid w:val="0074736E"/>
    <w:rsid w:val="00775579"/>
    <w:rsid w:val="007D1C29"/>
    <w:rsid w:val="007F454A"/>
    <w:rsid w:val="008225CF"/>
    <w:rsid w:val="008A359A"/>
    <w:rsid w:val="008F390B"/>
    <w:rsid w:val="009034C0"/>
    <w:rsid w:val="00903E92"/>
    <w:rsid w:val="00923C62"/>
    <w:rsid w:val="009249DD"/>
    <w:rsid w:val="00924E47"/>
    <w:rsid w:val="00951698"/>
    <w:rsid w:val="009555B3"/>
    <w:rsid w:val="0098052D"/>
    <w:rsid w:val="0098686C"/>
    <w:rsid w:val="009A382D"/>
    <w:rsid w:val="009B6198"/>
    <w:rsid w:val="00A30987"/>
    <w:rsid w:val="00A60356"/>
    <w:rsid w:val="00A61ABB"/>
    <w:rsid w:val="00A72CA8"/>
    <w:rsid w:val="00AA3B6D"/>
    <w:rsid w:val="00AC0C0B"/>
    <w:rsid w:val="00AC3FED"/>
    <w:rsid w:val="00AE2A65"/>
    <w:rsid w:val="00AF6DC8"/>
    <w:rsid w:val="00B10364"/>
    <w:rsid w:val="00B46FAE"/>
    <w:rsid w:val="00B52AAF"/>
    <w:rsid w:val="00B913AD"/>
    <w:rsid w:val="00B95581"/>
    <w:rsid w:val="00BC446E"/>
    <w:rsid w:val="00BD18CC"/>
    <w:rsid w:val="00C16AD7"/>
    <w:rsid w:val="00C201F5"/>
    <w:rsid w:val="00C53ED0"/>
    <w:rsid w:val="00C9766F"/>
    <w:rsid w:val="00CC1D12"/>
    <w:rsid w:val="00CF7936"/>
    <w:rsid w:val="00D558D8"/>
    <w:rsid w:val="00D74BB0"/>
    <w:rsid w:val="00DD4AF9"/>
    <w:rsid w:val="00DE70E1"/>
    <w:rsid w:val="00E02AF4"/>
    <w:rsid w:val="00E17597"/>
    <w:rsid w:val="00E232F5"/>
    <w:rsid w:val="00E6060E"/>
    <w:rsid w:val="00EA7002"/>
    <w:rsid w:val="00ED4951"/>
    <w:rsid w:val="00FB0EB0"/>
    <w:rsid w:val="00FB5B5E"/>
    <w:rsid w:val="00FC734D"/>
    <w:rsid w:val="00FE3B4C"/>
    <w:rsid w:val="0B007BD2"/>
    <w:rsid w:val="10EB2179"/>
    <w:rsid w:val="117D5540"/>
    <w:rsid w:val="14BD0584"/>
    <w:rsid w:val="1AD867BE"/>
    <w:rsid w:val="37F95C4C"/>
    <w:rsid w:val="3F66425C"/>
    <w:rsid w:val="4C753AE6"/>
    <w:rsid w:val="4F174970"/>
    <w:rsid w:val="5E631DAD"/>
    <w:rsid w:val="68EE2392"/>
    <w:rsid w:val="6E0F7797"/>
    <w:rsid w:val="FF9BE9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ind w:left="2121" w:right="2138"/>
      <w:jc w:val="center"/>
      <w:outlineLvl w:val="0"/>
    </w:pPr>
    <w:rPr>
      <w:b/>
      <w:bCs/>
      <w:sz w:val="32"/>
      <w:szCs w:val="32"/>
    </w:rPr>
  </w:style>
  <w:style w:type="paragraph" w:styleId="3">
    <w:name w:val="heading 2"/>
    <w:basedOn w:val="1"/>
    <w:next w:val="1"/>
    <w:qFormat/>
    <w:uiPriority w:val="1"/>
    <w:pPr>
      <w:ind w:left="789"/>
      <w:outlineLvl w:val="1"/>
    </w:pPr>
    <w:rPr>
      <w:b/>
      <w:bCs/>
      <w:sz w:val="28"/>
      <w:szCs w:val="28"/>
    </w:rPr>
  </w:style>
  <w:style w:type="paragraph" w:styleId="4">
    <w:name w:val="heading 3"/>
    <w:basedOn w:val="1"/>
    <w:next w:val="1"/>
    <w:qFormat/>
    <w:uiPriority w:val="1"/>
    <w:pPr>
      <w:spacing w:before="186"/>
      <w:ind w:left="227"/>
      <w:outlineLvl w:val="2"/>
    </w:pPr>
    <w:rPr>
      <w:sz w:val="28"/>
      <w:szCs w:val="28"/>
    </w:rPr>
  </w:style>
  <w:style w:type="paragraph" w:styleId="5">
    <w:name w:val="heading 4"/>
    <w:basedOn w:val="1"/>
    <w:next w:val="1"/>
    <w:qFormat/>
    <w:uiPriority w:val="1"/>
    <w:pPr>
      <w:ind w:left="862"/>
      <w:outlineLvl w:val="3"/>
    </w:pPr>
    <w:rPr>
      <w:b/>
      <w:bCs/>
      <w:sz w:val="21"/>
      <w:szCs w:val="21"/>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ody Text"/>
    <w:basedOn w:val="1"/>
    <w:link w:val="19"/>
    <w:qFormat/>
    <w:uiPriority w:val="1"/>
    <w:rPr>
      <w:sz w:val="21"/>
      <w:szCs w:val="21"/>
    </w:rPr>
  </w:style>
  <w:style w:type="paragraph" w:styleId="7">
    <w:name w:val="Balloon Text"/>
    <w:basedOn w:val="1"/>
    <w:link w:val="16"/>
    <w:semiHidden/>
    <w:unhideWhenUsed/>
    <w:qFormat/>
    <w:uiPriority w:val="99"/>
    <w:rPr>
      <w:sz w:val="18"/>
      <w:szCs w:val="18"/>
    </w:rPr>
  </w:style>
  <w:style w:type="paragraph" w:styleId="8">
    <w:name w:val="footer"/>
    <w:basedOn w:val="1"/>
    <w:link w:val="18"/>
    <w:unhideWhenUsed/>
    <w:qFormat/>
    <w:uiPriority w:val="99"/>
    <w:pPr>
      <w:tabs>
        <w:tab w:val="center" w:pos="4153"/>
        <w:tab w:val="right" w:pos="8306"/>
      </w:tabs>
      <w:snapToGrid w:val="0"/>
    </w:pPr>
    <w:rPr>
      <w:sz w:val="18"/>
      <w:szCs w:val="18"/>
    </w:rPr>
  </w:style>
  <w:style w:type="paragraph" w:styleId="9">
    <w:name w:val="header"/>
    <w:basedOn w:val="1"/>
    <w:link w:val="17"/>
    <w:unhideWhenUsed/>
    <w:qFormat/>
    <w:uiPriority w:val="99"/>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
    <w:name w:val="Table Normal"/>
    <w:semiHidden/>
    <w:unhideWhenUsed/>
    <w:qFormat/>
    <w:uiPriority w:val="2"/>
    <w:tblPr>
      <w:tblCellMar>
        <w:top w:w="0" w:type="dxa"/>
        <w:left w:w="0" w:type="dxa"/>
        <w:bottom w:w="0" w:type="dxa"/>
        <w:right w:w="0" w:type="dxa"/>
      </w:tblCellMar>
    </w:tblPr>
  </w:style>
  <w:style w:type="paragraph" w:styleId="14">
    <w:name w:val="List Paragraph"/>
    <w:basedOn w:val="1"/>
    <w:qFormat/>
    <w:uiPriority w:val="1"/>
    <w:pPr>
      <w:ind w:left="227" w:firstLine="420"/>
    </w:pPr>
  </w:style>
  <w:style w:type="paragraph" w:customStyle="1" w:styleId="15">
    <w:name w:val="Table Paragraph"/>
    <w:basedOn w:val="1"/>
    <w:qFormat/>
    <w:uiPriority w:val="1"/>
  </w:style>
  <w:style w:type="character" w:customStyle="1" w:styleId="16">
    <w:name w:val="批注框文本 字符"/>
    <w:basedOn w:val="12"/>
    <w:link w:val="7"/>
    <w:semiHidden/>
    <w:qFormat/>
    <w:uiPriority w:val="99"/>
    <w:rPr>
      <w:rFonts w:ascii="宋体" w:hAnsi="宋体" w:eastAsia="宋体" w:cs="宋体"/>
      <w:sz w:val="18"/>
      <w:szCs w:val="18"/>
      <w:lang w:val="zh-CN" w:eastAsia="zh-CN" w:bidi="zh-CN"/>
    </w:rPr>
  </w:style>
  <w:style w:type="character" w:customStyle="1" w:styleId="17">
    <w:name w:val="页眉 字符"/>
    <w:basedOn w:val="12"/>
    <w:link w:val="9"/>
    <w:qFormat/>
    <w:uiPriority w:val="99"/>
    <w:rPr>
      <w:rFonts w:ascii="宋体" w:hAnsi="宋体" w:eastAsia="宋体" w:cs="宋体"/>
      <w:sz w:val="18"/>
      <w:szCs w:val="18"/>
      <w:lang w:val="zh-CN" w:eastAsia="zh-CN" w:bidi="zh-CN"/>
    </w:rPr>
  </w:style>
  <w:style w:type="character" w:customStyle="1" w:styleId="18">
    <w:name w:val="页脚 字符"/>
    <w:basedOn w:val="12"/>
    <w:link w:val="8"/>
    <w:qFormat/>
    <w:uiPriority w:val="99"/>
    <w:rPr>
      <w:rFonts w:ascii="宋体" w:hAnsi="宋体" w:eastAsia="宋体" w:cs="宋体"/>
      <w:sz w:val="18"/>
      <w:szCs w:val="18"/>
      <w:lang w:val="zh-CN" w:eastAsia="zh-CN" w:bidi="zh-CN"/>
    </w:rPr>
  </w:style>
  <w:style w:type="character" w:customStyle="1" w:styleId="19">
    <w:name w:val="正文文本 字符"/>
    <w:basedOn w:val="12"/>
    <w:link w:val="6"/>
    <w:qFormat/>
    <w:uiPriority w:val="1"/>
    <w:rPr>
      <w:rFonts w:ascii="宋体" w:hAnsi="宋体" w:eastAsia="宋体" w:cs="宋体"/>
      <w:sz w:val="21"/>
      <w:szCs w:val="21"/>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合肥产品质量监督检验研究院</Company>
  <Pages>4</Pages>
  <Words>1359</Words>
  <Characters>1475</Characters>
  <Lines>11</Lines>
  <Paragraphs>3</Paragraphs>
  <TotalTime>85</TotalTime>
  <ScaleCrop>false</ScaleCrop>
  <LinksUpToDate>false</LinksUpToDate>
  <CharactersWithSpaces>1492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2020-07-29T14:43:00Z</dcterms:created>
  <dc:creator>合肥质检院，程浩</dc:creator>
  <cp:lastModifiedBy>Administrator</cp:lastModifiedBy>
  <dcterms:modified xsi:type="dcterms:W3CDTF">2023-03-29T04:28:39Z</dcterms:modified>
  <dc:title>安全帽产品质量监督抽查实施细则</dc:title>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2018-08-02T00:00:00Z</vt:filetime>
  </property>
  <property fmtid="{D5CDD505-2E9C-101B-9397-08002B2CF9AE}" pid="3" name="Creator">
    <vt:lpwstr>PScript5.dll Version 5.2</vt:lpwstr>
  </property>
  <property fmtid="{D5CDD505-2E9C-101B-9397-08002B2CF9AE}" pid="4" name="LastSaved">
    <vt:filetime>2019-01-21T00:00:00Z</vt:filetime>
  </property>
  <property fmtid="{D5CDD505-2E9C-101B-9397-08002B2CF9AE}" pid="5" name="KSOProductBuildVer">
    <vt:lpwstr>2052-11.1.0.13703</vt:lpwstr>
  </property>
  <property fmtid="{D5CDD505-2E9C-101B-9397-08002B2CF9AE}" pid="6" name="ICV">
    <vt:lpwstr>BEADFDFA7A26448A9442615DF012A62D_13</vt:lpwstr>
  </property>
</Properties>
</file>