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8F0" w:rsidRPr="00343A35" w:rsidRDefault="00910E1F">
      <w:pPr>
        <w:autoSpaceDE/>
        <w:autoSpaceDN/>
        <w:snapToGrid w:val="0"/>
        <w:spacing w:line="580" w:lineRule="exact"/>
        <w:jc w:val="center"/>
        <w:rPr>
          <w:rFonts w:ascii="方正小标宋_GBK" w:eastAsia="方正小标宋_GBK" w:hAnsi="华文仿宋" w:cs="华文仿宋"/>
          <w:bCs/>
          <w:color w:val="000000"/>
          <w:kern w:val="2"/>
          <w:sz w:val="44"/>
          <w:szCs w:val="44"/>
          <w:lang w:val="en-US" w:bidi="ar-SA"/>
        </w:rPr>
      </w:pPr>
      <w:r w:rsidRPr="00343A35">
        <w:rPr>
          <w:rFonts w:ascii="方正小标宋_GBK" w:eastAsia="方正小标宋_GBK" w:hAnsi="华文仿宋" w:cs="华文仿宋" w:hint="eastAsia"/>
          <w:bCs/>
          <w:color w:val="000000"/>
          <w:kern w:val="2"/>
          <w:sz w:val="44"/>
          <w:szCs w:val="44"/>
          <w:lang w:val="en-US" w:bidi="ar-SA"/>
        </w:rPr>
        <w:t>2023年泰州市电动自行车产品质量监督抽查</w:t>
      </w:r>
    </w:p>
    <w:p w:rsidR="006728F0" w:rsidRDefault="00910E1F">
      <w:pPr>
        <w:autoSpaceDE/>
        <w:autoSpaceDN/>
        <w:snapToGrid w:val="0"/>
        <w:spacing w:line="580" w:lineRule="exact"/>
        <w:jc w:val="center"/>
        <w:rPr>
          <w:rFonts w:ascii="方正小标宋_GBK" w:eastAsia="方正小标宋_GBK" w:hAnsi="华文仿宋" w:cs="华文仿宋"/>
          <w:bCs/>
          <w:color w:val="000000"/>
          <w:kern w:val="2"/>
          <w:sz w:val="44"/>
          <w:szCs w:val="44"/>
          <w:lang w:val="en-US" w:bidi="ar-SA"/>
        </w:rPr>
      </w:pPr>
      <w:r w:rsidRPr="00343A35">
        <w:rPr>
          <w:rFonts w:ascii="方正小标宋_GBK" w:eastAsia="方正小标宋_GBK" w:hAnsi="华文仿宋" w:cs="华文仿宋" w:hint="eastAsia"/>
          <w:bCs/>
          <w:color w:val="000000"/>
          <w:kern w:val="2"/>
          <w:sz w:val="44"/>
          <w:szCs w:val="44"/>
          <w:lang w:val="en-US" w:bidi="ar-SA"/>
        </w:rPr>
        <w:t>实施细则</w:t>
      </w:r>
    </w:p>
    <w:p w:rsidR="00532841" w:rsidRPr="00343A35" w:rsidRDefault="00532841">
      <w:pPr>
        <w:autoSpaceDE/>
        <w:autoSpaceDN/>
        <w:snapToGrid w:val="0"/>
        <w:spacing w:line="580" w:lineRule="exact"/>
        <w:jc w:val="center"/>
        <w:rPr>
          <w:rFonts w:ascii="方正小标宋_GBK" w:eastAsia="方正小标宋_GBK" w:hAnsi="华文仿宋" w:cs="华文仿宋" w:hint="eastAsia"/>
          <w:bCs/>
          <w:kern w:val="2"/>
          <w:sz w:val="32"/>
          <w:szCs w:val="32"/>
          <w:lang w:val="en-US" w:bidi="ar-SA"/>
        </w:rPr>
      </w:pPr>
      <w:bookmarkStart w:id="0" w:name="_GoBack"/>
      <w:bookmarkEnd w:id="0"/>
    </w:p>
    <w:p w:rsidR="006728F0" w:rsidRDefault="00910E1F">
      <w:pPr>
        <w:autoSpaceDE/>
        <w:autoSpaceDN/>
        <w:spacing w:line="580" w:lineRule="exact"/>
        <w:ind w:firstLineChars="200" w:firstLine="641"/>
        <w:jc w:val="both"/>
        <w:rPr>
          <w:rFonts w:ascii="华文仿宋" w:eastAsia="华文仿宋" w:hAnsi="华文仿宋" w:cs="华文仿宋"/>
          <w:b/>
          <w:kern w:val="2"/>
          <w:sz w:val="32"/>
          <w:szCs w:val="32"/>
          <w:lang w:val="en-US" w:bidi="ar-SA"/>
        </w:rPr>
      </w:pPr>
      <w:r>
        <w:rPr>
          <w:rFonts w:ascii="华文仿宋" w:eastAsia="华文仿宋" w:hAnsi="华文仿宋" w:cs="华文仿宋" w:hint="eastAsia"/>
          <w:b/>
          <w:kern w:val="2"/>
          <w:sz w:val="32"/>
          <w:szCs w:val="32"/>
          <w:lang w:val="en-US" w:bidi="ar-SA"/>
        </w:rPr>
        <w:t>1. 范围</w:t>
      </w:r>
    </w:p>
    <w:p w:rsidR="006728F0" w:rsidRDefault="00910E1F">
      <w:pPr>
        <w:autoSpaceDE/>
        <w:autoSpaceDN/>
        <w:spacing w:line="580" w:lineRule="exact"/>
        <w:ind w:firstLineChars="200" w:firstLine="640"/>
        <w:jc w:val="both"/>
        <w:rPr>
          <w:rFonts w:ascii="华文仿宋" w:eastAsia="华文仿宋" w:hAnsi="华文仿宋" w:cs="华文仿宋"/>
          <w:b/>
          <w:kern w:val="2"/>
          <w:sz w:val="32"/>
          <w:szCs w:val="32"/>
          <w:lang w:val="en-US" w:bidi="ar-SA"/>
        </w:rPr>
      </w:pPr>
      <w:r>
        <w:rPr>
          <w:rFonts w:ascii="华文仿宋" w:eastAsia="华文仿宋" w:hAnsi="华文仿宋" w:cs="华文仿宋" w:hint="eastAsia"/>
          <w:kern w:val="2"/>
          <w:sz w:val="32"/>
          <w:szCs w:val="32"/>
          <w:lang w:val="en-US" w:bidi="ar-SA"/>
        </w:rPr>
        <w:t>本细则适用于泰州市市场监督管理局组织的电动自行车产品质量监督抽查。本细则规定了此产品的抽样方法、检验依据、检验项目、检验方法、判定原则、异议处理及复检。</w:t>
      </w:r>
    </w:p>
    <w:p w:rsidR="006728F0" w:rsidRDefault="00910E1F">
      <w:pPr>
        <w:autoSpaceDE/>
        <w:autoSpaceDN/>
        <w:spacing w:line="580" w:lineRule="exact"/>
        <w:ind w:firstLineChars="200" w:firstLine="641"/>
        <w:jc w:val="both"/>
        <w:rPr>
          <w:rFonts w:ascii="华文仿宋" w:eastAsia="华文仿宋" w:hAnsi="华文仿宋" w:cs="华文仿宋"/>
          <w:b/>
          <w:kern w:val="2"/>
          <w:sz w:val="32"/>
          <w:szCs w:val="32"/>
          <w:lang w:val="en-US" w:bidi="ar-SA"/>
        </w:rPr>
      </w:pPr>
      <w:r>
        <w:rPr>
          <w:rFonts w:ascii="华文仿宋" w:eastAsia="华文仿宋" w:hAnsi="华文仿宋" w:cs="华文仿宋" w:hint="eastAsia"/>
          <w:b/>
          <w:kern w:val="2"/>
          <w:sz w:val="32"/>
          <w:szCs w:val="32"/>
          <w:lang w:val="en-US" w:bidi="ar-SA"/>
        </w:rPr>
        <w:t>2 .抽样方法</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2.1抽样型号或规格</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抽取样品应为同一型号规格、同一批次的产品。样品信息以电动自行车永久性标识上为准，永久性标识上未标注的信息，以标签或合格证为准。</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2.2抽样方法及数量</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在企业的成品库内、成品堆放区或待销区域随机抽取有产品质量检验合格证明或者以其他形式表明合格的、近期生产的产品，若产品标注有效期，则有效期应在监督抽查整体工作结束后。</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单批次抽样数量为2辆，其中检验样品1辆，备用样品1辆。抽查样品基数满足抽样数量即可。</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随机数一般可使用随机数表、骰子或扑克牌等方法产生。</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2.3样品处置</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2.3.1封样要求</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应当对检验样品和备用样品分别签封，并在封条上施加防拆封措施,使得不破坏封条签封便无法完整取下封条。产品合格证、使用说明、充电器、蓄电池、脚踏板、车钥匙等信息资料及配件随同样品一同封</w:t>
      </w:r>
      <w:r>
        <w:rPr>
          <w:rFonts w:ascii="华文仿宋" w:eastAsia="华文仿宋" w:hAnsi="华文仿宋" w:cs="华文仿宋" w:hint="eastAsia"/>
          <w:kern w:val="2"/>
          <w:sz w:val="32"/>
          <w:szCs w:val="32"/>
          <w:lang w:val="en-US" w:bidi="ar-SA"/>
        </w:rPr>
        <w:lastRenderedPageBreak/>
        <w:t>样。</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2.3.2.备样封存地点</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本次抽查的备样应封存在被抽检单位处，未经许可不得擅自拆开。</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2.4 抽样单</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应按有关规定填写抽样单，并记录被抽查产品及企业相关信息。</w:t>
      </w:r>
    </w:p>
    <w:p w:rsidR="006728F0" w:rsidRDefault="00910E1F">
      <w:pPr>
        <w:autoSpaceDE/>
        <w:autoSpaceDN/>
        <w:spacing w:line="580" w:lineRule="exact"/>
        <w:ind w:firstLineChars="200" w:firstLine="641"/>
        <w:jc w:val="both"/>
        <w:rPr>
          <w:rFonts w:ascii="华文仿宋" w:eastAsia="华文仿宋" w:hAnsi="华文仿宋" w:cs="华文仿宋"/>
          <w:b/>
          <w:kern w:val="2"/>
          <w:sz w:val="32"/>
          <w:szCs w:val="32"/>
          <w:lang w:val="en-US" w:bidi="ar-SA"/>
        </w:rPr>
      </w:pPr>
      <w:r>
        <w:rPr>
          <w:rFonts w:ascii="华文仿宋" w:eastAsia="华文仿宋" w:hAnsi="华文仿宋" w:cs="华文仿宋" w:hint="eastAsia"/>
          <w:b/>
          <w:kern w:val="2"/>
          <w:sz w:val="32"/>
          <w:szCs w:val="32"/>
          <w:lang w:val="en-US" w:bidi="ar-SA"/>
        </w:rPr>
        <w:t>3. 检验依据</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检验项目及检验依据见表1。</w:t>
      </w:r>
    </w:p>
    <w:p w:rsidR="006728F0" w:rsidRDefault="00910E1F">
      <w:pPr>
        <w:autoSpaceDE/>
        <w:autoSpaceDN/>
        <w:spacing w:line="580" w:lineRule="exact"/>
        <w:ind w:firstLineChars="200" w:firstLine="560"/>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表1</w:t>
      </w:r>
      <w:r>
        <w:rPr>
          <w:rFonts w:ascii="华文仿宋" w:eastAsia="华文仿宋" w:hAnsi="华文仿宋" w:cs="华文仿宋" w:hint="eastAsia"/>
          <w:kern w:val="2"/>
          <w:sz w:val="28"/>
          <w:szCs w:val="28"/>
          <w:lang w:val="en-US" w:bidi="ar-SA"/>
        </w:rPr>
        <w:tab/>
        <w:t>电动自行车产品检验项目</w:t>
      </w:r>
    </w:p>
    <w:tbl>
      <w:tblPr>
        <w:tblStyle w:val="TableNormal"/>
        <w:tblW w:w="96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9"/>
        <w:gridCol w:w="4138"/>
        <w:gridCol w:w="2268"/>
        <w:gridCol w:w="2409"/>
      </w:tblGrid>
      <w:tr w:rsidR="006728F0">
        <w:trPr>
          <w:trHeight w:val="580"/>
        </w:trPr>
        <w:tc>
          <w:tcPr>
            <w:tcW w:w="829" w:type="dxa"/>
            <w:vMerge w:val="restart"/>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序号</w:t>
            </w:r>
          </w:p>
        </w:tc>
        <w:tc>
          <w:tcPr>
            <w:tcW w:w="4138" w:type="dxa"/>
            <w:vMerge w:val="restart"/>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检验项目</w:t>
            </w:r>
          </w:p>
        </w:tc>
        <w:tc>
          <w:tcPr>
            <w:tcW w:w="2268" w:type="dxa"/>
            <w:vMerge w:val="restart"/>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判定依据</w:t>
            </w:r>
          </w:p>
        </w:tc>
        <w:tc>
          <w:tcPr>
            <w:tcW w:w="2409" w:type="dxa"/>
            <w:vMerge w:val="restart"/>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检测方法</w:t>
            </w:r>
          </w:p>
        </w:tc>
      </w:tr>
      <w:tr w:rsidR="006728F0">
        <w:trPr>
          <w:trHeight w:val="580"/>
        </w:trPr>
        <w:tc>
          <w:tcPr>
            <w:tcW w:w="829" w:type="dxa"/>
            <w:vMerge/>
            <w:tcBorders>
              <w:top w:val="nil"/>
            </w:tcBorders>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4138" w:type="dxa"/>
            <w:vMerge/>
            <w:tcBorders>
              <w:top w:val="nil"/>
            </w:tcBorders>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68" w:type="dxa"/>
            <w:vMerge/>
            <w:tcBorders>
              <w:top w:val="nil"/>
            </w:tcBorders>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409" w:type="dxa"/>
            <w:vMerge/>
            <w:tcBorders>
              <w:top w:val="nil"/>
            </w:tcBorders>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r>
      <w:tr w:rsidR="006728F0">
        <w:trPr>
          <w:trHeight w:val="83"/>
        </w:trPr>
        <w:tc>
          <w:tcPr>
            <w:tcW w:w="829"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1</w:t>
            </w:r>
          </w:p>
        </w:tc>
        <w:tc>
          <w:tcPr>
            <w:tcW w:w="4138" w:type="dxa"/>
            <w:vAlign w:val="center"/>
          </w:tcPr>
          <w:p w:rsidR="006728F0" w:rsidRDefault="00900F0D">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使用</w:t>
            </w:r>
            <w:r w:rsidR="00E21D7D">
              <w:rPr>
                <w:rFonts w:ascii="华文仿宋" w:eastAsia="华文仿宋" w:hAnsi="华文仿宋" w:cs="华文仿宋" w:hint="eastAsia"/>
                <w:kern w:val="2"/>
                <w:sz w:val="28"/>
                <w:szCs w:val="28"/>
                <w:lang w:val="en-US" w:bidi="ar-SA"/>
              </w:rPr>
              <w:t>说明</w:t>
            </w:r>
          </w:p>
        </w:tc>
        <w:tc>
          <w:tcPr>
            <w:tcW w:w="2268" w:type="dxa"/>
            <w:vMerge w:val="restart"/>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GB 17761-2018</w:t>
            </w:r>
          </w:p>
        </w:tc>
        <w:tc>
          <w:tcPr>
            <w:tcW w:w="2409" w:type="dxa"/>
            <w:vMerge w:val="restart"/>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GB 17761-2018</w:t>
            </w:r>
          </w:p>
        </w:tc>
      </w:tr>
      <w:tr w:rsidR="006728F0">
        <w:trPr>
          <w:trHeight w:val="83"/>
        </w:trPr>
        <w:tc>
          <w:tcPr>
            <w:tcW w:w="829"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2</w:t>
            </w:r>
          </w:p>
        </w:tc>
        <w:tc>
          <w:tcPr>
            <w:tcW w:w="4138"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车速限值</w:t>
            </w:r>
          </w:p>
        </w:tc>
        <w:tc>
          <w:tcPr>
            <w:tcW w:w="2268" w:type="dxa"/>
            <w:vMerge/>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409" w:type="dxa"/>
            <w:vMerge/>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r>
      <w:tr w:rsidR="006728F0">
        <w:trPr>
          <w:trHeight w:val="83"/>
        </w:trPr>
        <w:tc>
          <w:tcPr>
            <w:tcW w:w="829"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3</w:t>
            </w:r>
          </w:p>
        </w:tc>
        <w:tc>
          <w:tcPr>
            <w:tcW w:w="4138"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制动性能(干态)</w:t>
            </w:r>
          </w:p>
        </w:tc>
        <w:tc>
          <w:tcPr>
            <w:tcW w:w="2268" w:type="dxa"/>
            <w:vMerge/>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409" w:type="dxa"/>
            <w:vMerge/>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r>
      <w:tr w:rsidR="006728F0">
        <w:trPr>
          <w:trHeight w:val="83"/>
        </w:trPr>
        <w:tc>
          <w:tcPr>
            <w:tcW w:w="829"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4</w:t>
            </w:r>
          </w:p>
        </w:tc>
        <w:tc>
          <w:tcPr>
            <w:tcW w:w="4138"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整车质量</w:t>
            </w:r>
          </w:p>
        </w:tc>
        <w:tc>
          <w:tcPr>
            <w:tcW w:w="2268" w:type="dxa"/>
            <w:vMerge/>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409" w:type="dxa"/>
            <w:vMerge/>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r>
      <w:tr w:rsidR="006728F0">
        <w:trPr>
          <w:trHeight w:val="83"/>
        </w:trPr>
        <w:tc>
          <w:tcPr>
            <w:tcW w:w="829"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5</w:t>
            </w:r>
          </w:p>
        </w:tc>
        <w:tc>
          <w:tcPr>
            <w:tcW w:w="4138"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尺寸限制</w:t>
            </w:r>
          </w:p>
        </w:tc>
        <w:tc>
          <w:tcPr>
            <w:tcW w:w="2268" w:type="dxa"/>
            <w:vMerge/>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409" w:type="dxa"/>
            <w:vMerge/>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r>
      <w:tr w:rsidR="006728F0">
        <w:trPr>
          <w:trHeight w:val="83"/>
        </w:trPr>
        <w:tc>
          <w:tcPr>
            <w:tcW w:w="829"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6</w:t>
            </w:r>
          </w:p>
        </w:tc>
        <w:tc>
          <w:tcPr>
            <w:tcW w:w="4138"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结构</w:t>
            </w:r>
          </w:p>
        </w:tc>
        <w:tc>
          <w:tcPr>
            <w:tcW w:w="2268" w:type="dxa"/>
            <w:vMerge/>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409" w:type="dxa"/>
            <w:vMerge/>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r>
      <w:tr w:rsidR="006728F0">
        <w:trPr>
          <w:trHeight w:val="83"/>
        </w:trPr>
        <w:tc>
          <w:tcPr>
            <w:tcW w:w="829"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7</w:t>
            </w:r>
          </w:p>
        </w:tc>
        <w:tc>
          <w:tcPr>
            <w:tcW w:w="4138"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车速提示音</w:t>
            </w:r>
          </w:p>
        </w:tc>
        <w:tc>
          <w:tcPr>
            <w:tcW w:w="2268" w:type="dxa"/>
            <w:vMerge/>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409" w:type="dxa"/>
            <w:vMerge/>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r>
      <w:tr w:rsidR="006728F0">
        <w:trPr>
          <w:trHeight w:val="83"/>
        </w:trPr>
        <w:tc>
          <w:tcPr>
            <w:tcW w:w="829"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8</w:t>
            </w:r>
          </w:p>
        </w:tc>
        <w:tc>
          <w:tcPr>
            <w:tcW w:w="4138"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电气装置</w:t>
            </w:r>
          </w:p>
        </w:tc>
        <w:tc>
          <w:tcPr>
            <w:tcW w:w="2268" w:type="dxa"/>
            <w:vMerge/>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409" w:type="dxa"/>
            <w:vMerge/>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r>
      <w:tr w:rsidR="006728F0">
        <w:trPr>
          <w:trHeight w:val="83"/>
        </w:trPr>
        <w:tc>
          <w:tcPr>
            <w:tcW w:w="829"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9</w:t>
            </w:r>
          </w:p>
        </w:tc>
        <w:tc>
          <w:tcPr>
            <w:tcW w:w="4138" w:type="dxa"/>
            <w:vAlign w:val="center"/>
          </w:tcPr>
          <w:p w:rsidR="006728F0" w:rsidRDefault="00910E1F">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充电器与蓄电池</w:t>
            </w:r>
          </w:p>
        </w:tc>
        <w:tc>
          <w:tcPr>
            <w:tcW w:w="2268" w:type="dxa"/>
            <w:vMerge/>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409" w:type="dxa"/>
            <w:vMerge/>
            <w:vAlign w:val="center"/>
          </w:tcPr>
          <w:p w:rsidR="006728F0" w:rsidRDefault="006728F0">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r>
    </w:tbl>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检验方法包括相关产品标准及试验方法标准。</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凡是注日期的文件，其随后所有的修改单（不包括勘误的内容）或修订版不适用于本细则。凡是不注日期的文件，其最新版本适用于本细则。</w:t>
      </w:r>
    </w:p>
    <w:p w:rsidR="006728F0" w:rsidRDefault="006728F0">
      <w:pPr>
        <w:autoSpaceDE/>
        <w:autoSpaceDN/>
        <w:spacing w:line="580" w:lineRule="exact"/>
        <w:ind w:firstLineChars="200" w:firstLine="641"/>
        <w:jc w:val="both"/>
        <w:rPr>
          <w:rFonts w:ascii="华文仿宋" w:eastAsia="华文仿宋" w:hAnsi="华文仿宋" w:cs="华文仿宋"/>
          <w:b/>
          <w:kern w:val="2"/>
          <w:sz w:val="32"/>
          <w:szCs w:val="32"/>
          <w:lang w:val="en-US" w:bidi="ar-SA"/>
        </w:rPr>
      </w:pPr>
    </w:p>
    <w:p w:rsidR="006728F0" w:rsidRDefault="00910E1F">
      <w:pPr>
        <w:autoSpaceDE/>
        <w:autoSpaceDN/>
        <w:spacing w:line="580" w:lineRule="exact"/>
        <w:ind w:firstLineChars="200" w:firstLine="641"/>
        <w:jc w:val="both"/>
        <w:rPr>
          <w:rFonts w:ascii="华文仿宋" w:eastAsia="华文仿宋" w:hAnsi="华文仿宋" w:cs="华文仿宋"/>
          <w:b/>
          <w:kern w:val="2"/>
          <w:sz w:val="32"/>
          <w:szCs w:val="32"/>
          <w:lang w:val="en-US" w:bidi="ar-SA"/>
        </w:rPr>
      </w:pPr>
      <w:r>
        <w:rPr>
          <w:rFonts w:ascii="华文仿宋" w:eastAsia="华文仿宋" w:hAnsi="华文仿宋" w:cs="华文仿宋" w:hint="eastAsia"/>
          <w:b/>
          <w:kern w:val="2"/>
          <w:sz w:val="32"/>
          <w:szCs w:val="32"/>
          <w:lang w:val="en-US" w:bidi="ar-SA"/>
        </w:rPr>
        <w:t>4.判定规则</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4.1依据标准</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GB 17761-2018  《电动自行车安全技术规范》</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现行有效的企业标准、团体标准、地方标准及产品明示质量要求</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4.2判定原则</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抽查电动自行车产品经检验，检验项目全部合格，判定为抽查产品合格；检验项目中任一项或一项以上不合格，判定为被抽查产品不合格。</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若被检产品明示的质量要求高于本细则中检验项目依据的标准要求时，应按被检产品明示的质量要求判定。</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若被检产品明示的质量要求低于本细则中检验项目依据的强制性标准要求时，应按照强制性标准要求判定。</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若被检产品明示的质量要求低于或包含细则中检验项目依据的推荐性标准要求时，应以被检产品明示的质量要求判定，但应在检验报告备注中进行说明。</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若被检产品明示的质量要求缺少本细则中检验项目依据的强制性标准要求时，应按照强制性标准要求判定。</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若被检产品明示的质量要求缺少本细则中检验项目依据的推荐性标准要求时，该项目不参与判定，但应在检验报告备注中进行说明。</w:t>
      </w:r>
    </w:p>
    <w:p w:rsidR="006728F0" w:rsidRDefault="00910E1F">
      <w:pPr>
        <w:autoSpaceDE/>
        <w:autoSpaceDN/>
        <w:spacing w:line="580" w:lineRule="exact"/>
        <w:ind w:firstLineChars="200" w:firstLine="641"/>
        <w:jc w:val="both"/>
        <w:rPr>
          <w:rFonts w:ascii="华文仿宋" w:eastAsia="华文仿宋" w:hAnsi="华文仿宋" w:cs="华文仿宋"/>
          <w:b/>
          <w:kern w:val="2"/>
          <w:sz w:val="32"/>
          <w:szCs w:val="32"/>
          <w:lang w:val="en-US" w:bidi="ar-SA"/>
        </w:rPr>
      </w:pPr>
      <w:r>
        <w:rPr>
          <w:rFonts w:ascii="华文仿宋" w:eastAsia="华文仿宋" w:hAnsi="华文仿宋" w:cs="华文仿宋" w:hint="eastAsia"/>
          <w:b/>
          <w:kern w:val="2"/>
          <w:sz w:val="32"/>
          <w:szCs w:val="32"/>
          <w:lang w:val="en-US" w:bidi="ar-SA"/>
        </w:rPr>
        <w:t>5.异议处理</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5.1对监督抽查程序有异议的，由任务下达部门核查相关证据后维持或者撤销原检验结果。</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5.2对检验结果有异议的，任务下达部门核查相关证据，能够证明</w:t>
      </w:r>
      <w:r>
        <w:rPr>
          <w:rFonts w:ascii="华文仿宋" w:eastAsia="华文仿宋" w:hAnsi="华文仿宋" w:cs="华文仿宋" w:hint="eastAsia"/>
          <w:kern w:val="2"/>
          <w:sz w:val="32"/>
          <w:szCs w:val="32"/>
          <w:lang w:val="en-US" w:bidi="ar-SA"/>
        </w:rPr>
        <w:lastRenderedPageBreak/>
        <w:t>原检验结果准确的，维持原检验结果；不能证明原检验结果准确，需要进行复检的，由任务下达部门指定复检机构进行复检，复检结果为本次监督抽查最终结论。</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5.3对样品信息有异议的，任务下达部门核查样品确认情况和生产企业提交证明材料后，维持或者撤销原检验结果。</w:t>
      </w:r>
    </w:p>
    <w:p w:rsidR="006728F0" w:rsidRDefault="00910E1F">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5.4本次电动自行车产品质量监督抽查无不予复检的情况。</w:t>
      </w:r>
    </w:p>
    <w:p w:rsidR="006728F0" w:rsidRDefault="006728F0">
      <w:pPr>
        <w:pStyle w:val="4"/>
        <w:tabs>
          <w:tab w:val="left" w:pos="967"/>
          <w:tab w:val="left" w:pos="969"/>
        </w:tabs>
        <w:spacing w:before="120" w:line="360" w:lineRule="auto"/>
        <w:ind w:left="0" w:firstLineChars="200" w:firstLine="420"/>
        <w:rPr>
          <w:rFonts w:ascii="华文仿宋" w:eastAsia="华文仿宋" w:hAnsi="华文仿宋" w:cs="华文仿宋"/>
          <w:kern w:val="2"/>
        </w:rPr>
      </w:pPr>
    </w:p>
    <w:sectPr w:rsidR="006728F0">
      <w:footerReference w:type="default" r:id="rId7"/>
      <w:pgSz w:w="11910" w:h="16840"/>
      <w:pgMar w:top="1440" w:right="1080" w:bottom="1440" w:left="1080" w:header="0" w:footer="9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320" w:rsidRDefault="00844320">
      <w:r>
        <w:separator/>
      </w:r>
    </w:p>
  </w:endnote>
  <w:endnote w:type="continuationSeparator" w:id="0">
    <w:p w:rsidR="00844320" w:rsidRDefault="0084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8F0" w:rsidRDefault="00844320">
    <w:pPr>
      <w:pStyle w:val="a3"/>
      <w:spacing w:line="14" w:lineRule="auto"/>
      <w:rPr>
        <w:sz w:val="20"/>
      </w:rPr>
    </w:pPr>
    <w:r>
      <w:rPr>
        <w:lang w:val="en-US" w:bidi="ar-SA"/>
      </w:rPr>
      <w:pict>
        <v:shapetype id="_x0000_t202" coordsize="21600,21600" o:spt="202" path="m,l,21600r21600,l21600,xe">
          <v:stroke joinstyle="miter"/>
          <v:path gradientshapeok="t" o:connecttype="rect"/>
        </v:shapetype>
        <v:shape id="Text Box 1" o:spid="_x0000_s2050" type="#_x0000_t202" style="position:absolute;margin-left:285.25pt;margin-top:782.5pt;width:24.85pt;height:13.65pt;z-index:-251658752;mso-position-horizontal-relative:page;mso-position-vertical-relative:page;mso-width-relative:page;mso-height-relative:page" o:gfxdata="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BYAAABkcnMvUEsBAhQAFAAAAAgAh07iQNq3aaTaAAAADQEA&#10;AA8AAAAAAAAAAQAgAAAAOAAAAGRycy9kb3ducmV2LnhtbFBLAQIUABQAAAAIAIdO4kDViWrqAgIA&#10;ABEEAAAOAAAAAAAAAAEAIAAAAD8BAABkcnMvZTJvRG9jLnhtbFBLBQYAAAAABgAGAFkBAACzBQAA&#10;AAA=&#10;" filled="f" stroked="f">
          <v:textbox inset="0,0,0,0">
            <w:txbxContent>
              <w:p w:rsidR="006728F0" w:rsidRDefault="00910E1F">
                <w:pPr>
                  <w:pStyle w:val="a3"/>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sidR="00532841">
                  <w:rPr>
                    <w:rFonts w:ascii="Times New Roman"/>
                    <w:noProof/>
                  </w:rPr>
                  <w:t>1</w:t>
                </w:r>
                <w:r>
                  <w:fldChar w:fldCharType="end"/>
                </w:r>
                <w:r>
                  <w:rPr>
                    <w:rFonts w:ascii="Times New Roman"/>
                  </w:rPr>
                  <w:t xml:space="preserve"> -</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320" w:rsidRDefault="00844320">
      <w:r>
        <w:separator/>
      </w:r>
    </w:p>
  </w:footnote>
  <w:footnote w:type="continuationSeparator" w:id="0">
    <w:p w:rsidR="00844320" w:rsidRDefault="008443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D74BB0"/>
    <w:rsid w:val="9D5F2C5D"/>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591F"/>
    <w:rsid w:val="00395BCD"/>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B0EB0"/>
    <w:rsid w:val="00FC734D"/>
    <w:rsid w:val="00FE13D5"/>
    <w:rsid w:val="00FE3B4C"/>
    <w:rsid w:val="0B007BD2"/>
    <w:rsid w:val="117D5540"/>
    <w:rsid w:val="14BD0584"/>
    <w:rsid w:val="1AD867BE"/>
    <w:rsid w:val="37F95C4C"/>
    <w:rsid w:val="3F7DE560"/>
    <w:rsid w:val="4C753AE6"/>
    <w:rsid w:val="4F174970"/>
    <w:rsid w:val="5E631DAD"/>
    <w:rsid w:val="68EE2392"/>
    <w:rsid w:val="6BB124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A47689F"/>
  <w15:docId w15:val="{C9B95528-26F5-4E42-A721-1C144D973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ind w:left="2121" w:right="2138"/>
      <w:jc w:val="center"/>
      <w:outlineLvl w:val="0"/>
    </w:pPr>
    <w:rPr>
      <w:b/>
      <w:bCs/>
      <w:sz w:val="32"/>
      <w:szCs w:val="32"/>
    </w:rPr>
  </w:style>
  <w:style w:type="paragraph" w:styleId="2">
    <w:name w:val="heading 2"/>
    <w:basedOn w:val="a"/>
    <w:next w:val="a"/>
    <w:uiPriority w:val="1"/>
    <w:qFormat/>
    <w:pPr>
      <w:ind w:left="789"/>
      <w:outlineLvl w:val="1"/>
    </w:pPr>
    <w:rPr>
      <w:b/>
      <w:bCs/>
      <w:sz w:val="28"/>
      <w:szCs w:val="28"/>
    </w:rPr>
  </w:style>
  <w:style w:type="paragraph" w:styleId="3">
    <w:name w:val="heading 3"/>
    <w:basedOn w:val="a"/>
    <w:next w:val="a"/>
    <w:uiPriority w:val="1"/>
    <w:qFormat/>
    <w:pPr>
      <w:spacing w:before="186"/>
      <w:ind w:left="227"/>
      <w:outlineLvl w:val="2"/>
    </w:pPr>
    <w:rPr>
      <w:sz w:val="28"/>
      <w:szCs w:val="28"/>
    </w:rPr>
  </w:style>
  <w:style w:type="paragraph" w:styleId="4">
    <w:name w:val="heading 4"/>
    <w:basedOn w:val="a"/>
    <w:next w:val="a"/>
    <w:uiPriority w:val="1"/>
    <w:qFormat/>
    <w:pPr>
      <w:ind w:left="862"/>
      <w:outlineLvl w:val="3"/>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Pr>
      <w:sz w:val="21"/>
      <w:szCs w:val="21"/>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0">
    <w:name w:val="列出段落1"/>
    <w:basedOn w:val="a"/>
    <w:uiPriority w:val="1"/>
    <w:qFormat/>
    <w:pPr>
      <w:ind w:left="227" w:firstLine="420"/>
    </w:pPr>
  </w:style>
  <w:style w:type="paragraph" w:customStyle="1" w:styleId="TableParagraph">
    <w:name w:val="Table Paragraph"/>
    <w:basedOn w:val="a"/>
    <w:uiPriority w:val="1"/>
    <w:qFormat/>
  </w:style>
  <w:style w:type="character" w:customStyle="1" w:styleId="a6">
    <w:name w:val="批注框文本 字符"/>
    <w:basedOn w:val="a0"/>
    <w:link w:val="a5"/>
    <w:uiPriority w:val="99"/>
    <w:semiHidden/>
    <w:qFormat/>
    <w:rPr>
      <w:rFonts w:ascii="宋体" w:eastAsia="宋体" w:hAnsi="宋体" w:cs="宋体"/>
      <w:sz w:val="18"/>
      <w:szCs w:val="18"/>
      <w:lang w:val="zh-CN" w:eastAsia="zh-CN" w:bidi="zh-CN"/>
    </w:rPr>
  </w:style>
  <w:style w:type="character" w:customStyle="1" w:styleId="aa">
    <w:name w:val="页眉 字符"/>
    <w:basedOn w:val="a0"/>
    <w:link w:val="a9"/>
    <w:uiPriority w:val="99"/>
    <w:qFormat/>
    <w:rPr>
      <w:rFonts w:ascii="宋体" w:eastAsia="宋体" w:hAnsi="宋体" w:cs="宋体"/>
      <w:sz w:val="18"/>
      <w:szCs w:val="18"/>
      <w:lang w:val="zh-CN" w:eastAsia="zh-CN" w:bidi="zh-CN"/>
    </w:rPr>
  </w:style>
  <w:style w:type="character" w:customStyle="1" w:styleId="a8">
    <w:name w:val="页脚 字符"/>
    <w:basedOn w:val="a0"/>
    <w:link w:val="a7"/>
    <w:uiPriority w:val="99"/>
    <w:qFormat/>
    <w:rPr>
      <w:rFonts w:ascii="宋体" w:eastAsia="宋体" w:hAnsi="宋体" w:cs="宋体"/>
      <w:sz w:val="18"/>
      <w:szCs w:val="18"/>
      <w:lang w:val="zh-CN" w:eastAsia="zh-CN" w:bidi="zh-CN"/>
    </w:rPr>
  </w:style>
  <w:style w:type="character" w:customStyle="1" w:styleId="a4">
    <w:name w:val="正文文本 字符"/>
    <w:basedOn w:val="a0"/>
    <w:link w:val="a3"/>
    <w:uiPriority w:val="1"/>
    <w:qFormat/>
    <w:rPr>
      <w:rFonts w:ascii="宋体" w:eastAsia="宋体" w:hAnsi="宋体" w:cs="宋体"/>
      <w:sz w:val="21"/>
      <w:szCs w:val="21"/>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218</Words>
  <Characters>1245</Characters>
  <Application>Microsoft Office Word</Application>
  <DocSecurity>0</DocSecurity>
  <Lines>10</Lines>
  <Paragraphs>2</Paragraphs>
  <ScaleCrop>false</ScaleCrop>
  <Company>合肥产品质量监督检验研究院</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安全帽产品质量监督抽查实施细则</dc:title>
  <dc:creator>合肥质检院，程浩</dc:creator>
  <cp:lastModifiedBy>8618552690155</cp:lastModifiedBy>
  <cp:revision>138</cp:revision>
  <dcterms:created xsi:type="dcterms:W3CDTF">2020-07-30T06:43:00Z</dcterms:created>
  <dcterms:modified xsi:type="dcterms:W3CDTF">2023-03-13T08:43:00Z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2052-5.1.1.7676</vt:lpwstr>
  </property>
  <property fmtid="{D5CDD505-2E9C-101B-9397-08002B2CF9AE}" pid="6" name="ICV">
    <vt:lpwstr>302D88780928AF5A08E82263F29F0AA4</vt:lpwstr>
  </property>
</Properties>
</file>