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94" w:beforeLines="51" w:after="281" w:afterLines="74" w:line="580" w:lineRule="exact"/>
        <w:jc w:val="center"/>
        <w:rPr>
          <w:rFonts w:ascii="Times New Roman" w:hAnsi="Times New Roman" w:eastAsia="方正小标宋_GBK"/>
          <w:b/>
          <w:spacing w:val="-30"/>
          <w:sz w:val="44"/>
          <w:szCs w:val="44"/>
        </w:rPr>
      </w:pPr>
      <w:r>
        <w:rPr>
          <w:rFonts w:hint="eastAsia" w:ascii="Times New Roman" w:hAnsi="Times New Roman" w:eastAsia="方正小标宋_GBK"/>
          <w:spacing w:val="-30"/>
          <w:kern w:val="0"/>
          <w:sz w:val="44"/>
          <w:szCs w:val="44"/>
        </w:rPr>
        <w:t>《扬州市促进高质量充分就业总体方案（2023-2025年）》任务分解表（</w:t>
      </w:r>
      <w:r>
        <w:rPr>
          <w:rFonts w:hint="eastAsia" w:ascii="Times New Roman" w:hAnsi="Times New Roman" w:eastAsia="方正小标宋_GBK"/>
          <w:spacing w:val="-30"/>
          <w:kern w:val="0"/>
          <w:sz w:val="44"/>
          <w:szCs w:val="44"/>
          <w:lang w:val="en-US" w:eastAsia="zh-CN"/>
        </w:rPr>
        <w:t>征求意见</w:t>
      </w:r>
      <w:r>
        <w:rPr>
          <w:rFonts w:hint="eastAsia" w:ascii="Times New Roman" w:hAnsi="Times New Roman" w:eastAsia="方正小标宋_GBK"/>
          <w:spacing w:val="-30"/>
          <w:kern w:val="0"/>
          <w:sz w:val="44"/>
          <w:szCs w:val="44"/>
        </w:rPr>
        <w:t>稿）</w:t>
      </w:r>
    </w:p>
    <w:tbl>
      <w:tblPr>
        <w:tblStyle w:val="7"/>
        <w:tblW w:w="143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2"/>
        <w:gridCol w:w="2816"/>
        <w:gridCol w:w="2824"/>
        <w:gridCol w:w="18"/>
        <w:gridCol w:w="79"/>
        <w:gridCol w:w="3005"/>
        <w:gridCol w:w="16"/>
        <w:gridCol w:w="3024"/>
        <w:gridCol w:w="1019"/>
        <w:gridCol w:w="10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 w:hRule="atLeast"/>
          <w:tblHeader/>
          <w:jc w:val="center"/>
        </w:trPr>
        <w:tc>
          <w:tcPr>
            <w:tcW w:w="472" w:type="dxa"/>
            <w:vMerge w:val="restart"/>
            <w:tcBorders>
              <w:tl2br w:val="nil"/>
              <w:tr2bl w:val="nil"/>
            </w:tcBorders>
            <w:vAlign w:val="center"/>
          </w:tcPr>
          <w:p>
            <w:pPr>
              <w:wordWrap w:val="0"/>
              <w:spacing w:line="240" w:lineRule="exact"/>
              <w:jc w:val="center"/>
              <w:rPr>
                <w:rFonts w:ascii="Times New Roman" w:hAnsi="Times New Roman" w:eastAsia="黑体" w:cs="黑体"/>
                <w:color w:val="000000"/>
                <w:sz w:val="21"/>
                <w:szCs w:val="21"/>
              </w:rPr>
            </w:pPr>
            <w:r>
              <w:rPr>
                <w:rFonts w:hint="eastAsia" w:ascii="Times New Roman" w:hAnsi="Times New Roman" w:eastAsia="黑体" w:cs="黑体"/>
                <w:color w:val="000000"/>
                <w:sz w:val="21"/>
                <w:szCs w:val="21"/>
              </w:rPr>
              <w:t>序号</w:t>
            </w:r>
          </w:p>
        </w:tc>
        <w:tc>
          <w:tcPr>
            <w:tcW w:w="2816" w:type="dxa"/>
            <w:vMerge w:val="restart"/>
            <w:tcBorders>
              <w:tl2br w:val="nil"/>
              <w:tr2bl w:val="nil"/>
            </w:tcBorders>
            <w:vAlign w:val="center"/>
          </w:tcPr>
          <w:p>
            <w:pPr>
              <w:wordWrap w:val="0"/>
              <w:spacing w:line="280" w:lineRule="exact"/>
              <w:jc w:val="center"/>
              <w:rPr>
                <w:rFonts w:ascii="Times New Roman" w:hAnsi="Times New Roman" w:eastAsia="楷体" w:cs="楷体"/>
                <w:color w:val="000000"/>
                <w:sz w:val="21"/>
                <w:szCs w:val="21"/>
              </w:rPr>
            </w:pPr>
            <w:r>
              <w:rPr>
                <w:rFonts w:hint="eastAsia" w:ascii="Times New Roman" w:hAnsi="Times New Roman" w:eastAsia="黑体" w:cs="黑体"/>
                <w:color w:val="000000"/>
                <w:sz w:val="21"/>
                <w:szCs w:val="21"/>
              </w:rPr>
              <w:t>目标任务</w:t>
            </w:r>
          </w:p>
        </w:tc>
        <w:tc>
          <w:tcPr>
            <w:tcW w:w="8966" w:type="dxa"/>
            <w:gridSpan w:val="6"/>
            <w:tcBorders>
              <w:tl2br w:val="nil"/>
              <w:tr2bl w:val="nil"/>
            </w:tcBorders>
            <w:vAlign w:val="center"/>
          </w:tcPr>
          <w:p>
            <w:pPr>
              <w:wordWrap w:val="0"/>
              <w:spacing w:line="280" w:lineRule="exact"/>
              <w:jc w:val="center"/>
              <w:rPr>
                <w:rFonts w:ascii="Times New Roman" w:hAnsi="Times New Roman" w:eastAsia="黑体" w:cs="黑体"/>
                <w:color w:val="000000"/>
                <w:sz w:val="21"/>
                <w:szCs w:val="21"/>
              </w:rPr>
            </w:pPr>
            <w:r>
              <w:rPr>
                <w:rFonts w:hint="eastAsia" w:ascii="Times New Roman" w:hAnsi="Times New Roman" w:eastAsia="黑体" w:cs="黑体"/>
                <w:color w:val="000000"/>
                <w:sz w:val="21"/>
                <w:szCs w:val="21"/>
              </w:rPr>
              <w:t>具体举措及目标</w:t>
            </w:r>
          </w:p>
        </w:tc>
        <w:tc>
          <w:tcPr>
            <w:tcW w:w="1019" w:type="dxa"/>
            <w:vMerge w:val="restart"/>
            <w:tcBorders>
              <w:tl2br w:val="nil"/>
              <w:tr2bl w:val="nil"/>
            </w:tcBorders>
            <w:vAlign w:val="center"/>
          </w:tcPr>
          <w:p>
            <w:pPr>
              <w:wordWrap w:val="0"/>
              <w:spacing w:line="280" w:lineRule="exact"/>
              <w:jc w:val="center"/>
              <w:rPr>
                <w:rFonts w:ascii="Times New Roman" w:hAnsi="Times New Roman" w:eastAsia="黑体" w:cs="黑体"/>
                <w:color w:val="000000"/>
                <w:sz w:val="21"/>
                <w:szCs w:val="21"/>
              </w:rPr>
            </w:pPr>
            <w:r>
              <w:rPr>
                <w:rFonts w:hint="eastAsia" w:ascii="Times New Roman" w:hAnsi="Times New Roman" w:eastAsia="黑体" w:cs="黑体"/>
                <w:color w:val="000000"/>
                <w:sz w:val="21"/>
                <w:szCs w:val="21"/>
              </w:rPr>
              <w:t>牵头</w:t>
            </w:r>
          </w:p>
          <w:p>
            <w:pPr>
              <w:wordWrap w:val="0"/>
              <w:spacing w:line="280" w:lineRule="exact"/>
              <w:jc w:val="center"/>
              <w:rPr>
                <w:rFonts w:ascii="Times New Roman" w:hAnsi="Times New Roman" w:eastAsia="黑体" w:cs="黑体"/>
                <w:color w:val="000000"/>
                <w:sz w:val="21"/>
                <w:szCs w:val="21"/>
              </w:rPr>
            </w:pPr>
            <w:r>
              <w:rPr>
                <w:rFonts w:hint="eastAsia" w:ascii="Times New Roman" w:hAnsi="Times New Roman" w:eastAsia="黑体" w:cs="黑体"/>
                <w:color w:val="000000"/>
                <w:sz w:val="21"/>
                <w:szCs w:val="21"/>
              </w:rPr>
              <w:t>部门</w:t>
            </w:r>
          </w:p>
        </w:tc>
        <w:tc>
          <w:tcPr>
            <w:tcW w:w="1044" w:type="dxa"/>
            <w:vMerge w:val="restart"/>
            <w:tcBorders>
              <w:tl2br w:val="nil"/>
              <w:tr2bl w:val="nil"/>
            </w:tcBorders>
            <w:vAlign w:val="center"/>
          </w:tcPr>
          <w:p>
            <w:pPr>
              <w:wordWrap w:val="0"/>
              <w:spacing w:line="240" w:lineRule="exact"/>
              <w:jc w:val="center"/>
              <w:rPr>
                <w:rFonts w:ascii="Times New Roman" w:hAnsi="Times New Roman" w:eastAsia="黑体" w:cs="黑体"/>
                <w:color w:val="000000"/>
                <w:sz w:val="21"/>
                <w:szCs w:val="21"/>
              </w:rPr>
            </w:pPr>
            <w:r>
              <w:rPr>
                <w:rFonts w:hint="eastAsia" w:ascii="Times New Roman" w:hAnsi="Times New Roman" w:eastAsia="黑体" w:cs="黑体"/>
                <w:color w:val="000000"/>
                <w:sz w:val="21"/>
                <w:szCs w:val="21"/>
              </w:rPr>
              <w:t>参加</w:t>
            </w:r>
          </w:p>
          <w:p>
            <w:pPr>
              <w:wordWrap w:val="0"/>
              <w:spacing w:line="240" w:lineRule="exact"/>
              <w:jc w:val="center"/>
              <w:rPr>
                <w:rFonts w:ascii="Times New Roman" w:hAnsi="Times New Roman" w:eastAsia="黑体" w:cs="黑体"/>
                <w:color w:val="000000"/>
                <w:sz w:val="21"/>
                <w:szCs w:val="21"/>
              </w:rPr>
            </w:pPr>
            <w:r>
              <w:rPr>
                <w:rFonts w:hint="eastAsia" w:ascii="Times New Roman" w:hAnsi="Times New Roman" w:eastAsia="黑体" w:cs="黑体"/>
                <w:color w:val="000000"/>
                <w:sz w:val="21"/>
                <w:szCs w:val="21"/>
              </w:rPr>
              <w:t>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5" w:hRule="atLeast"/>
          <w:tblHeader/>
          <w:jc w:val="center"/>
        </w:trPr>
        <w:tc>
          <w:tcPr>
            <w:tcW w:w="472" w:type="dxa"/>
            <w:vMerge w:val="continue"/>
            <w:tcBorders>
              <w:tl2br w:val="nil"/>
              <w:tr2bl w:val="nil"/>
            </w:tcBorders>
            <w:vAlign w:val="center"/>
          </w:tcPr>
          <w:p>
            <w:pPr>
              <w:wordWrap w:val="0"/>
              <w:spacing w:line="280" w:lineRule="exact"/>
              <w:jc w:val="center"/>
              <w:rPr>
                <w:rFonts w:ascii="Times New Roman" w:hAnsi="Times New Roman" w:eastAsia="黑体" w:cs="黑体"/>
                <w:color w:val="000000"/>
                <w:sz w:val="21"/>
                <w:szCs w:val="21"/>
              </w:rPr>
            </w:pPr>
          </w:p>
        </w:tc>
        <w:tc>
          <w:tcPr>
            <w:tcW w:w="2816" w:type="dxa"/>
            <w:vMerge w:val="continue"/>
            <w:tcBorders>
              <w:tl2br w:val="nil"/>
              <w:tr2bl w:val="nil"/>
            </w:tcBorders>
            <w:vAlign w:val="center"/>
          </w:tcPr>
          <w:p>
            <w:pPr>
              <w:wordWrap w:val="0"/>
              <w:spacing w:line="280" w:lineRule="exact"/>
              <w:ind w:firstLine="420" w:firstLineChars="200"/>
              <w:jc w:val="center"/>
              <w:rPr>
                <w:rFonts w:ascii="Times New Roman" w:hAnsi="Times New Roman" w:eastAsia="楷体" w:cs="楷体"/>
                <w:color w:val="000000"/>
                <w:sz w:val="21"/>
                <w:szCs w:val="21"/>
              </w:rPr>
            </w:pPr>
          </w:p>
        </w:tc>
        <w:tc>
          <w:tcPr>
            <w:tcW w:w="2842" w:type="dxa"/>
            <w:gridSpan w:val="2"/>
            <w:tcBorders>
              <w:tl2br w:val="nil"/>
              <w:tr2bl w:val="nil"/>
            </w:tcBorders>
            <w:vAlign w:val="center"/>
          </w:tcPr>
          <w:p>
            <w:pPr>
              <w:wordWrap w:val="0"/>
              <w:spacing w:line="280" w:lineRule="exact"/>
              <w:jc w:val="center"/>
              <w:rPr>
                <w:rFonts w:ascii="Times New Roman" w:hAnsi="Times New Roman" w:eastAsia="黑体" w:cs="黑体"/>
                <w:color w:val="000000"/>
                <w:sz w:val="21"/>
                <w:szCs w:val="21"/>
              </w:rPr>
            </w:pPr>
            <w:r>
              <w:rPr>
                <w:rFonts w:hint="eastAsia" w:ascii="Times New Roman" w:hAnsi="Times New Roman" w:eastAsia="黑体" w:cs="黑体"/>
                <w:color w:val="000000"/>
                <w:sz w:val="21"/>
                <w:szCs w:val="21"/>
              </w:rPr>
              <w:t>2023年度</w:t>
            </w:r>
          </w:p>
        </w:tc>
        <w:tc>
          <w:tcPr>
            <w:tcW w:w="3084" w:type="dxa"/>
            <w:gridSpan w:val="2"/>
            <w:tcBorders>
              <w:tl2br w:val="nil"/>
              <w:tr2bl w:val="nil"/>
            </w:tcBorders>
            <w:vAlign w:val="center"/>
          </w:tcPr>
          <w:p>
            <w:pPr>
              <w:wordWrap w:val="0"/>
              <w:spacing w:line="280" w:lineRule="exact"/>
              <w:jc w:val="center"/>
              <w:rPr>
                <w:rFonts w:ascii="Times New Roman" w:hAnsi="Times New Roman" w:eastAsia="黑体" w:cs="黑体"/>
                <w:color w:val="000000"/>
                <w:sz w:val="21"/>
                <w:szCs w:val="21"/>
              </w:rPr>
            </w:pPr>
            <w:r>
              <w:rPr>
                <w:rFonts w:hint="eastAsia" w:ascii="Times New Roman" w:hAnsi="Times New Roman" w:eastAsia="黑体" w:cs="黑体"/>
                <w:color w:val="000000"/>
                <w:sz w:val="21"/>
                <w:szCs w:val="21"/>
              </w:rPr>
              <w:t>2024年度</w:t>
            </w:r>
          </w:p>
        </w:tc>
        <w:tc>
          <w:tcPr>
            <w:tcW w:w="3040" w:type="dxa"/>
            <w:gridSpan w:val="2"/>
            <w:tcBorders>
              <w:tl2br w:val="nil"/>
              <w:tr2bl w:val="nil"/>
            </w:tcBorders>
            <w:vAlign w:val="center"/>
          </w:tcPr>
          <w:p>
            <w:pPr>
              <w:wordWrap w:val="0"/>
              <w:spacing w:line="280" w:lineRule="exact"/>
              <w:jc w:val="center"/>
              <w:rPr>
                <w:rFonts w:ascii="Times New Roman" w:hAnsi="Times New Roman" w:eastAsia="黑体" w:cs="黑体"/>
                <w:color w:val="000000"/>
                <w:sz w:val="21"/>
                <w:szCs w:val="21"/>
              </w:rPr>
            </w:pPr>
            <w:r>
              <w:rPr>
                <w:rFonts w:hint="eastAsia" w:ascii="Times New Roman" w:hAnsi="Times New Roman" w:eastAsia="黑体" w:cs="黑体"/>
                <w:color w:val="000000"/>
                <w:sz w:val="21"/>
                <w:szCs w:val="21"/>
              </w:rPr>
              <w:t>2025年度</w:t>
            </w:r>
          </w:p>
        </w:tc>
        <w:tc>
          <w:tcPr>
            <w:tcW w:w="1019" w:type="dxa"/>
            <w:vMerge w:val="continue"/>
            <w:tcBorders>
              <w:tl2br w:val="nil"/>
              <w:tr2bl w:val="nil"/>
            </w:tcBorders>
            <w:vAlign w:val="center"/>
          </w:tcPr>
          <w:p>
            <w:pPr>
              <w:wordWrap w:val="0"/>
              <w:spacing w:line="280" w:lineRule="exact"/>
              <w:jc w:val="center"/>
              <w:rPr>
                <w:rFonts w:ascii="Times New Roman" w:hAnsi="Times New Roman" w:eastAsia="黑体" w:cs="黑体"/>
                <w:color w:val="000000"/>
                <w:sz w:val="21"/>
                <w:szCs w:val="21"/>
              </w:rPr>
            </w:pPr>
          </w:p>
        </w:tc>
        <w:tc>
          <w:tcPr>
            <w:tcW w:w="1044" w:type="dxa"/>
            <w:vMerge w:val="continue"/>
            <w:tcBorders>
              <w:tl2br w:val="nil"/>
              <w:tr2bl w:val="nil"/>
            </w:tcBorders>
            <w:vAlign w:val="center"/>
          </w:tcPr>
          <w:p>
            <w:pPr>
              <w:wordWrap w:val="0"/>
              <w:spacing w:line="280" w:lineRule="exact"/>
              <w:rPr>
                <w:rFonts w:ascii="Times New Roman" w:hAnsi="Times New Roman" w:eastAsia="黑体" w:cs="黑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4" w:hRule="atLeast"/>
          <w:jc w:val="center"/>
        </w:trPr>
        <w:tc>
          <w:tcPr>
            <w:tcW w:w="472"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1</w:t>
            </w:r>
          </w:p>
        </w:tc>
        <w:tc>
          <w:tcPr>
            <w:tcW w:w="2816" w:type="dxa"/>
            <w:tcBorders>
              <w:tl2br w:val="nil"/>
              <w:tr2bl w:val="nil"/>
            </w:tcBorders>
            <w:vAlign w:val="center"/>
          </w:tcPr>
          <w:p>
            <w:pPr>
              <w:wordWrap w:val="0"/>
              <w:spacing w:line="280" w:lineRule="exact"/>
              <w:ind w:firstLine="420" w:firstLineChars="200"/>
              <w:jc w:val="left"/>
              <w:rPr>
                <w:rFonts w:ascii="Times New Roman" w:hAnsi="Times New Roman" w:eastAsia="楷体" w:cs="楷体"/>
                <w:color w:val="000000"/>
                <w:sz w:val="21"/>
                <w:szCs w:val="21"/>
              </w:rPr>
            </w:pPr>
            <w:r>
              <w:rPr>
                <w:rFonts w:hint="eastAsia" w:ascii="Times New Roman" w:hAnsi="Times New Roman" w:eastAsia="楷体" w:cs="楷体"/>
                <w:color w:val="000000"/>
                <w:sz w:val="21"/>
                <w:szCs w:val="21"/>
              </w:rPr>
              <w:t>强化经济发展就业导向，加强产业政策与就业政策协调配合，市级先进制造业发展引导资金优先投入开发更多制造业领域技能型就业岗位的项目，市级现代服务业引导资金优先投入为劳动者就业提供更大空间和更多选择的项目，市级商务发展专项资金优先投入稳定和扩大就业容量的项目。</w:t>
            </w:r>
          </w:p>
        </w:tc>
        <w:tc>
          <w:tcPr>
            <w:tcW w:w="8966" w:type="dxa"/>
            <w:gridSpan w:val="6"/>
            <w:tcBorders>
              <w:tl2br w:val="nil"/>
              <w:tr2bl w:val="nil"/>
            </w:tcBorders>
            <w:vAlign w:val="center"/>
          </w:tcPr>
          <w:p>
            <w:pPr>
              <w:pStyle w:val="2"/>
              <w:spacing w:line="240" w:lineRule="exact"/>
              <w:ind w:firstLine="420" w:firstLineChars="200"/>
              <w:rPr>
                <w:rFonts w:ascii="Times New Roman" w:hAnsi="Times New Roman" w:cs="宋体"/>
                <w:bCs/>
                <w:sz w:val="21"/>
                <w:szCs w:val="21"/>
              </w:rPr>
            </w:pPr>
            <w:r>
              <w:rPr>
                <w:rFonts w:hint="eastAsia" w:ascii="Times New Roman" w:hAnsi="Times New Roman" w:cs="宋体"/>
                <w:bCs/>
                <w:sz w:val="21"/>
                <w:szCs w:val="21"/>
              </w:rPr>
              <w:t>1、</w:t>
            </w:r>
            <w:r>
              <w:rPr>
                <w:rFonts w:hint="eastAsia" w:ascii="Times New Roman" w:hAnsi="Times New Roman" w:cs="宋体"/>
                <w:sz w:val="21"/>
                <w:szCs w:val="21"/>
              </w:rPr>
              <w:t>鼓励企业聘用高技能人才开展关键工艺改进与创新，根据实施内容和研发投入对企业进行奖补；鼓励企业通过实施技术改造和智能化改造项目，创造更多技能型就业岗位，提</w:t>
            </w:r>
            <w:r>
              <w:rPr>
                <w:rFonts w:hint="eastAsia" w:ascii="Times New Roman" w:hAnsi="Times New Roman" w:cs="宋体"/>
                <w:bCs/>
                <w:sz w:val="21"/>
                <w:szCs w:val="21"/>
              </w:rPr>
              <w:t>高技改资金对智能化项目的奖补力度，对实施智能化改造的企业根据相关投入进行奖</w:t>
            </w:r>
            <w:bookmarkStart w:id="0" w:name="_GoBack"/>
            <w:bookmarkEnd w:id="0"/>
            <w:r>
              <w:rPr>
                <w:rFonts w:hint="eastAsia" w:ascii="Times New Roman" w:hAnsi="Times New Roman" w:cs="宋体"/>
                <w:bCs/>
                <w:sz w:val="21"/>
                <w:szCs w:val="21"/>
              </w:rPr>
              <w:t>补。</w:t>
            </w:r>
          </w:p>
          <w:p>
            <w:pPr>
              <w:pStyle w:val="2"/>
              <w:spacing w:line="240" w:lineRule="exact"/>
              <w:ind w:firstLine="420" w:firstLineChars="200"/>
              <w:rPr>
                <w:rFonts w:ascii="Times New Roman" w:hAnsi="Times New Roman" w:cs="宋体"/>
                <w:sz w:val="21"/>
                <w:szCs w:val="21"/>
              </w:rPr>
            </w:pPr>
            <w:r>
              <w:rPr>
                <w:rFonts w:hint="eastAsia" w:ascii="Times New Roman" w:hAnsi="Times New Roman" w:cs="宋体"/>
                <w:bCs/>
                <w:sz w:val="21"/>
                <w:szCs w:val="21"/>
              </w:rPr>
              <w:t>2、用足用好市级</w:t>
            </w:r>
            <w:r>
              <w:rPr>
                <w:rFonts w:hint="eastAsia" w:ascii="Times New Roman" w:hAnsi="Times New Roman" w:cs="宋体"/>
                <w:sz w:val="21"/>
                <w:szCs w:val="21"/>
              </w:rPr>
              <w:t>现代服务业专项资金，优先扶持优质项目发展。将就业贡献纳入专项资金项目竣工验收指标体系。</w:t>
            </w:r>
          </w:p>
          <w:p>
            <w:pPr>
              <w:spacing w:line="240" w:lineRule="exact"/>
              <w:ind w:firstLine="420" w:firstLineChars="200"/>
              <w:rPr>
                <w:rFonts w:ascii="Times New Roman" w:hAnsi="Times New Roman" w:cs="宋体"/>
                <w:sz w:val="21"/>
                <w:szCs w:val="21"/>
                <w:highlight w:val="yellow"/>
              </w:rPr>
            </w:pPr>
            <w:r>
              <w:rPr>
                <w:rFonts w:hint="eastAsia" w:ascii="Times New Roman" w:hAnsi="Times New Roman" w:cs="宋体"/>
                <w:sz w:val="21"/>
                <w:szCs w:val="21"/>
              </w:rPr>
              <w:t>3、优化市级商务发展资金支持扩大就业类项目，发展连锁经营、首店经济，鼓励本土电子商务企业加快发展和建设直播基地。</w:t>
            </w:r>
          </w:p>
        </w:tc>
        <w:tc>
          <w:tcPr>
            <w:tcW w:w="1019"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发改委</w:t>
            </w:r>
          </w:p>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工信局</w:t>
            </w:r>
          </w:p>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商务局</w:t>
            </w:r>
          </w:p>
        </w:tc>
        <w:tc>
          <w:tcPr>
            <w:tcW w:w="1044"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财政局</w:t>
            </w:r>
          </w:p>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人社局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4" w:hRule="atLeast"/>
          <w:jc w:val="center"/>
        </w:trPr>
        <w:tc>
          <w:tcPr>
            <w:tcW w:w="472"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2</w:t>
            </w:r>
          </w:p>
        </w:tc>
        <w:tc>
          <w:tcPr>
            <w:tcW w:w="2816" w:type="dxa"/>
            <w:tcBorders>
              <w:tl2br w:val="nil"/>
              <w:tr2bl w:val="nil"/>
            </w:tcBorders>
            <w:vAlign w:val="center"/>
          </w:tcPr>
          <w:p>
            <w:pPr>
              <w:wordWrap w:val="0"/>
              <w:spacing w:line="280" w:lineRule="exact"/>
              <w:ind w:firstLine="420" w:firstLineChars="200"/>
              <w:jc w:val="left"/>
              <w:rPr>
                <w:rFonts w:ascii="Times New Roman" w:hAnsi="Times New Roman" w:eastAsia="楷体" w:cs="楷体"/>
                <w:color w:val="000000"/>
                <w:sz w:val="21"/>
                <w:szCs w:val="21"/>
              </w:rPr>
            </w:pPr>
            <w:r>
              <w:rPr>
                <w:rFonts w:hint="eastAsia" w:ascii="Times New Roman" w:hAnsi="Times New Roman" w:eastAsia="楷体" w:cs="楷体"/>
                <w:color w:val="000000"/>
                <w:sz w:val="21"/>
                <w:szCs w:val="21"/>
              </w:rPr>
              <w:t>推动农业全产业链融合发展，吸纳带动更多就业。</w:t>
            </w:r>
          </w:p>
        </w:tc>
        <w:tc>
          <w:tcPr>
            <w:tcW w:w="2842" w:type="dxa"/>
            <w:gridSpan w:val="2"/>
            <w:tcBorders>
              <w:tl2br w:val="nil"/>
              <w:tr2bl w:val="nil"/>
            </w:tcBorders>
            <w:vAlign w:val="center"/>
          </w:tcPr>
          <w:p>
            <w:pPr>
              <w:pStyle w:val="10"/>
              <w:wordWrap w:val="0"/>
              <w:autoSpaceDE w:val="0"/>
              <w:autoSpaceDN w:val="0"/>
              <w:spacing w:line="23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color w:val="000000"/>
                <w:sz w:val="21"/>
                <w:szCs w:val="21"/>
              </w:rPr>
              <w:t>1、</w:t>
            </w:r>
            <w:r>
              <w:rPr>
                <w:rFonts w:hint="eastAsia" w:cs="宋体" w:asciiTheme="minorEastAsia" w:hAnsiTheme="minorEastAsia" w:eastAsiaTheme="minorEastAsia"/>
                <w:sz w:val="21"/>
                <w:szCs w:val="21"/>
              </w:rPr>
              <w:t>启动实施农业农村重大项目三年行动，切实以重大项目实施带动更多就业，2023年实施农业农村重大项目85个。</w:t>
            </w:r>
          </w:p>
          <w:p>
            <w:pPr>
              <w:pStyle w:val="10"/>
              <w:wordWrap w:val="0"/>
              <w:autoSpaceDE w:val="0"/>
              <w:autoSpaceDN w:val="0"/>
              <w:spacing w:line="23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2、强化龙头带动，培育市级农业龙头企业6家。</w:t>
            </w:r>
          </w:p>
          <w:p>
            <w:pPr>
              <w:pStyle w:val="10"/>
              <w:wordWrap w:val="0"/>
              <w:autoSpaceDE w:val="0"/>
              <w:autoSpaceDN w:val="0"/>
              <w:spacing w:line="23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3、积极培育农村创业创新示范典型，举办“扬州市农村创业创新大赛”等系列活动，选树10个农村“双创”典型。</w:t>
            </w:r>
          </w:p>
          <w:p>
            <w:pPr>
              <w:pStyle w:val="10"/>
              <w:wordWrap w:val="0"/>
              <w:autoSpaceDE w:val="0"/>
              <w:autoSpaceDN w:val="0"/>
              <w:spacing w:line="230" w:lineRule="exact"/>
              <w:ind w:firstLine="420" w:firstLineChars="200"/>
              <w:rPr>
                <w:rFonts w:cs="宋体" w:asciiTheme="minorEastAsia" w:hAnsiTheme="minorEastAsia" w:eastAsiaTheme="minorEastAsia"/>
                <w:color w:val="000000"/>
                <w:sz w:val="21"/>
                <w:szCs w:val="21"/>
              </w:rPr>
            </w:pPr>
            <w:r>
              <w:rPr>
                <w:rFonts w:hint="eastAsia" w:cs="宋体" w:asciiTheme="minorEastAsia" w:hAnsiTheme="minorEastAsia" w:eastAsiaTheme="minorEastAsia"/>
                <w:sz w:val="21"/>
                <w:szCs w:val="21"/>
              </w:rPr>
              <w:t>4、注重高素质农民培育，分类开展专业技能与综合素养培训，全年培育高素质农民6000人。</w:t>
            </w:r>
          </w:p>
        </w:tc>
        <w:tc>
          <w:tcPr>
            <w:tcW w:w="3084" w:type="dxa"/>
            <w:gridSpan w:val="2"/>
            <w:tcBorders>
              <w:tl2br w:val="nil"/>
              <w:tr2bl w:val="nil"/>
            </w:tcBorders>
            <w:vAlign w:val="center"/>
          </w:tcPr>
          <w:p>
            <w:pPr>
              <w:pStyle w:val="10"/>
              <w:wordWrap w:val="0"/>
              <w:autoSpaceDE w:val="0"/>
              <w:autoSpaceDN w:val="0"/>
              <w:spacing w:line="23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突出精深加工、新模式新业态、高技术等3个主攻方向，实施稳产保供、科技自强、数字农业、绿色发展、产业融合、乡村建设等6大工程，组织实施农业农村重大项目85个，推动乡村产业提档升级，提供更多就业岗位。</w:t>
            </w:r>
          </w:p>
          <w:p>
            <w:pPr>
              <w:pStyle w:val="10"/>
              <w:wordWrap w:val="0"/>
              <w:autoSpaceDE w:val="0"/>
              <w:autoSpaceDN w:val="0"/>
              <w:spacing w:line="23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2、强化龙头带动，培育省级农业龙头企业3家。</w:t>
            </w:r>
          </w:p>
          <w:p>
            <w:pPr>
              <w:pStyle w:val="10"/>
              <w:wordWrap w:val="0"/>
              <w:autoSpaceDE w:val="0"/>
              <w:autoSpaceDN w:val="0"/>
              <w:spacing w:line="23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3、积极培育农村创业创新示范典型，举办“扬州市农村创业创新大赛”等活动，选树10个农村“双创”典型。</w:t>
            </w:r>
          </w:p>
          <w:p>
            <w:pPr>
              <w:pStyle w:val="10"/>
              <w:wordWrap w:val="0"/>
              <w:autoSpaceDE w:val="0"/>
              <w:autoSpaceDN w:val="0"/>
              <w:spacing w:line="230" w:lineRule="exact"/>
              <w:ind w:firstLine="420" w:firstLineChars="200"/>
              <w:rPr>
                <w:rFonts w:cs="宋体" w:asciiTheme="minorEastAsia" w:hAnsiTheme="minorEastAsia" w:eastAsiaTheme="minorEastAsia"/>
                <w:color w:val="000000"/>
                <w:sz w:val="21"/>
                <w:szCs w:val="21"/>
              </w:rPr>
            </w:pPr>
            <w:r>
              <w:rPr>
                <w:rFonts w:hint="eastAsia" w:cs="宋体" w:asciiTheme="minorEastAsia" w:hAnsiTheme="minorEastAsia" w:eastAsiaTheme="minorEastAsia"/>
                <w:sz w:val="21"/>
                <w:szCs w:val="21"/>
              </w:rPr>
              <w:t>4、围绕乡村人才振兴和农民实际需求，全年培育高素质农民6000人。</w:t>
            </w:r>
          </w:p>
        </w:tc>
        <w:tc>
          <w:tcPr>
            <w:tcW w:w="3040" w:type="dxa"/>
            <w:gridSpan w:val="2"/>
            <w:tcBorders>
              <w:tl2br w:val="nil"/>
              <w:tr2bl w:val="nil"/>
            </w:tcBorders>
            <w:vAlign w:val="center"/>
          </w:tcPr>
          <w:p>
            <w:pPr>
              <w:pStyle w:val="10"/>
              <w:wordWrap w:val="0"/>
              <w:autoSpaceDE w:val="0"/>
              <w:autoSpaceDN w:val="0"/>
              <w:spacing w:line="23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1、进一步扩大农业农村有效投资，实施农业农村重大项目85个，推动乡村产业提档升级，提供更多就业岗位。</w:t>
            </w:r>
          </w:p>
          <w:p>
            <w:pPr>
              <w:pStyle w:val="10"/>
              <w:wordWrap w:val="0"/>
              <w:autoSpaceDE w:val="0"/>
              <w:autoSpaceDN w:val="0"/>
              <w:spacing w:line="23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2、积极培育农村创业创新示范典型，举办“扬州市农村创业创新大赛”等系列活动，选树10个农村“双创”典型。</w:t>
            </w:r>
          </w:p>
          <w:p>
            <w:pPr>
              <w:pStyle w:val="10"/>
              <w:wordWrap w:val="0"/>
              <w:autoSpaceDE w:val="0"/>
              <w:autoSpaceDN w:val="0"/>
              <w:spacing w:line="23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3、强化龙头带动，培育市级农业龙头企业6家。</w:t>
            </w:r>
          </w:p>
          <w:p>
            <w:pPr>
              <w:pStyle w:val="10"/>
              <w:wordWrap w:val="0"/>
              <w:autoSpaceDE w:val="0"/>
              <w:autoSpaceDN w:val="0"/>
              <w:spacing w:line="230" w:lineRule="exact"/>
              <w:ind w:firstLine="420" w:firstLineChars="200"/>
              <w:rPr>
                <w:rFonts w:cs="宋体" w:asciiTheme="minorEastAsia" w:hAnsiTheme="minorEastAsia" w:eastAsiaTheme="minorEastAsia"/>
                <w:color w:val="000000"/>
                <w:sz w:val="21"/>
                <w:szCs w:val="21"/>
              </w:rPr>
            </w:pPr>
            <w:r>
              <w:rPr>
                <w:rFonts w:hint="eastAsia" w:cs="宋体" w:asciiTheme="minorEastAsia" w:hAnsiTheme="minorEastAsia" w:eastAsiaTheme="minorEastAsia"/>
                <w:sz w:val="21"/>
                <w:szCs w:val="21"/>
              </w:rPr>
              <w:t>4、围绕乡村人才振兴和农民实际需求，重点培育返乡下乡创新创业者、返乡回乡农民工等，全年培育高素质农民6000人。</w:t>
            </w:r>
          </w:p>
        </w:tc>
        <w:tc>
          <w:tcPr>
            <w:tcW w:w="1019"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农业农村局</w:t>
            </w:r>
          </w:p>
        </w:tc>
        <w:tc>
          <w:tcPr>
            <w:tcW w:w="1044"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人社局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8" w:hRule="atLeast"/>
          <w:jc w:val="center"/>
        </w:trPr>
        <w:tc>
          <w:tcPr>
            <w:tcW w:w="472"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3</w:t>
            </w:r>
          </w:p>
        </w:tc>
        <w:tc>
          <w:tcPr>
            <w:tcW w:w="2816" w:type="dxa"/>
            <w:tcBorders>
              <w:tl2br w:val="nil"/>
              <w:tr2bl w:val="nil"/>
            </w:tcBorders>
            <w:vAlign w:val="center"/>
          </w:tcPr>
          <w:p>
            <w:pPr>
              <w:wordWrap w:val="0"/>
              <w:spacing w:line="280" w:lineRule="exact"/>
              <w:ind w:firstLine="420" w:firstLineChars="200"/>
              <w:jc w:val="left"/>
              <w:rPr>
                <w:rFonts w:ascii="Times New Roman" w:hAnsi="Times New Roman" w:eastAsia="楷体" w:cs="楷体"/>
                <w:color w:val="000000"/>
                <w:sz w:val="21"/>
                <w:szCs w:val="21"/>
              </w:rPr>
            </w:pPr>
            <w:r>
              <w:rPr>
                <w:rFonts w:hint="eastAsia" w:ascii="Times New Roman" w:hAnsi="Times New Roman" w:eastAsia="楷体" w:cs="楷体"/>
                <w:color w:val="000000"/>
                <w:sz w:val="21"/>
                <w:szCs w:val="21"/>
              </w:rPr>
              <w:t>建立公共投资和重大项目带动就业评估机制，在审批政府投资项目和重大基础设施项目、申请和安排财政资金时，同等条件下优先安排就业带动能力强和就业质量高的项目。</w:t>
            </w:r>
          </w:p>
        </w:tc>
        <w:tc>
          <w:tcPr>
            <w:tcW w:w="2842" w:type="dxa"/>
            <w:gridSpan w:val="2"/>
            <w:tcBorders>
              <w:tl2br w:val="nil"/>
              <w:tr2bl w:val="nil"/>
            </w:tcBorders>
            <w:vAlign w:val="center"/>
          </w:tcPr>
          <w:p>
            <w:pPr>
              <w:spacing w:line="240" w:lineRule="exact"/>
              <w:ind w:firstLine="420" w:firstLineChars="200"/>
              <w:rPr>
                <w:rFonts w:ascii="Times New Roman" w:hAnsi="Times New Roman" w:cs="宋体"/>
                <w:sz w:val="21"/>
                <w:szCs w:val="21"/>
              </w:rPr>
            </w:pPr>
            <w:r>
              <w:rPr>
                <w:rFonts w:hint="eastAsia" w:ascii="Times New Roman" w:hAnsi="Times New Roman" w:cs="宋体"/>
                <w:sz w:val="21"/>
                <w:szCs w:val="21"/>
              </w:rPr>
              <w:t>1、研究制定我市公共投资和重大项目带动就业评估具体实施办法，分项目类型开展就业评估试点工作。对2020年以来市级重大产业项目建成后注册新增的市场主体包括“四上”企业的吸纳就业情况进行分析。</w:t>
            </w:r>
          </w:p>
          <w:p>
            <w:pPr>
              <w:pStyle w:val="2"/>
              <w:spacing w:line="240" w:lineRule="exact"/>
              <w:ind w:firstLine="420" w:firstLineChars="200"/>
            </w:pPr>
            <w:r>
              <w:rPr>
                <w:rFonts w:hint="eastAsia" w:ascii="Times New Roman" w:hAnsi="Times New Roman" w:cs="宋体"/>
                <w:sz w:val="21"/>
                <w:szCs w:val="21"/>
              </w:rPr>
              <w:t>2、及时跟踪了解公共投资和重大项目建设情况，对带动就业情况提出合理化意见和建议。对有用工需求的，通过开展专场招聘、劳务引进、资源调剂等措施，为项目提供必要的人力资源服务。</w:t>
            </w:r>
          </w:p>
        </w:tc>
        <w:tc>
          <w:tcPr>
            <w:tcW w:w="3084" w:type="dxa"/>
            <w:gridSpan w:val="2"/>
            <w:tcBorders>
              <w:tl2br w:val="nil"/>
              <w:tr2bl w:val="nil"/>
            </w:tcBorders>
            <w:vAlign w:val="center"/>
          </w:tcPr>
          <w:p>
            <w:pPr>
              <w:wordWrap w:val="0"/>
              <w:spacing w:line="240" w:lineRule="exact"/>
              <w:ind w:firstLine="420" w:firstLineChars="200"/>
              <w:rPr>
                <w:rFonts w:ascii="Times New Roman" w:hAnsi="Times New Roman" w:cs="宋体"/>
                <w:sz w:val="21"/>
                <w:szCs w:val="21"/>
              </w:rPr>
            </w:pPr>
            <w:r>
              <w:rPr>
                <w:rFonts w:hint="eastAsia" w:ascii="Times New Roman" w:hAnsi="Times New Roman" w:cs="宋体"/>
                <w:sz w:val="21"/>
                <w:szCs w:val="21"/>
              </w:rPr>
              <w:t>1、对2021年以来市级重大产业项目建成后注册新增的市场主体包括“四上”企业的吸纳就业情况进行分析，探索不同类型项目差异化评估模式。</w:t>
            </w:r>
          </w:p>
          <w:p>
            <w:pPr>
              <w:pStyle w:val="2"/>
              <w:wordWrap w:val="0"/>
              <w:spacing w:line="240" w:lineRule="exact"/>
              <w:ind w:firstLine="420" w:firstLineChars="200"/>
              <w:rPr>
                <w:rFonts w:ascii="Times New Roman" w:hAnsi="Times New Roman" w:cs="宋体"/>
                <w:sz w:val="21"/>
                <w:szCs w:val="21"/>
                <w:highlight w:val="yellow"/>
              </w:rPr>
            </w:pPr>
            <w:r>
              <w:rPr>
                <w:rFonts w:hint="eastAsia" w:ascii="Times New Roman" w:hAnsi="Times New Roman" w:cs="宋体"/>
                <w:sz w:val="21"/>
                <w:szCs w:val="21"/>
              </w:rPr>
              <w:t>2、及时跟踪了解公共投资和重大项目建设情况，对带动就业情况提出合理化意见和建议。对有用工需求的，通过开展专场招聘、劳务引进、资源调剂等措施，为项目提供必要的人力资源服务。</w:t>
            </w:r>
          </w:p>
        </w:tc>
        <w:tc>
          <w:tcPr>
            <w:tcW w:w="3040" w:type="dxa"/>
            <w:gridSpan w:val="2"/>
            <w:tcBorders>
              <w:tl2br w:val="nil"/>
              <w:tr2bl w:val="nil"/>
            </w:tcBorders>
            <w:vAlign w:val="center"/>
          </w:tcPr>
          <w:p>
            <w:pPr>
              <w:wordWrap w:val="0"/>
              <w:spacing w:line="240" w:lineRule="exact"/>
              <w:ind w:firstLine="420" w:firstLineChars="200"/>
              <w:rPr>
                <w:rFonts w:ascii="Times New Roman" w:hAnsi="Times New Roman" w:cs="宋体"/>
                <w:sz w:val="21"/>
                <w:szCs w:val="21"/>
              </w:rPr>
            </w:pPr>
            <w:r>
              <w:rPr>
                <w:rFonts w:hint="eastAsia" w:ascii="Times New Roman" w:hAnsi="Times New Roman" w:cs="宋体"/>
                <w:sz w:val="21"/>
                <w:szCs w:val="21"/>
              </w:rPr>
              <w:t>1、对十四五期间市级重大产业项目建成后注册新增的市场主体包括“四上”企业的吸纳就业情况进行分析，并在十四五期间产业项目带动就业情况评估的基础上，提出产业布局和项目招引方面的建议。</w:t>
            </w:r>
          </w:p>
          <w:p>
            <w:pPr>
              <w:pStyle w:val="2"/>
              <w:wordWrap w:val="0"/>
              <w:spacing w:line="240" w:lineRule="exact"/>
              <w:ind w:firstLine="420" w:firstLineChars="200"/>
              <w:rPr>
                <w:rFonts w:ascii="Times New Roman" w:hAnsi="Times New Roman" w:cs="宋体"/>
                <w:sz w:val="21"/>
                <w:szCs w:val="21"/>
                <w:highlight w:val="yellow"/>
              </w:rPr>
            </w:pPr>
            <w:r>
              <w:rPr>
                <w:rFonts w:hint="eastAsia" w:ascii="Times New Roman" w:hAnsi="Times New Roman" w:cs="宋体"/>
                <w:sz w:val="21"/>
                <w:szCs w:val="21"/>
              </w:rPr>
              <w:t>2、及时跟踪了解公共投资和重大项目建设情况，对带动就业情况提出合理化意见和建议。对有用工需求的，通过开展专场招聘、劳务引进、资源调剂等措施，为项目提供必要的人力资源服务。</w:t>
            </w:r>
          </w:p>
        </w:tc>
        <w:tc>
          <w:tcPr>
            <w:tcW w:w="1019"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发改委</w:t>
            </w:r>
          </w:p>
        </w:tc>
        <w:tc>
          <w:tcPr>
            <w:tcW w:w="1044" w:type="dxa"/>
            <w:tcBorders>
              <w:tl2br w:val="nil"/>
              <w:tr2bl w:val="nil"/>
            </w:tcBorders>
            <w:vAlign w:val="center"/>
          </w:tcPr>
          <w:p>
            <w:pPr>
              <w:spacing w:line="24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财政局</w:t>
            </w:r>
          </w:p>
          <w:p>
            <w:pPr>
              <w:spacing w:line="24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人社局</w:t>
            </w:r>
          </w:p>
          <w:p>
            <w:pPr>
              <w:pStyle w:val="2"/>
              <w:spacing w:line="240" w:lineRule="exact"/>
              <w:ind w:firstLine="105" w:firstLineChars="50"/>
              <w:rPr>
                <w:rFonts w:ascii="Times New Roman" w:hAnsi="Times New Roman" w:cs="宋体"/>
                <w:color w:val="000000"/>
                <w:sz w:val="21"/>
                <w:szCs w:val="21"/>
              </w:rPr>
            </w:pPr>
            <w:r>
              <w:rPr>
                <w:rFonts w:hint="eastAsia" w:ascii="Times New Roman" w:hAnsi="Times New Roman" w:cs="宋体"/>
                <w:color w:val="000000"/>
                <w:sz w:val="21"/>
                <w:szCs w:val="21"/>
              </w:rPr>
              <w:t>税务局</w:t>
            </w:r>
          </w:p>
          <w:p>
            <w:pPr>
              <w:pStyle w:val="2"/>
              <w:spacing w:line="240" w:lineRule="exact"/>
              <w:jc w:val="center"/>
            </w:pPr>
            <w:r>
              <w:rPr>
                <w:rFonts w:hint="eastAsia" w:ascii="Times New Roman" w:hAnsi="Times New Roman" w:cs="宋体"/>
                <w:color w:val="000000"/>
                <w:w w:val="66"/>
                <w:sz w:val="21"/>
                <w:szCs w:val="21"/>
              </w:rPr>
              <w:t>行政审批局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472"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4</w:t>
            </w:r>
          </w:p>
        </w:tc>
        <w:tc>
          <w:tcPr>
            <w:tcW w:w="2816" w:type="dxa"/>
            <w:tcBorders>
              <w:tl2br w:val="nil"/>
              <w:tr2bl w:val="nil"/>
            </w:tcBorders>
            <w:vAlign w:val="center"/>
          </w:tcPr>
          <w:p>
            <w:pPr>
              <w:wordWrap w:val="0"/>
              <w:spacing w:line="280" w:lineRule="exact"/>
              <w:ind w:firstLine="420" w:firstLineChars="200"/>
              <w:jc w:val="left"/>
              <w:rPr>
                <w:rFonts w:ascii="Times New Roman" w:hAnsi="Times New Roman" w:eastAsia="楷体" w:cs="楷体"/>
                <w:color w:val="000000"/>
                <w:sz w:val="21"/>
                <w:szCs w:val="21"/>
              </w:rPr>
            </w:pPr>
            <w:r>
              <w:rPr>
                <w:rFonts w:hint="eastAsia" w:ascii="Times New Roman" w:hAnsi="Times New Roman" w:eastAsia="楷体" w:cs="楷体"/>
                <w:color w:val="000000"/>
                <w:sz w:val="21"/>
                <w:szCs w:val="21"/>
              </w:rPr>
              <w:t>对符合本市产业发展方向、吸纳劳动力就业较多的企业，在安排建设用地时给予支持。</w:t>
            </w:r>
          </w:p>
        </w:tc>
        <w:tc>
          <w:tcPr>
            <w:tcW w:w="2824" w:type="dxa"/>
            <w:tcBorders>
              <w:tl2br w:val="nil"/>
              <w:tr2bl w:val="nil"/>
            </w:tcBorders>
            <w:vAlign w:val="center"/>
          </w:tcPr>
          <w:p>
            <w:pPr>
              <w:pStyle w:val="2"/>
              <w:wordWrap w:val="0"/>
              <w:spacing w:line="260" w:lineRule="exact"/>
              <w:ind w:firstLine="420" w:firstLineChars="200"/>
              <w:rPr>
                <w:rFonts w:ascii="Times New Roman" w:hAnsi="Times New Roman" w:cs="宋体"/>
                <w:sz w:val="21"/>
                <w:szCs w:val="21"/>
                <w:highlight w:val="yellow"/>
              </w:rPr>
            </w:pPr>
            <w:r>
              <w:rPr>
                <w:rFonts w:hint="eastAsia" w:ascii="Times New Roman" w:hAnsi="Times New Roman" w:cs="宋体"/>
                <w:sz w:val="21"/>
                <w:szCs w:val="21"/>
              </w:rPr>
              <w:t>聚焦重大产业和民生项目用地需求做好用地保障，促进企业早日动工吸纳就业人口；督促县（市、区）人民政府将要素指标投放到符合本市产业发展方向、吸纳劳动力就业较多的企业。</w:t>
            </w:r>
          </w:p>
        </w:tc>
        <w:tc>
          <w:tcPr>
            <w:tcW w:w="3118" w:type="dxa"/>
            <w:gridSpan w:val="4"/>
            <w:tcBorders>
              <w:tl2br w:val="nil"/>
              <w:tr2bl w:val="nil"/>
            </w:tcBorders>
            <w:vAlign w:val="center"/>
          </w:tcPr>
          <w:p>
            <w:pPr>
              <w:pStyle w:val="2"/>
              <w:wordWrap w:val="0"/>
              <w:spacing w:line="260" w:lineRule="exact"/>
              <w:ind w:firstLine="420" w:firstLineChars="200"/>
              <w:rPr>
                <w:rFonts w:ascii="Times New Roman" w:hAnsi="Times New Roman" w:cs="宋体"/>
                <w:sz w:val="21"/>
                <w:szCs w:val="21"/>
                <w:highlight w:val="yellow"/>
              </w:rPr>
            </w:pPr>
            <w:r>
              <w:rPr>
                <w:rFonts w:hint="eastAsia" w:ascii="Times New Roman" w:hAnsi="Times New Roman" w:cs="宋体"/>
                <w:sz w:val="21"/>
                <w:szCs w:val="21"/>
              </w:rPr>
              <w:t>聚焦重大产业和民生项目用地需求做好用地保障，促进企业早日动工吸纳就业人口；根据省、市政府规定，对地方安排符合产业发展方向、吸纳劳动力就业较多的项目用地提出一定的比例要求。</w:t>
            </w:r>
          </w:p>
        </w:tc>
        <w:tc>
          <w:tcPr>
            <w:tcW w:w="3024" w:type="dxa"/>
            <w:tcBorders>
              <w:tl2br w:val="nil"/>
              <w:tr2bl w:val="nil"/>
            </w:tcBorders>
            <w:vAlign w:val="center"/>
          </w:tcPr>
          <w:p>
            <w:pPr>
              <w:pStyle w:val="2"/>
              <w:wordWrap w:val="0"/>
              <w:spacing w:line="260" w:lineRule="exact"/>
              <w:ind w:firstLine="420" w:firstLineChars="200"/>
              <w:rPr>
                <w:rFonts w:ascii="Times New Roman" w:hAnsi="Times New Roman" w:cs="宋体"/>
                <w:sz w:val="21"/>
                <w:szCs w:val="21"/>
                <w:highlight w:val="yellow"/>
              </w:rPr>
            </w:pPr>
            <w:r>
              <w:rPr>
                <w:rFonts w:hint="eastAsia" w:ascii="Times New Roman" w:hAnsi="Times New Roman" w:cs="宋体"/>
                <w:sz w:val="21"/>
                <w:szCs w:val="21"/>
              </w:rPr>
              <w:t>聚焦重大产业和民生项目用地需求做好用地保障，促进企业早日动工吸纳就业人口；根据省、市政府规定，对地方安排符合产业发展方向、吸纳劳动力就业较多的项目用地提出一定的比例要求。</w:t>
            </w:r>
          </w:p>
        </w:tc>
        <w:tc>
          <w:tcPr>
            <w:tcW w:w="1019" w:type="dxa"/>
            <w:tcBorders>
              <w:tl2br w:val="nil"/>
              <w:tr2bl w:val="nil"/>
            </w:tcBorders>
            <w:vAlign w:val="center"/>
          </w:tcPr>
          <w:p>
            <w:pPr>
              <w:wordWrap w:val="0"/>
              <w:spacing w:line="24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自规局</w:t>
            </w:r>
          </w:p>
        </w:tc>
        <w:tc>
          <w:tcPr>
            <w:tcW w:w="1044" w:type="dxa"/>
            <w:tcBorders>
              <w:tl2br w:val="nil"/>
              <w:tr2bl w:val="nil"/>
            </w:tcBorders>
            <w:vAlign w:val="center"/>
          </w:tcPr>
          <w:p>
            <w:pPr>
              <w:wordWrap w:val="0"/>
              <w:spacing w:line="24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发改委</w:t>
            </w:r>
          </w:p>
          <w:p>
            <w:pPr>
              <w:wordWrap w:val="0"/>
              <w:spacing w:line="24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工信局</w:t>
            </w:r>
          </w:p>
          <w:p>
            <w:pPr>
              <w:wordWrap w:val="0"/>
              <w:spacing w:line="24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科技局</w:t>
            </w:r>
          </w:p>
          <w:p>
            <w:pPr>
              <w:wordWrap w:val="0"/>
              <w:spacing w:line="240" w:lineRule="exact"/>
              <w:jc w:val="center"/>
              <w:rPr>
                <w:rFonts w:ascii="Times New Roman" w:hAnsi="Times New Roman" w:cs="宋体"/>
                <w:color w:val="000000"/>
                <w:w w:val="66"/>
                <w:sz w:val="21"/>
                <w:szCs w:val="21"/>
              </w:rPr>
            </w:pPr>
            <w:r>
              <w:rPr>
                <w:rFonts w:hint="eastAsia" w:ascii="Times New Roman" w:hAnsi="Times New Roman" w:cs="宋体"/>
                <w:color w:val="000000"/>
                <w:w w:val="66"/>
                <w:sz w:val="21"/>
                <w:szCs w:val="21"/>
              </w:rPr>
              <w:t>生态环境局</w:t>
            </w:r>
          </w:p>
          <w:p>
            <w:pPr>
              <w:wordWrap w:val="0"/>
              <w:spacing w:line="24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人社局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90" w:hRule="atLeast"/>
          <w:jc w:val="center"/>
        </w:trPr>
        <w:tc>
          <w:tcPr>
            <w:tcW w:w="472"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5</w:t>
            </w:r>
          </w:p>
        </w:tc>
        <w:tc>
          <w:tcPr>
            <w:tcW w:w="2816" w:type="dxa"/>
            <w:tcBorders>
              <w:tl2br w:val="nil"/>
              <w:tr2bl w:val="nil"/>
            </w:tcBorders>
            <w:vAlign w:val="center"/>
          </w:tcPr>
          <w:p>
            <w:pPr>
              <w:wordWrap w:val="0"/>
              <w:spacing w:line="240" w:lineRule="exact"/>
              <w:ind w:firstLine="420" w:firstLineChars="200"/>
              <w:jc w:val="left"/>
              <w:rPr>
                <w:rFonts w:ascii="Times New Roman" w:hAnsi="Times New Roman" w:eastAsia="楷体" w:cs="楷体"/>
                <w:color w:val="000000"/>
                <w:sz w:val="21"/>
                <w:szCs w:val="21"/>
              </w:rPr>
            </w:pPr>
            <w:r>
              <w:rPr>
                <w:rFonts w:hint="eastAsia" w:ascii="Times New Roman" w:hAnsi="Times New Roman" w:eastAsia="楷体" w:cs="楷体"/>
                <w:color w:val="000000"/>
                <w:sz w:val="21"/>
                <w:szCs w:val="21"/>
              </w:rPr>
              <w:t>通过就业数据赋能普惠金融，引导金融机构对吸纳就业多、稳岗效果好、用工规范的企业，特别是实体经济和中小微企业予以资金扶持和低息优惠；对劳务协作成效好的企业给予开发性金融支持，稳定和扩大就业岗位。</w:t>
            </w:r>
          </w:p>
        </w:tc>
        <w:tc>
          <w:tcPr>
            <w:tcW w:w="2842" w:type="dxa"/>
            <w:gridSpan w:val="2"/>
            <w:tcBorders>
              <w:tl2br w:val="nil"/>
              <w:tr2bl w:val="nil"/>
            </w:tcBorders>
            <w:vAlign w:val="center"/>
          </w:tcPr>
          <w:p>
            <w:pPr>
              <w:wordWrap w:val="0"/>
              <w:spacing w:line="280" w:lineRule="exact"/>
              <w:ind w:firstLine="420" w:firstLineChars="200"/>
              <w:rPr>
                <w:rFonts w:ascii="Times New Roman" w:hAnsi="Times New Roman" w:cs="宋体"/>
                <w:color w:val="000000"/>
                <w:sz w:val="21"/>
                <w:szCs w:val="21"/>
              </w:rPr>
            </w:pPr>
            <w:r>
              <w:rPr>
                <w:rFonts w:hint="eastAsia" w:ascii="Times New Roman" w:hAnsi="Times New Roman" w:cs="宋体"/>
                <w:sz w:val="21"/>
                <w:szCs w:val="21"/>
              </w:rPr>
              <w:t>积极引导金融机构加大普惠金融支持力度，力争2023年全市普惠小微贷款新增不低于200亿元。</w:t>
            </w:r>
          </w:p>
        </w:tc>
        <w:tc>
          <w:tcPr>
            <w:tcW w:w="3084" w:type="dxa"/>
            <w:gridSpan w:val="2"/>
            <w:tcBorders>
              <w:tl2br w:val="nil"/>
              <w:tr2bl w:val="nil"/>
            </w:tcBorders>
            <w:vAlign w:val="center"/>
          </w:tcPr>
          <w:p>
            <w:pPr>
              <w:wordWrap w:val="0"/>
              <w:spacing w:line="280" w:lineRule="exact"/>
              <w:ind w:firstLine="420" w:firstLineChars="200"/>
              <w:rPr>
                <w:rFonts w:ascii="Times New Roman" w:hAnsi="Times New Roman" w:cs="宋体"/>
                <w:color w:val="000000"/>
                <w:sz w:val="21"/>
                <w:szCs w:val="21"/>
              </w:rPr>
            </w:pPr>
            <w:r>
              <w:rPr>
                <w:rFonts w:hint="eastAsia" w:ascii="Times New Roman" w:hAnsi="Times New Roman" w:cs="宋体"/>
                <w:sz w:val="21"/>
                <w:szCs w:val="21"/>
              </w:rPr>
              <w:t>积极引导金融机构加大普惠金融支持力度，力争2024年全市普惠小微贷款新增不低于225亿元。</w:t>
            </w:r>
          </w:p>
        </w:tc>
        <w:tc>
          <w:tcPr>
            <w:tcW w:w="3040" w:type="dxa"/>
            <w:gridSpan w:val="2"/>
            <w:tcBorders>
              <w:tl2br w:val="nil"/>
              <w:tr2bl w:val="nil"/>
            </w:tcBorders>
            <w:vAlign w:val="center"/>
          </w:tcPr>
          <w:p>
            <w:pPr>
              <w:wordWrap w:val="0"/>
              <w:spacing w:line="280" w:lineRule="exact"/>
              <w:ind w:firstLine="420" w:firstLineChars="200"/>
              <w:rPr>
                <w:rFonts w:ascii="Times New Roman" w:hAnsi="Times New Roman" w:cs="宋体"/>
                <w:color w:val="000000"/>
                <w:sz w:val="21"/>
                <w:szCs w:val="21"/>
              </w:rPr>
            </w:pPr>
            <w:r>
              <w:rPr>
                <w:rFonts w:hint="eastAsia" w:ascii="Times New Roman" w:hAnsi="Times New Roman" w:cs="宋体"/>
                <w:sz w:val="21"/>
                <w:szCs w:val="21"/>
              </w:rPr>
              <w:t>积极引导金融机构加大普惠金融支持力度，力争2025年全市普惠小微贷款新增不低于250亿元。</w:t>
            </w:r>
          </w:p>
        </w:tc>
        <w:tc>
          <w:tcPr>
            <w:tcW w:w="1019" w:type="dxa"/>
            <w:tcBorders>
              <w:tl2br w:val="nil"/>
              <w:tr2bl w:val="nil"/>
            </w:tcBorders>
            <w:vAlign w:val="center"/>
          </w:tcPr>
          <w:p>
            <w:pPr>
              <w:wordWrap w:val="0"/>
              <w:spacing w:line="24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人行扬州市中心支行</w:t>
            </w:r>
          </w:p>
        </w:tc>
        <w:tc>
          <w:tcPr>
            <w:tcW w:w="1044" w:type="dxa"/>
            <w:tcBorders>
              <w:tl2br w:val="nil"/>
              <w:tr2bl w:val="nil"/>
            </w:tcBorders>
            <w:vAlign w:val="center"/>
          </w:tcPr>
          <w:p>
            <w:pPr>
              <w:wordWrap w:val="0"/>
              <w:spacing w:line="24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地方金融局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81" w:hRule="atLeast"/>
          <w:jc w:val="center"/>
        </w:trPr>
        <w:tc>
          <w:tcPr>
            <w:tcW w:w="472"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6</w:t>
            </w:r>
          </w:p>
        </w:tc>
        <w:tc>
          <w:tcPr>
            <w:tcW w:w="2816" w:type="dxa"/>
            <w:tcBorders>
              <w:tl2br w:val="nil"/>
              <w:tr2bl w:val="nil"/>
            </w:tcBorders>
            <w:vAlign w:val="center"/>
          </w:tcPr>
          <w:p>
            <w:pPr>
              <w:wordWrap w:val="0"/>
              <w:spacing w:line="280" w:lineRule="exact"/>
              <w:ind w:firstLine="420" w:firstLineChars="200"/>
              <w:jc w:val="left"/>
              <w:rPr>
                <w:rFonts w:ascii="Times New Roman" w:hAnsi="Times New Roman" w:eastAsia="楷体" w:cs="楷体"/>
                <w:color w:val="000000"/>
                <w:sz w:val="21"/>
                <w:szCs w:val="21"/>
              </w:rPr>
            </w:pPr>
            <w:r>
              <w:rPr>
                <w:rFonts w:hint="eastAsia" w:ascii="Times New Roman" w:hAnsi="Times New Roman" w:eastAsia="楷体" w:cs="楷体"/>
                <w:color w:val="000000"/>
                <w:sz w:val="21"/>
                <w:szCs w:val="21"/>
              </w:rPr>
              <w:t>健全覆盖全民、贯穿全程、辐射全域、便捷高效的全方位公共就业服务体系。进一步健全户籍所在地、经常居住地、参保地、就业地公共就业服务供给机制，推进就业创业政策咨询、就业失业登记、职业介绍等服务覆盖城乡全体劳动者。</w:t>
            </w:r>
          </w:p>
        </w:tc>
        <w:tc>
          <w:tcPr>
            <w:tcW w:w="2842" w:type="dxa"/>
            <w:gridSpan w:val="2"/>
            <w:tcBorders>
              <w:tl2br w:val="nil"/>
              <w:tr2bl w:val="nil"/>
            </w:tcBorders>
            <w:vAlign w:val="center"/>
          </w:tcPr>
          <w:p>
            <w:pPr>
              <w:wordWrap w:val="0"/>
              <w:spacing w:line="22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1、落实就业服务常住地登记制度，实现就失业登记、职业介绍、就业困难人员认定等公共就业服务事项全面下沉。</w:t>
            </w:r>
          </w:p>
          <w:p>
            <w:pPr>
              <w:wordWrap w:val="0"/>
              <w:spacing w:line="22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2、启动建设家门口就业服务站，首批建设15个，并提供全覆盖的公共就业服务。</w:t>
            </w:r>
          </w:p>
          <w:p>
            <w:pPr>
              <w:wordWrap w:val="0"/>
              <w:spacing w:line="22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3、打造市级“充分就业示范社区”70个。</w:t>
            </w:r>
          </w:p>
          <w:p>
            <w:pPr>
              <w:wordWrap w:val="0"/>
              <w:spacing w:line="22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4、实施就业一件事，打造2个省级零工市场和3个省级劳务品牌。</w:t>
            </w:r>
          </w:p>
          <w:p>
            <w:pPr>
              <w:wordWrap w:val="0"/>
              <w:spacing w:line="22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5、及时归集人社惠企便民政策，通过人社服务专员开展政策解读，并与“一图读懂”等政策宣传活动相结合，实现政策精准推送。</w:t>
            </w:r>
          </w:p>
          <w:p>
            <w:pPr>
              <w:wordWrap w:val="0"/>
              <w:spacing w:line="22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6、开展“人社政策进企入园”主题宣传活动，以市场主体、求职者、创业者等服务对象为重点，围绕人社就业政策“更智能、更人性、更鲜活、更及时、更规范”目标，推动人社政策精准滴灌，直达快享。</w:t>
            </w:r>
          </w:p>
        </w:tc>
        <w:tc>
          <w:tcPr>
            <w:tcW w:w="3084" w:type="dxa"/>
            <w:gridSpan w:val="2"/>
            <w:tcBorders>
              <w:tl2br w:val="nil"/>
              <w:tr2bl w:val="nil"/>
            </w:tcBorders>
            <w:vAlign w:val="center"/>
          </w:tcPr>
          <w:p>
            <w:pPr>
              <w:wordWrap w:val="0"/>
              <w:spacing w:line="22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1、进一步完善公共就业服务供给机制，通过落实政府购买服务措施，引导民营机构参与公共就业服务。</w:t>
            </w:r>
          </w:p>
          <w:p>
            <w:pPr>
              <w:wordWrap w:val="0"/>
              <w:spacing w:line="22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2、开展基层劳动保障协理员业务能力培训，并根据省要求，组织职业技能认定工作，进一步提升基层公共就业服务能力。</w:t>
            </w:r>
          </w:p>
          <w:p>
            <w:pPr>
              <w:wordWrap w:val="0"/>
              <w:spacing w:line="22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3、培育市级“充分就业示范社区”105个。</w:t>
            </w:r>
          </w:p>
          <w:p>
            <w:pPr>
              <w:wordWrap w:val="0"/>
              <w:spacing w:line="22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4、继续实施就业一件事，完成省下达的零工市场和劳务品牌建设任务。</w:t>
            </w:r>
          </w:p>
          <w:p>
            <w:pPr>
              <w:wordWrap w:val="0"/>
              <w:spacing w:line="22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5、及时归集人社惠企便民政策，通过人社服务专员开展政策解读，并与“一图读懂”等政策宣传活动相结合，实现政策精准推送。</w:t>
            </w:r>
          </w:p>
          <w:p>
            <w:pPr>
              <w:wordWrap w:val="0"/>
              <w:spacing w:line="22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6、开展“人社政策进企入园”主题宣传活动，以市场主体、求职者、创业者等服务对象为重点，围绕人社就业政策“更智能、更人性、更鲜活、更及时、更规范”目标，推动人社政策精准滴灌，直达快享。</w:t>
            </w:r>
          </w:p>
        </w:tc>
        <w:tc>
          <w:tcPr>
            <w:tcW w:w="3040" w:type="dxa"/>
            <w:gridSpan w:val="2"/>
            <w:tcBorders>
              <w:tl2br w:val="nil"/>
              <w:tr2bl w:val="nil"/>
            </w:tcBorders>
            <w:vAlign w:val="center"/>
          </w:tcPr>
          <w:p>
            <w:pPr>
              <w:wordWrap w:val="0"/>
              <w:spacing w:line="22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1、完成省下达的“家门口”就业服务站建设任务；完成市级充分就业示范社区创建工作，不断推进就业失业登记、职业指导、创业贷款等服务覆盖城乡各类劳动者。</w:t>
            </w:r>
          </w:p>
          <w:p>
            <w:pPr>
              <w:wordWrap w:val="0"/>
              <w:spacing w:line="22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2、市级“充分就业示范社区”全覆盖。</w:t>
            </w:r>
          </w:p>
          <w:p>
            <w:pPr>
              <w:wordWrap w:val="0"/>
              <w:spacing w:line="22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3、继续实施就业一件事，完成省下达的零工市场和劳务品牌建设任务。</w:t>
            </w:r>
          </w:p>
          <w:p>
            <w:pPr>
              <w:wordWrap w:val="0"/>
              <w:spacing w:line="22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4、及时归集人社惠企便民政策，通过人社服务专员开展政策解读，并与“一图读懂”等政策宣传活动相结合，实现政策精准推送。</w:t>
            </w:r>
          </w:p>
          <w:p>
            <w:pPr>
              <w:wordWrap w:val="0"/>
              <w:spacing w:line="22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5、开展“人社政策进企入园”主题宣传活动，以市场主体、求职者、创业者等服务对象为重点，围绕人社就业政策“更智能、更人性、更鲜活、更及时、更规范”目标，推动人社政策精准滴灌，直达快享。</w:t>
            </w:r>
          </w:p>
        </w:tc>
        <w:tc>
          <w:tcPr>
            <w:tcW w:w="1019"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人社局</w:t>
            </w:r>
          </w:p>
        </w:tc>
        <w:tc>
          <w:tcPr>
            <w:tcW w:w="1044" w:type="dxa"/>
            <w:tcBorders>
              <w:tl2br w:val="nil"/>
              <w:tr2bl w:val="nil"/>
            </w:tcBorders>
            <w:vAlign w:val="center"/>
          </w:tcPr>
          <w:p>
            <w:pPr>
              <w:wordWrap w:val="0"/>
              <w:spacing w:line="280" w:lineRule="exact"/>
              <w:jc w:val="left"/>
              <w:rPr>
                <w:rFonts w:ascii="Times New Roman" w:hAnsi="Times New Roman"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35" w:hRule="atLeast"/>
          <w:jc w:val="center"/>
        </w:trPr>
        <w:tc>
          <w:tcPr>
            <w:tcW w:w="472" w:type="dxa"/>
            <w:tcBorders>
              <w:tl2br w:val="nil"/>
              <w:tr2bl w:val="nil"/>
            </w:tcBorders>
            <w:vAlign w:val="center"/>
          </w:tcPr>
          <w:p>
            <w:pPr>
              <w:wordWrap w:val="0"/>
              <w:spacing w:line="26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7</w:t>
            </w:r>
          </w:p>
        </w:tc>
        <w:tc>
          <w:tcPr>
            <w:tcW w:w="2816" w:type="dxa"/>
            <w:tcBorders>
              <w:tl2br w:val="nil"/>
              <w:tr2bl w:val="nil"/>
            </w:tcBorders>
            <w:vAlign w:val="center"/>
          </w:tcPr>
          <w:p>
            <w:pPr>
              <w:wordWrap w:val="0"/>
              <w:spacing w:line="260" w:lineRule="exact"/>
              <w:ind w:firstLine="420" w:firstLineChars="200"/>
              <w:jc w:val="left"/>
              <w:rPr>
                <w:rFonts w:ascii="Times New Roman" w:hAnsi="Times New Roman" w:eastAsia="楷体" w:cs="楷体"/>
                <w:color w:val="000000"/>
                <w:sz w:val="21"/>
                <w:szCs w:val="21"/>
              </w:rPr>
            </w:pPr>
            <w:r>
              <w:rPr>
                <w:rFonts w:hint="eastAsia" w:ascii="Times New Roman" w:hAnsi="Times New Roman" w:eastAsia="楷体" w:cs="楷体"/>
                <w:color w:val="000000"/>
                <w:sz w:val="21"/>
                <w:szCs w:val="21"/>
              </w:rPr>
              <w:t>突出高校毕业生就业扶持，加强就业指导和就业见习，确保有就业需求的高校毕业生就业服务率100%。</w:t>
            </w:r>
          </w:p>
        </w:tc>
        <w:tc>
          <w:tcPr>
            <w:tcW w:w="8966" w:type="dxa"/>
            <w:gridSpan w:val="6"/>
            <w:tcBorders>
              <w:tl2br w:val="nil"/>
              <w:tr2bl w:val="nil"/>
            </w:tcBorders>
            <w:vAlign w:val="center"/>
          </w:tcPr>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1、持续举办线上和线下招聘会，抢抓高校毕业生求职应聘的关键期和窗口期。</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2、每年做好离校未就业高校毕业生实名制调查，对有就业意愿的未就业高校毕业生提供“131”（1次职业指导、3次职业介绍、1次职业培训）服务。</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3、每年征集7000个就业见习岗位，组织2500名青年参加就业见习，及时稳妥下发就业见习补贴，促进实现就业目标。</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4、组织实施教育部“宏志助航计划”，对特殊群体学生开展“一生一策”就业帮扶活动，用好求职补贴等就业帮扶政策。</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5、做好“三进三看”等市企参访、实习见习工作，逐年提升在扬实习学生比例。</w:t>
            </w:r>
          </w:p>
          <w:p>
            <w:pPr>
              <w:wordWrap w:val="0"/>
              <w:spacing w:line="240" w:lineRule="exact"/>
              <w:ind w:firstLine="420" w:firstLineChars="200"/>
              <w:rPr>
                <w:rFonts w:ascii="Times New Roman" w:hAnsi="Times New Roman" w:cs="宋体"/>
                <w:color w:val="000000"/>
                <w:sz w:val="21"/>
                <w:szCs w:val="21"/>
                <w:highlight w:val="yellow"/>
              </w:rPr>
            </w:pPr>
            <w:r>
              <w:rPr>
                <w:rFonts w:hint="eastAsia" w:ascii="Times New Roman" w:hAnsi="Times New Roman" w:cs="宋体"/>
                <w:color w:val="000000"/>
                <w:sz w:val="21"/>
                <w:szCs w:val="21"/>
              </w:rPr>
              <w:t>6、充分用好国家、省、校三级24365大学生就业服务平台，确保服务率100%。</w:t>
            </w:r>
          </w:p>
        </w:tc>
        <w:tc>
          <w:tcPr>
            <w:tcW w:w="1019" w:type="dxa"/>
            <w:tcBorders>
              <w:tl2br w:val="nil"/>
              <w:tr2bl w:val="nil"/>
            </w:tcBorders>
            <w:vAlign w:val="center"/>
          </w:tcPr>
          <w:p>
            <w:pPr>
              <w:wordWrap w:val="0"/>
              <w:spacing w:line="26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人社局</w:t>
            </w:r>
          </w:p>
          <w:p>
            <w:pPr>
              <w:wordWrap w:val="0"/>
              <w:spacing w:line="26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教育局</w:t>
            </w:r>
          </w:p>
        </w:tc>
        <w:tc>
          <w:tcPr>
            <w:tcW w:w="1044" w:type="dxa"/>
            <w:tcBorders>
              <w:tl2br w:val="nil"/>
              <w:tr2bl w:val="nil"/>
            </w:tcBorders>
            <w:vAlign w:val="center"/>
          </w:tcPr>
          <w:p>
            <w:pPr>
              <w:wordWrap w:val="0"/>
              <w:spacing w:line="260" w:lineRule="exact"/>
              <w:jc w:val="center"/>
              <w:rPr>
                <w:rFonts w:ascii="Times New Roman" w:hAnsi="Times New Roman" w:cs="宋体"/>
                <w:color w:val="000000"/>
                <w:sz w:val="21"/>
                <w:szCs w:val="21"/>
              </w:rPr>
            </w:pPr>
            <w:r>
              <w:rPr>
                <w:rFonts w:hint="eastAsia" w:ascii="Times New Roman" w:hAnsi="Times New Roman" w:cs="宋体"/>
                <w:color w:val="000000"/>
                <w:w w:val="66"/>
                <w:sz w:val="21"/>
                <w:szCs w:val="21"/>
              </w:rPr>
              <w:t>在扬各高校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472"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8</w:t>
            </w:r>
          </w:p>
        </w:tc>
        <w:tc>
          <w:tcPr>
            <w:tcW w:w="2816" w:type="dxa"/>
            <w:tcBorders>
              <w:tl2br w:val="nil"/>
              <w:tr2bl w:val="nil"/>
            </w:tcBorders>
            <w:vAlign w:val="center"/>
          </w:tcPr>
          <w:p>
            <w:pPr>
              <w:wordWrap w:val="0"/>
              <w:spacing w:line="280" w:lineRule="exact"/>
              <w:ind w:firstLine="420" w:firstLineChars="200"/>
              <w:jc w:val="left"/>
              <w:rPr>
                <w:rFonts w:ascii="Times New Roman" w:hAnsi="Times New Roman" w:eastAsia="楷体" w:cs="楷体"/>
                <w:color w:val="000000"/>
                <w:sz w:val="21"/>
                <w:szCs w:val="21"/>
              </w:rPr>
            </w:pPr>
            <w:r>
              <w:rPr>
                <w:rFonts w:hint="eastAsia" w:ascii="Times New Roman" w:hAnsi="Times New Roman" w:eastAsia="楷体" w:cs="楷体"/>
                <w:color w:val="000000"/>
                <w:sz w:val="21"/>
                <w:szCs w:val="21"/>
              </w:rPr>
              <w:t>深化市校合作共建，有效提升在扬高校毕业生留扬就业创业率，进一步提高在扬高校对本市人才结构优化的贡献度。</w:t>
            </w:r>
          </w:p>
        </w:tc>
        <w:tc>
          <w:tcPr>
            <w:tcW w:w="8966" w:type="dxa"/>
            <w:gridSpan w:val="6"/>
            <w:tcBorders>
              <w:tl2br w:val="nil"/>
              <w:tr2bl w:val="nil"/>
            </w:tcBorders>
            <w:vAlign w:val="center"/>
          </w:tcPr>
          <w:p>
            <w:pPr>
              <w:wordWrap w:val="0"/>
              <w:spacing w:line="240" w:lineRule="exact"/>
              <w:ind w:firstLine="420" w:firstLineChars="200"/>
              <w:jc w:val="left"/>
              <w:rPr>
                <w:rFonts w:ascii="Times New Roman" w:hAnsi="Times New Roman" w:cs="宋体"/>
                <w:color w:val="000000"/>
                <w:sz w:val="21"/>
                <w:szCs w:val="21"/>
              </w:rPr>
            </w:pPr>
            <w:r>
              <w:rPr>
                <w:rFonts w:hint="eastAsia" w:ascii="Times New Roman" w:hAnsi="Times New Roman" w:cs="宋体"/>
                <w:color w:val="000000"/>
                <w:sz w:val="21"/>
                <w:szCs w:val="21"/>
              </w:rPr>
              <w:t>1、每年组织进校园招聘、举办城市推介讲座、参观企业及城市各不少于15场。计划组织不少于5000名在扬高校毕业生参加相关活动。</w:t>
            </w:r>
          </w:p>
          <w:p>
            <w:pPr>
              <w:wordWrap w:val="0"/>
              <w:spacing w:line="240" w:lineRule="exact"/>
              <w:ind w:firstLine="420" w:firstLineChars="200"/>
              <w:jc w:val="left"/>
              <w:rPr>
                <w:rFonts w:ascii="Times New Roman" w:hAnsi="Times New Roman" w:cs="宋体"/>
                <w:color w:val="000000"/>
                <w:sz w:val="21"/>
                <w:szCs w:val="21"/>
              </w:rPr>
            </w:pPr>
            <w:r>
              <w:rPr>
                <w:rFonts w:hint="eastAsia" w:ascii="Times New Roman" w:hAnsi="Times New Roman" w:cs="宋体"/>
                <w:color w:val="000000"/>
                <w:sz w:val="21"/>
                <w:szCs w:val="21"/>
              </w:rPr>
              <w:t>2、加大人才政策宣传力度，举办多频次、小规模的宣传活动。</w:t>
            </w:r>
          </w:p>
          <w:p>
            <w:pPr>
              <w:wordWrap w:val="0"/>
              <w:spacing w:line="240" w:lineRule="exact"/>
              <w:ind w:firstLine="420" w:firstLineChars="200"/>
              <w:jc w:val="left"/>
              <w:rPr>
                <w:rFonts w:ascii="Times New Roman" w:hAnsi="Times New Roman" w:cs="宋体"/>
                <w:color w:val="000000"/>
                <w:sz w:val="21"/>
                <w:szCs w:val="21"/>
              </w:rPr>
            </w:pPr>
            <w:r>
              <w:rPr>
                <w:rFonts w:hint="eastAsia" w:ascii="Times New Roman" w:hAnsi="Times New Roman" w:cs="宋体"/>
                <w:color w:val="000000"/>
                <w:sz w:val="21"/>
                <w:szCs w:val="21"/>
              </w:rPr>
              <w:t>3、联合在扬高校就业部门，组织进校园招聘、讲座推介、企业参观、城市参观。由专业培训机构组织一批职业指导师、人力资源服务专家、知名企业家等进校园集中为在扬高校毕业生培训指导。</w:t>
            </w:r>
          </w:p>
          <w:p>
            <w:pPr>
              <w:wordWrap w:val="0"/>
              <w:spacing w:line="240" w:lineRule="exact"/>
              <w:ind w:firstLine="420" w:firstLineChars="200"/>
              <w:jc w:val="left"/>
              <w:rPr>
                <w:rFonts w:ascii="Times New Roman" w:hAnsi="Times New Roman" w:cs="宋体"/>
                <w:color w:val="000000"/>
                <w:sz w:val="21"/>
                <w:szCs w:val="21"/>
              </w:rPr>
            </w:pPr>
            <w:r>
              <w:rPr>
                <w:rFonts w:hint="eastAsia" w:ascii="Times New Roman" w:hAnsi="Times New Roman" w:cs="宋体"/>
                <w:color w:val="000000"/>
                <w:sz w:val="21"/>
                <w:szCs w:val="21"/>
              </w:rPr>
              <w:t>4、鼓励面向各层次毕业生公开招聘教师，积极支持师范毕业生在扬就业。</w:t>
            </w:r>
          </w:p>
        </w:tc>
        <w:tc>
          <w:tcPr>
            <w:tcW w:w="1019"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教育局</w:t>
            </w:r>
          </w:p>
        </w:tc>
        <w:tc>
          <w:tcPr>
            <w:tcW w:w="1044"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人社局</w:t>
            </w:r>
          </w:p>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财政局</w:t>
            </w:r>
          </w:p>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w w:val="66"/>
                <w:sz w:val="21"/>
                <w:szCs w:val="21"/>
              </w:rPr>
              <w:t>在扬各高校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9" w:hRule="atLeast"/>
          <w:jc w:val="center"/>
        </w:trPr>
        <w:tc>
          <w:tcPr>
            <w:tcW w:w="472"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9</w:t>
            </w:r>
          </w:p>
        </w:tc>
        <w:tc>
          <w:tcPr>
            <w:tcW w:w="2816" w:type="dxa"/>
            <w:tcBorders>
              <w:tl2br w:val="nil"/>
              <w:tr2bl w:val="nil"/>
            </w:tcBorders>
            <w:vAlign w:val="center"/>
          </w:tcPr>
          <w:p>
            <w:pPr>
              <w:wordWrap w:val="0"/>
              <w:spacing w:line="280" w:lineRule="exact"/>
              <w:ind w:firstLine="420" w:firstLineChars="200"/>
              <w:jc w:val="left"/>
              <w:rPr>
                <w:rFonts w:ascii="Times New Roman" w:hAnsi="Times New Roman" w:eastAsia="楷体" w:cs="楷体"/>
                <w:color w:val="000000"/>
                <w:sz w:val="21"/>
                <w:szCs w:val="21"/>
              </w:rPr>
            </w:pPr>
            <w:r>
              <w:rPr>
                <w:rFonts w:hint="eastAsia" w:ascii="Times New Roman" w:hAnsi="Times New Roman" w:eastAsia="楷体" w:cs="楷体"/>
                <w:color w:val="000000"/>
                <w:sz w:val="21"/>
                <w:szCs w:val="21"/>
              </w:rPr>
              <w:t>加强对退役军人就业的指导和服务，维护退役军人合法权益。</w:t>
            </w:r>
          </w:p>
        </w:tc>
        <w:tc>
          <w:tcPr>
            <w:tcW w:w="2921" w:type="dxa"/>
            <w:gridSpan w:val="3"/>
            <w:tcBorders>
              <w:tl2br w:val="nil"/>
              <w:tr2bl w:val="nil"/>
            </w:tcBorders>
            <w:vAlign w:val="center"/>
          </w:tcPr>
          <w:p>
            <w:pPr>
              <w:wordWrap w:val="0"/>
              <w:spacing w:line="22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1、做好每年春秋退伍季全市自主就业退役士兵全员适应性培训，宣讲就业创业政策，辅导职业生涯规划，帮助退役士兵实现人生转型、事业转轨。</w:t>
            </w:r>
          </w:p>
          <w:p>
            <w:pPr>
              <w:wordWrap w:val="0"/>
              <w:spacing w:line="22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2、开展线上线下退役军人专场招聘会，确保上一年度有就业愿望的退役士兵就业率100%。</w:t>
            </w:r>
          </w:p>
          <w:p>
            <w:pPr>
              <w:wordWrap w:val="0"/>
              <w:spacing w:line="22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3、做好职业技能、个性培、创业等补贴性教育培训，宣传动员全市符合条件的退役士兵参加省级特色培训班。</w:t>
            </w:r>
          </w:p>
          <w:p>
            <w:pPr>
              <w:wordWrap w:val="0"/>
              <w:spacing w:line="22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4、2023年，结合扬州实际出台《关于加强和改进新时代退役军人就业创业工作的意见，并做好推进落实。</w:t>
            </w:r>
          </w:p>
        </w:tc>
        <w:tc>
          <w:tcPr>
            <w:tcW w:w="6045" w:type="dxa"/>
            <w:gridSpan w:val="3"/>
            <w:tcBorders>
              <w:tl2br w:val="nil"/>
              <w:tr2bl w:val="nil"/>
            </w:tcBorders>
            <w:vAlign w:val="center"/>
          </w:tcPr>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1、做好每年春秋退伍季全市自主就业退役士兵全员适应性培训，宣讲就业创业政策，辅导职业生涯规划，帮助退役士兵实现人生转型、事业转轨。</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2、开展线上线下退役军人专场招聘会，确保上一年度有就业愿望的退役士兵就业率100%。</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3、做好职业技能、个性培、创业等补贴性教育培训，宣传动员全市符合条件的退役士兵参加省级特色培训班。根据市《关于加强和改进新时代退役军人就业创业工作的意见》,落实好各项政策。</w:t>
            </w:r>
          </w:p>
          <w:p>
            <w:pPr>
              <w:wordWrap w:val="0"/>
              <w:spacing w:line="240" w:lineRule="exact"/>
              <w:ind w:firstLine="420" w:firstLineChars="200"/>
            </w:pPr>
            <w:r>
              <w:rPr>
                <w:rFonts w:hint="eastAsia" w:ascii="Times New Roman" w:hAnsi="Times New Roman" w:cs="宋体"/>
                <w:color w:val="000000"/>
                <w:sz w:val="21"/>
                <w:szCs w:val="21"/>
              </w:rPr>
              <w:t>4、根据市《关于加强和改进新时代退役军人就业创业工作的意见》，落实好各项政策。</w:t>
            </w:r>
          </w:p>
        </w:tc>
        <w:tc>
          <w:tcPr>
            <w:tcW w:w="1019"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退役军人局</w:t>
            </w:r>
          </w:p>
        </w:tc>
        <w:tc>
          <w:tcPr>
            <w:tcW w:w="1044" w:type="dxa"/>
            <w:tcBorders>
              <w:tl2br w:val="nil"/>
              <w:tr2bl w:val="nil"/>
            </w:tcBorders>
            <w:vAlign w:val="center"/>
          </w:tcPr>
          <w:p>
            <w:pPr>
              <w:wordWrap w:val="0"/>
              <w:spacing w:line="280" w:lineRule="exact"/>
              <w:jc w:val="center"/>
              <w:rPr>
                <w:rFonts w:ascii="Times New Roman" w:hAnsi="Times New Roman"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90" w:hRule="atLeast"/>
          <w:jc w:val="center"/>
        </w:trPr>
        <w:tc>
          <w:tcPr>
            <w:tcW w:w="472"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10</w:t>
            </w:r>
          </w:p>
        </w:tc>
        <w:tc>
          <w:tcPr>
            <w:tcW w:w="2816" w:type="dxa"/>
            <w:tcBorders>
              <w:tl2br w:val="nil"/>
              <w:tr2bl w:val="nil"/>
            </w:tcBorders>
            <w:vAlign w:val="center"/>
          </w:tcPr>
          <w:p>
            <w:pPr>
              <w:wordWrap w:val="0"/>
              <w:spacing w:line="280" w:lineRule="exact"/>
              <w:ind w:firstLine="420" w:firstLineChars="200"/>
              <w:jc w:val="left"/>
              <w:rPr>
                <w:rFonts w:ascii="Times New Roman" w:hAnsi="Times New Roman" w:eastAsia="楷体" w:cs="楷体"/>
                <w:color w:val="000000"/>
                <w:sz w:val="21"/>
                <w:szCs w:val="21"/>
              </w:rPr>
            </w:pPr>
            <w:r>
              <w:rPr>
                <w:rFonts w:hint="eastAsia" w:ascii="Times New Roman" w:hAnsi="Times New Roman" w:eastAsia="楷体" w:cs="楷体"/>
                <w:color w:val="000000"/>
                <w:sz w:val="21"/>
                <w:szCs w:val="21"/>
              </w:rPr>
              <w:t>落实就业援助制度，每年实现就业困难人员再就业8000人，登记失业人员再就业3万人；加强零就业家庭就业帮扶，实现当年内动态清零。深入推动基层公共就业服务平台建设，为群众提供“家门口的就业服务”，到2025年底，全市社区打造成“充分就业示范社区”，支持有条件的行政村打造成“标准化就业服务示范村”。深度运用省人社系统一体化信息平台，推动实现“一窗受理、一网通办”；通过系统比对、智能审核、主动推送、主动发放等方式，推动实现“政策找人、秒办免办”，切实提高公共就业服务标准化、智慧化、专业化水平。</w:t>
            </w:r>
          </w:p>
        </w:tc>
        <w:tc>
          <w:tcPr>
            <w:tcW w:w="2842" w:type="dxa"/>
            <w:gridSpan w:val="2"/>
            <w:tcBorders>
              <w:tl2br w:val="nil"/>
              <w:tr2bl w:val="nil"/>
            </w:tcBorders>
            <w:vAlign w:val="center"/>
          </w:tcPr>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1、开展就业援助月系列活动，为就业困难人员提供就业岗位、就业指导、政策解读等服务。</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2、全市帮扶就业困难人员实现就业8000人。</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3、深入推动基层公共就业服务平台建设，2023年创建标准化“家门口”就业服务站15个，打造市级“充分就业示范社区”70个。</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4、指导基层充分使用省人社一体化信息系统，加强数据采集和比对，实现“政策找企、政策找人”。</w:t>
            </w:r>
          </w:p>
        </w:tc>
        <w:tc>
          <w:tcPr>
            <w:tcW w:w="3084" w:type="dxa"/>
            <w:gridSpan w:val="2"/>
            <w:tcBorders>
              <w:tl2br w:val="nil"/>
              <w:tr2bl w:val="nil"/>
            </w:tcBorders>
            <w:vAlign w:val="center"/>
          </w:tcPr>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1、开展就业援助月系列活动，为就业困难人员提供就业岗位、就业指导、政策解读等服务。</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2、全市帮扶就业困难人员实现就业8000人。</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3、深入推动基层公共就业服务平台建设，创建标准化“家门口”就业服务站15个，打造市级“充分就业示范社区”105个。</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4、启动“标准化就业服务示范村”建设，打造3个“标准化就业服务示范村”。</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5、指导基层充分使用省人社一体化信息系统，加强数据采集和比对，实现“政策找企、政策找人”。</w:t>
            </w:r>
          </w:p>
        </w:tc>
        <w:tc>
          <w:tcPr>
            <w:tcW w:w="3040" w:type="dxa"/>
            <w:gridSpan w:val="2"/>
            <w:tcBorders>
              <w:tl2br w:val="nil"/>
              <w:tr2bl w:val="nil"/>
            </w:tcBorders>
            <w:vAlign w:val="center"/>
          </w:tcPr>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1、开展就业援助月系列活动，为就业困难人员提供就业岗位、就业指导、政策解读等服务。</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2、全市帮扶就业困难人员实现就业8000人。</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3、深入推动基层公共就业服务平台建设，创建标准化“家门口”就业服务站15个，市级“充分就业示范社区”全覆盖。</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4、推进“标准化就业服务示范村”建设，打造10个“标准化就业服务示范村”。</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5、指导基层充分使用省人社一体化信息系统，加强数据采集和比对，实现“政策找企、政策找人”。</w:t>
            </w:r>
          </w:p>
        </w:tc>
        <w:tc>
          <w:tcPr>
            <w:tcW w:w="1019"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人社局</w:t>
            </w:r>
          </w:p>
        </w:tc>
        <w:tc>
          <w:tcPr>
            <w:tcW w:w="1044" w:type="dxa"/>
            <w:tcBorders>
              <w:tl2br w:val="nil"/>
              <w:tr2bl w:val="nil"/>
            </w:tcBorders>
            <w:vAlign w:val="center"/>
          </w:tcPr>
          <w:p>
            <w:pPr>
              <w:wordWrap w:val="0"/>
              <w:spacing w:line="280" w:lineRule="exact"/>
              <w:jc w:val="center"/>
              <w:rPr>
                <w:rFonts w:ascii="Times New Roman" w:hAnsi="Times New Roman"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3" w:hRule="atLeast"/>
          <w:jc w:val="center"/>
        </w:trPr>
        <w:tc>
          <w:tcPr>
            <w:tcW w:w="472"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11</w:t>
            </w:r>
          </w:p>
        </w:tc>
        <w:tc>
          <w:tcPr>
            <w:tcW w:w="2816" w:type="dxa"/>
            <w:tcBorders>
              <w:tl2br w:val="nil"/>
              <w:tr2bl w:val="nil"/>
            </w:tcBorders>
            <w:vAlign w:val="center"/>
          </w:tcPr>
          <w:p>
            <w:pPr>
              <w:wordWrap w:val="0"/>
              <w:spacing w:line="280" w:lineRule="exact"/>
              <w:ind w:firstLine="420" w:firstLineChars="200"/>
              <w:jc w:val="left"/>
              <w:rPr>
                <w:rFonts w:ascii="Times New Roman" w:hAnsi="Times New Roman" w:eastAsia="楷体" w:cs="楷体"/>
                <w:color w:val="000000"/>
                <w:sz w:val="21"/>
                <w:szCs w:val="21"/>
              </w:rPr>
            </w:pPr>
            <w:r>
              <w:rPr>
                <w:rFonts w:hint="eastAsia" w:ascii="Times New Roman" w:hAnsi="Times New Roman" w:eastAsia="楷体" w:cs="楷体"/>
                <w:color w:val="000000"/>
                <w:sz w:val="21"/>
                <w:szCs w:val="21"/>
              </w:rPr>
              <w:t>支持工会、共青团、妇联、残联以及其他社会组织，举办公益性人力资源服务活动。</w:t>
            </w:r>
          </w:p>
        </w:tc>
        <w:tc>
          <w:tcPr>
            <w:tcW w:w="2842" w:type="dxa"/>
            <w:gridSpan w:val="2"/>
            <w:tcBorders>
              <w:tl2br w:val="nil"/>
              <w:tr2bl w:val="nil"/>
            </w:tcBorders>
            <w:vAlign w:val="center"/>
          </w:tcPr>
          <w:p>
            <w:pPr>
              <w:spacing w:line="240" w:lineRule="exact"/>
              <w:ind w:firstLine="420" w:firstLineChars="200"/>
              <w:rPr>
                <w:rFonts w:ascii="Times New Roman" w:hAnsi="Times New Roman" w:cs="宋体"/>
                <w:sz w:val="21"/>
                <w:szCs w:val="21"/>
              </w:rPr>
            </w:pPr>
            <w:r>
              <w:rPr>
                <w:rFonts w:hint="eastAsia" w:ascii="Times New Roman" w:hAnsi="Times New Roman" w:cs="宋体"/>
                <w:color w:val="000000"/>
                <w:sz w:val="21"/>
                <w:szCs w:val="21"/>
              </w:rPr>
              <w:t>1、举办“职等你来—工会促就业”线上线下招聘会</w:t>
            </w:r>
            <w:r>
              <w:rPr>
                <w:rFonts w:hint="eastAsia" w:ascii="Times New Roman" w:hAnsi="Times New Roman" w:cs="宋体"/>
                <w:sz w:val="21"/>
                <w:szCs w:val="21"/>
              </w:rPr>
              <w:t>。</w:t>
            </w:r>
            <w:r>
              <w:rPr>
                <w:rFonts w:hint="eastAsia" w:ascii="Times New Roman" w:hAnsi="Times New Roman" w:cs="宋体"/>
                <w:color w:val="000000"/>
                <w:sz w:val="21"/>
                <w:szCs w:val="21"/>
              </w:rPr>
              <w:t>以</w:t>
            </w:r>
            <w:r>
              <w:rPr>
                <w:rFonts w:hint="eastAsia" w:ascii="Times New Roman" w:hAnsi="Times New Roman" w:cs="宋体"/>
                <w:color w:val="000000"/>
                <w:sz w:val="21"/>
                <w:szCs w:val="21"/>
                <w:lang w:val="zh-CN" w:bidi="zh-CN"/>
              </w:rPr>
              <w:t>江</w:t>
            </w:r>
            <w:r>
              <w:rPr>
                <w:rFonts w:hint="eastAsia" w:ascii="Times New Roman" w:hAnsi="Times New Roman" w:cs="宋体"/>
                <w:color w:val="000000"/>
                <w:sz w:val="21"/>
                <w:szCs w:val="21"/>
              </w:rPr>
              <w:t>苏工会服务网就业服务系统为载体，</w:t>
            </w:r>
            <w:r>
              <w:rPr>
                <w:rFonts w:hint="eastAsia" w:ascii="Times New Roman" w:hAnsi="Times New Roman" w:cs="宋体"/>
                <w:color w:val="000000"/>
                <w:sz w:val="21"/>
                <w:szCs w:val="21"/>
                <w:shd w:val="clear" w:color="auto" w:fill="FFFFFF"/>
              </w:rPr>
              <w:t>为职工提供求职登记、职业介绍、政策咨询等常态性就业服务</w:t>
            </w:r>
            <w:r>
              <w:rPr>
                <w:rFonts w:hint="eastAsia" w:ascii="Times New Roman" w:hAnsi="Times New Roman" w:cs="宋体"/>
                <w:color w:val="000000"/>
                <w:sz w:val="21"/>
                <w:szCs w:val="21"/>
              </w:rPr>
              <w:t>。</w:t>
            </w:r>
            <w:r>
              <w:rPr>
                <w:rFonts w:hint="eastAsia" w:ascii="Times New Roman" w:hAnsi="Times New Roman" w:cs="宋体"/>
                <w:sz w:val="21"/>
                <w:szCs w:val="21"/>
              </w:rPr>
              <w:t>通过线上线下招聘活动，为5000名下岗人员、农民工、困难群体以及大学生就业提供岗位10000个，实现困难人员再就业1000名。</w:t>
            </w:r>
          </w:p>
          <w:p>
            <w:pPr>
              <w:pStyle w:val="2"/>
              <w:spacing w:line="240" w:lineRule="exact"/>
              <w:ind w:firstLine="420" w:firstLineChars="200"/>
              <w:rPr>
                <w:rFonts w:ascii="Times New Roman" w:hAnsi="Times New Roman" w:cs="宋体"/>
                <w:color w:val="000000"/>
                <w:sz w:val="21"/>
                <w:szCs w:val="21"/>
                <w:shd w:val="clear" w:color="auto" w:fill="FFFFFF"/>
              </w:rPr>
            </w:pPr>
            <w:r>
              <w:rPr>
                <w:rFonts w:hint="eastAsia" w:ascii="Times New Roman" w:hAnsi="Times New Roman" w:cs="宋体"/>
                <w:color w:val="000000"/>
                <w:sz w:val="21"/>
                <w:szCs w:val="21"/>
                <w:shd w:val="clear" w:color="auto" w:fill="FFFFFF"/>
              </w:rPr>
              <w:t>2、举办“百校千企万岗”“送岗直通车”活动，助力应届毕业大学生就业，全年计划开展4场。</w:t>
            </w:r>
          </w:p>
          <w:p>
            <w:pPr>
              <w:pStyle w:val="2"/>
              <w:spacing w:line="240" w:lineRule="exact"/>
              <w:ind w:firstLine="420" w:firstLineChars="200"/>
              <w:rPr>
                <w:rFonts w:ascii="Times New Roman" w:hAnsi="Times New Roman" w:cs="宋体"/>
                <w:color w:val="000000"/>
                <w:sz w:val="21"/>
                <w:szCs w:val="21"/>
                <w:shd w:val="clear" w:color="auto" w:fill="FFFFFF"/>
              </w:rPr>
            </w:pPr>
            <w:r>
              <w:rPr>
                <w:rFonts w:hint="eastAsia" w:ascii="Times New Roman" w:hAnsi="Times New Roman" w:cs="宋体"/>
                <w:color w:val="000000"/>
                <w:sz w:val="21"/>
                <w:szCs w:val="21"/>
                <w:shd w:val="clear" w:color="auto" w:fill="FFFFFF"/>
              </w:rPr>
              <w:t>3、举办“优业青扬”直播带岗活动，定期开展直播带岗活动，促进待业人员就业。</w:t>
            </w:r>
          </w:p>
          <w:p>
            <w:pPr>
              <w:pStyle w:val="2"/>
              <w:spacing w:line="240" w:lineRule="exact"/>
              <w:ind w:firstLine="420" w:firstLineChars="200"/>
              <w:rPr>
                <w:rFonts w:ascii="Times New Roman" w:hAnsi="Times New Roman" w:cs="宋体"/>
                <w:color w:val="000000"/>
                <w:sz w:val="21"/>
                <w:szCs w:val="21"/>
                <w:shd w:val="clear" w:color="auto" w:fill="FFFFFF"/>
              </w:rPr>
            </w:pPr>
            <w:r>
              <w:rPr>
                <w:rFonts w:hint="eastAsia" w:ascii="Times New Roman" w:hAnsi="Times New Roman" w:cs="宋体"/>
                <w:color w:val="000000"/>
                <w:sz w:val="21"/>
                <w:szCs w:val="21"/>
                <w:shd w:val="clear" w:color="auto" w:fill="FFFFFF"/>
              </w:rPr>
              <w:t>4、举办女性专场招聘会7场。</w:t>
            </w:r>
          </w:p>
          <w:p>
            <w:pPr>
              <w:pStyle w:val="2"/>
              <w:spacing w:line="240" w:lineRule="exact"/>
              <w:ind w:firstLine="420" w:firstLineChars="200"/>
              <w:rPr>
                <w:rFonts w:ascii="Times New Roman" w:hAnsi="Times New Roman" w:cs="宋体"/>
                <w:color w:val="000000"/>
                <w:sz w:val="21"/>
                <w:szCs w:val="21"/>
                <w:shd w:val="clear" w:color="auto" w:fill="FFFFFF"/>
              </w:rPr>
            </w:pPr>
            <w:r>
              <w:rPr>
                <w:rFonts w:hint="eastAsia" w:ascii="Times New Roman" w:hAnsi="Times New Roman" w:cs="宋体"/>
                <w:color w:val="000000"/>
                <w:sz w:val="21"/>
                <w:szCs w:val="21"/>
                <w:shd w:val="clear" w:color="auto" w:fill="FFFFFF"/>
              </w:rPr>
              <w:t>5、开展就业援助月活动，区县联动举办残疾人就业专场招聘会10场，完成“净增残疾人就业1083人”省政府民生实事任务。</w:t>
            </w:r>
          </w:p>
          <w:p>
            <w:pPr>
              <w:pStyle w:val="2"/>
              <w:spacing w:line="240" w:lineRule="exact"/>
              <w:ind w:firstLine="420" w:firstLineChars="200"/>
              <w:rPr>
                <w:rFonts w:ascii="Times New Roman" w:hAnsi="Times New Roman" w:cs="宋体"/>
                <w:color w:val="000000"/>
                <w:sz w:val="21"/>
                <w:szCs w:val="21"/>
                <w:shd w:val="clear" w:color="auto" w:fill="FFFFFF"/>
              </w:rPr>
            </w:pPr>
            <w:r>
              <w:rPr>
                <w:rFonts w:hint="eastAsia" w:ascii="Times New Roman" w:hAnsi="Times New Roman" w:cs="宋体"/>
                <w:color w:val="000000"/>
                <w:sz w:val="21"/>
                <w:szCs w:val="21"/>
                <w:shd w:val="clear" w:color="auto" w:fill="FFFFFF"/>
              </w:rPr>
              <w:t>6、引导支持有关社会组织举办公益性人力资源服务活动。</w:t>
            </w:r>
          </w:p>
        </w:tc>
        <w:tc>
          <w:tcPr>
            <w:tcW w:w="3084" w:type="dxa"/>
            <w:gridSpan w:val="2"/>
            <w:tcBorders>
              <w:tl2br w:val="nil"/>
              <w:tr2bl w:val="nil"/>
            </w:tcBorders>
            <w:vAlign w:val="center"/>
          </w:tcPr>
          <w:p>
            <w:pPr>
              <w:spacing w:line="240" w:lineRule="exact"/>
              <w:ind w:firstLine="420" w:firstLineChars="200"/>
              <w:rPr>
                <w:rFonts w:ascii="Times New Roman" w:hAnsi="Times New Roman" w:cs="宋体"/>
                <w:bCs/>
                <w:sz w:val="21"/>
                <w:szCs w:val="21"/>
              </w:rPr>
            </w:pPr>
            <w:r>
              <w:rPr>
                <w:rFonts w:hint="eastAsia" w:ascii="Times New Roman" w:hAnsi="Times New Roman" w:cs="宋体"/>
                <w:bCs/>
                <w:sz w:val="21"/>
                <w:szCs w:val="21"/>
              </w:rPr>
              <w:t>1、举办“职等你来—工会促就业”线上线下招聘会。以江苏工会服务网就业服务系统为载体，为职工提供求职登记、职业介绍、政策咨询等常态性就业服务。通过线上线下招聘活动，为6000名下岗人员、农民工、困难群体以及大学生就业提供岗位10000个，实现困难人员再就业1000名。</w:t>
            </w:r>
          </w:p>
          <w:p>
            <w:pPr>
              <w:spacing w:line="240" w:lineRule="exact"/>
              <w:ind w:firstLine="420" w:firstLineChars="200"/>
              <w:rPr>
                <w:rFonts w:ascii="Times New Roman" w:hAnsi="Times New Roman" w:cs="宋体"/>
                <w:bCs/>
                <w:sz w:val="21"/>
                <w:szCs w:val="21"/>
              </w:rPr>
            </w:pPr>
            <w:r>
              <w:rPr>
                <w:rFonts w:hint="eastAsia" w:ascii="Times New Roman" w:hAnsi="Times New Roman" w:cs="宋体"/>
                <w:bCs/>
                <w:sz w:val="21"/>
                <w:szCs w:val="21"/>
              </w:rPr>
              <w:t>2、举办“百校千企万岗”“送岗直通车”活动，助力应届毕业大学生就业，全年计划开展4场。</w:t>
            </w:r>
          </w:p>
          <w:p>
            <w:pPr>
              <w:spacing w:line="240" w:lineRule="exact"/>
              <w:ind w:firstLine="420" w:firstLineChars="200"/>
              <w:rPr>
                <w:rFonts w:ascii="Times New Roman" w:hAnsi="Times New Roman" w:cs="宋体"/>
                <w:bCs/>
                <w:sz w:val="21"/>
                <w:szCs w:val="21"/>
              </w:rPr>
            </w:pPr>
            <w:r>
              <w:rPr>
                <w:rFonts w:hint="eastAsia" w:ascii="Times New Roman" w:hAnsi="Times New Roman" w:cs="宋体"/>
                <w:bCs/>
                <w:sz w:val="21"/>
                <w:szCs w:val="21"/>
              </w:rPr>
              <w:t>3、举办“优业青扬”直播带岗活动，定期开展直播带岗活动，促进待业人员就业。</w:t>
            </w:r>
          </w:p>
          <w:p>
            <w:pPr>
              <w:spacing w:line="240" w:lineRule="exact"/>
              <w:ind w:firstLine="420" w:firstLineChars="200"/>
              <w:rPr>
                <w:rFonts w:ascii="Times New Roman" w:hAnsi="Times New Roman" w:cs="宋体"/>
                <w:bCs/>
                <w:sz w:val="21"/>
                <w:szCs w:val="21"/>
              </w:rPr>
            </w:pPr>
            <w:r>
              <w:rPr>
                <w:rFonts w:hint="eastAsia" w:ascii="Times New Roman" w:hAnsi="Times New Roman" w:cs="宋体"/>
                <w:bCs/>
                <w:sz w:val="21"/>
                <w:szCs w:val="21"/>
              </w:rPr>
              <w:t>4、举办女性专场招聘会8场。</w:t>
            </w:r>
          </w:p>
          <w:p>
            <w:pPr>
              <w:spacing w:line="240" w:lineRule="exact"/>
              <w:ind w:firstLine="420" w:firstLineChars="200"/>
              <w:rPr>
                <w:rFonts w:ascii="Times New Roman" w:hAnsi="Times New Roman" w:cs="宋体"/>
                <w:bCs/>
                <w:sz w:val="21"/>
                <w:szCs w:val="21"/>
              </w:rPr>
            </w:pPr>
            <w:r>
              <w:rPr>
                <w:rFonts w:hint="eastAsia" w:ascii="Times New Roman" w:hAnsi="Times New Roman" w:cs="宋体"/>
                <w:bCs/>
                <w:sz w:val="21"/>
                <w:szCs w:val="21"/>
              </w:rPr>
              <w:t>5、区县联动举办残疾人就业专场招聘会10场，持续开展残疾人就业培训、就业援助月活动，加大就业帮扶力度。</w:t>
            </w:r>
          </w:p>
          <w:p>
            <w:pPr>
              <w:spacing w:line="240" w:lineRule="exact"/>
              <w:ind w:firstLine="420" w:firstLineChars="200"/>
              <w:rPr>
                <w:rFonts w:ascii="Times New Roman" w:hAnsi="Times New Roman" w:cs="宋体"/>
                <w:bCs/>
                <w:sz w:val="21"/>
                <w:szCs w:val="21"/>
              </w:rPr>
            </w:pPr>
            <w:r>
              <w:rPr>
                <w:rFonts w:hint="eastAsia" w:ascii="Times New Roman" w:hAnsi="Times New Roman" w:cs="宋体"/>
                <w:bCs/>
                <w:sz w:val="21"/>
                <w:szCs w:val="21"/>
              </w:rPr>
              <w:t>6、引导支持有关社会组织举办公益性人力资源服务活动。</w:t>
            </w:r>
          </w:p>
        </w:tc>
        <w:tc>
          <w:tcPr>
            <w:tcW w:w="3040" w:type="dxa"/>
            <w:gridSpan w:val="2"/>
            <w:tcBorders>
              <w:tl2br w:val="nil"/>
              <w:tr2bl w:val="nil"/>
            </w:tcBorders>
            <w:vAlign w:val="center"/>
          </w:tcPr>
          <w:p>
            <w:pPr>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1、举办“职等你来—工会促就业”线上线下招聘会。以江苏工会服务网就业服务系统为载体，为职工提供求职登记、职业介绍、政策咨询等常态性就业服务。通过线上线下招聘活动，为6000名下岗人员、农民工、困难群体以及大学生就业提供岗位10000个，实现困难人员再就业1000名。</w:t>
            </w:r>
          </w:p>
          <w:p>
            <w:pPr>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2、举办“百校千企万岗”“送岗直通车”活动，助力应届毕业大学生就业，全年计划开展4场。</w:t>
            </w:r>
          </w:p>
          <w:p>
            <w:pPr>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3、举办“优业青扬”直播带岗活动，定期开展直播带岗活动，促进待业人员就业。</w:t>
            </w:r>
          </w:p>
          <w:p>
            <w:pPr>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4、举办女性专场招聘会8场。</w:t>
            </w:r>
          </w:p>
          <w:p>
            <w:pPr>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5、区县联动举办残疾人就业专场招聘会10场，持续开展残疾人就业培训、就业援助月活动，加大就业帮扶力度。</w:t>
            </w:r>
          </w:p>
          <w:p>
            <w:pPr>
              <w:spacing w:line="240" w:lineRule="exact"/>
              <w:ind w:firstLine="420" w:firstLineChars="200"/>
              <w:rPr>
                <w:rFonts w:ascii="Times New Roman" w:hAnsi="Times New Roman" w:cs="宋体"/>
                <w:color w:val="000000"/>
                <w:sz w:val="21"/>
                <w:szCs w:val="21"/>
                <w:highlight w:val="yellow"/>
              </w:rPr>
            </w:pPr>
            <w:r>
              <w:rPr>
                <w:rFonts w:hint="eastAsia" w:ascii="Times New Roman" w:hAnsi="Times New Roman" w:cs="宋体"/>
                <w:color w:val="000000"/>
                <w:sz w:val="21"/>
                <w:szCs w:val="21"/>
              </w:rPr>
              <w:t>6、引导支持有关社会组织举办公益性人力资源服务活动。</w:t>
            </w:r>
          </w:p>
        </w:tc>
        <w:tc>
          <w:tcPr>
            <w:tcW w:w="1019"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总工会</w:t>
            </w:r>
          </w:p>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团市委</w:t>
            </w:r>
          </w:p>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妇联</w:t>
            </w:r>
          </w:p>
          <w:p>
            <w:pPr>
              <w:wordWrap w:val="0"/>
              <w:spacing w:line="280" w:lineRule="exact"/>
              <w:jc w:val="center"/>
              <w:rPr>
                <w:rFonts w:ascii="Times New Roman" w:hAnsi="Times New Roman"/>
              </w:rPr>
            </w:pPr>
            <w:r>
              <w:rPr>
                <w:rFonts w:hint="eastAsia" w:ascii="Times New Roman" w:hAnsi="Times New Roman" w:cs="宋体"/>
                <w:color w:val="000000"/>
                <w:sz w:val="21"/>
                <w:szCs w:val="21"/>
              </w:rPr>
              <w:t>残联</w:t>
            </w:r>
          </w:p>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民政局</w:t>
            </w:r>
          </w:p>
        </w:tc>
        <w:tc>
          <w:tcPr>
            <w:tcW w:w="1044"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人社局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15" w:hRule="atLeast"/>
          <w:jc w:val="center"/>
        </w:trPr>
        <w:tc>
          <w:tcPr>
            <w:tcW w:w="472"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12</w:t>
            </w:r>
          </w:p>
        </w:tc>
        <w:tc>
          <w:tcPr>
            <w:tcW w:w="2816" w:type="dxa"/>
            <w:tcBorders>
              <w:tl2br w:val="nil"/>
              <w:tr2bl w:val="nil"/>
            </w:tcBorders>
            <w:vAlign w:val="center"/>
          </w:tcPr>
          <w:p>
            <w:pPr>
              <w:wordWrap w:val="0"/>
              <w:spacing w:line="280" w:lineRule="exact"/>
              <w:ind w:firstLine="420" w:firstLineChars="200"/>
              <w:jc w:val="left"/>
              <w:rPr>
                <w:rFonts w:ascii="Times New Roman" w:hAnsi="Times New Roman" w:eastAsia="楷体" w:cs="楷体"/>
                <w:color w:val="000000"/>
                <w:sz w:val="21"/>
                <w:szCs w:val="21"/>
              </w:rPr>
            </w:pPr>
            <w:r>
              <w:rPr>
                <w:rFonts w:hint="eastAsia" w:ascii="Times New Roman" w:hAnsi="Times New Roman" w:eastAsia="楷体" w:cs="楷体"/>
                <w:color w:val="000000"/>
                <w:sz w:val="21"/>
                <w:szCs w:val="21"/>
              </w:rPr>
              <w:t>依法维护劳动者合法权益，对用人单位遵守劳动法律、法规的情况进行监督。依法保护劳动者不因民族、种族、性别、宗教信仰、户籍、身份等不同，以及因残疾而受就业歧视或者不合理限制。</w:t>
            </w:r>
          </w:p>
        </w:tc>
        <w:tc>
          <w:tcPr>
            <w:tcW w:w="2842" w:type="dxa"/>
            <w:gridSpan w:val="2"/>
            <w:tcBorders>
              <w:tl2br w:val="nil"/>
              <w:tr2bl w:val="nil"/>
            </w:tcBorders>
            <w:vAlign w:val="center"/>
          </w:tcPr>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1、在事业单位公开招聘工作实施过程中，规范招聘岗位条件设置，不设置指向性或者与招聘岗位无关的歧视性条件。</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2、加强劳动监察日常监察执法，畅通投诉举报途径；将清理整顿人力资源市场秩序专项行动与“双随机”检查相结合，着重关注就业歧视或者不合理限制。</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3、持续开展集中整治拖欠农民工工资问题专项行动，推动实现工程建设领域农民工工资“月结月清”，将根治欠薪监督工作常态化。</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4、妥善审理各类就业纠纷，共同营造和维护良好就业环境。</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5、不断加强劳动法律法规普法宣传和培训，发布劳动争议典型案例，深入开展“送法进企业”等活动。</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6、以残疾人按比例就业年审为抓手，促进用人单位规范用工。</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7、对遭受性别歧视需要帮助的妇女，依法提供法律服务。</w:t>
            </w:r>
          </w:p>
          <w:p>
            <w:pPr>
              <w:wordWrap w:val="0"/>
              <w:spacing w:line="240" w:lineRule="exact"/>
              <w:ind w:firstLine="420" w:firstLineChars="200"/>
              <w:rPr>
                <w:rFonts w:ascii="Times New Roman" w:hAnsi="Times New Roman" w:cs="宋体"/>
                <w:color w:val="000000"/>
                <w:sz w:val="21"/>
                <w:szCs w:val="21"/>
                <w:highlight w:val="yellow"/>
              </w:rPr>
            </w:pPr>
            <w:r>
              <w:rPr>
                <w:rFonts w:hint="eastAsia" w:ascii="Times New Roman" w:hAnsi="Times New Roman" w:cs="宋体"/>
                <w:color w:val="000000"/>
                <w:sz w:val="21"/>
                <w:szCs w:val="21"/>
              </w:rPr>
              <w:t>8、开展“红石榴就业行动”。</w:t>
            </w:r>
          </w:p>
        </w:tc>
        <w:tc>
          <w:tcPr>
            <w:tcW w:w="3084" w:type="dxa"/>
            <w:gridSpan w:val="2"/>
            <w:tcBorders>
              <w:tl2br w:val="nil"/>
              <w:tr2bl w:val="nil"/>
            </w:tcBorders>
            <w:vAlign w:val="center"/>
          </w:tcPr>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1、在事业单位公开招聘工作实施过程中，规范招聘岗位条件设置，不设置指向性或者与招聘岗位无关的歧视性条件。</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2、加强劳动监察日常监察执法，畅通投诉举报途径；将清理整顿人力资源市场秩序专项行动与“双随机”检查相结合，着重关注就业歧视或者不合理限制。</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3、持续开展集中整治拖欠农民工工资问题专项行动，推动实现工程建设领域农民工工资“月结月清”，将根治欠薪监督工作常态化。</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4、妥善审理各类就业纠纷，共同营造和维护良好就业环境。</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5、不断加强劳动法律法规普法宣传和培训。</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6、以残疾人按比例就业年审为抓手，促进用人单位规范用工。</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7、对遭受性别歧视需要帮助的妇女，依法提供法律服务。</w:t>
            </w:r>
          </w:p>
          <w:p>
            <w:pPr>
              <w:wordWrap w:val="0"/>
              <w:spacing w:line="240" w:lineRule="exact"/>
              <w:ind w:firstLine="420" w:firstLineChars="200"/>
              <w:rPr>
                <w:rFonts w:ascii="Times New Roman" w:hAnsi="Times New Roman" w:cs="宋体"/>
                <w:color w:val="000000"/>
                <w:sz w:val="21"/>
                <w:szCs w:val="21"/>
                <w:highlight w:val="yellow"/>
              </w:rPr>
            </w:pPr>
            <w:r>
              <w:rPr>
                <w:rFonts w:hint="eastAsia" w:ascii="Times New Roman" w:hAnsi="Times New Roman" w:cs="宋体"/>
                <w:color w:val="000000"/>
                <w:sz w:val="21"/>
                <w:szCs w:val="21"/>
              </w:rPr>
              <w:t>8、以民族交往交流交融示范基地为载体，开展民族政策咨询和宣传；推动互嵌式社区建设，共筑中华民族共有精神家园。</w:t>
            </w:r>
          </w:p>
        </w:tc>
        <w:tc>
          <w:tcPr>
            <w:tcW w:w="3040" w:type="dxa"/>
            <w:gridSpan w:val="2"/>
            <w:tcBorders>
              <w:tl2br w:val="nil"/>
              <w:tr2bl w:val="nil"/>
            </w:tcBorders>
            <w:vAlign w:val="center"/>
          </w:tcPr>
          <w:p>
            <w:pPr>
              <w:wordWrap w:val="0"/>
              <w:spacing w:line="228"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1、在事业单位公开招聘工作实施过程中，规范招聘岗位条件设置，不设置指向性或者与招聘岗位无关的歧视性条件。</w:t>
            </w:r>
          </w:p>
          <w:p>
            <w:pPr>
              <w:wordWrap w:val="0"/>
              <w:spacing w:line="228"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2、加强劳动监察日常监察执法，畅通投诉举报途径；将清理整顿人力资源市场秩序专项行动与“双随机”检查相结合，着重关注就业歧视或者不合理限制。</w:t>
            </w:r>
          </w:p>
          <w:p>
            <w:pPr>
              <w:wordWrap w:val="0"/>
              <w:spacing w:line="228"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3、持续开展集中整治拖欠农民工工资问题专项行动，推动实现工程建设领域农民工工资“月结月清”，将根治欠薪监督工作常态化。</w:t>
            </w:r>
          </w:p>
          <w:p>
            <w:pPr>
              <w:wordWrap w:val="0"/>
              <w:spacing w:line="228"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4、妥善审理各类就业纠纷，共同营造和维护良好就业环境。</w:t>
            </w:r>
          </w:p>
          <w:p>
            <w:pPr>
              <w:wordWrap w:val="0"/>
              <w:spacing w:line="228"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5、不断加强劳动法律法规普法宣传和培训。</w:t>
            </w:r>
          </w:p>
          <w:p>
            <w:pPr>
              <w:wordWrap w:val="0"/>
              <w:spacing w:line="228"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6、以残疾人按比例就业年审为抓手，促进用人单位规范用工。</w:t>
            </w:r>
          </w:p>
          <w:p>
            <w:pPr>
              <w:wordWrap w:val="0"/>
              <w:spacing w:line="228"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7、对遭受性别歧视需要帮助的妇女，依法提供法律服务。</w:t>
            </w:r>
          </w:p>
          <w:p>
            <w:pPr>
              <w:wordWrap w:val="0"/>
              <w:spacing w:line="228" w:lineRule="exact"/>
              <w:ind w:firstLine="420" w:firstLineChars="200"/>
              <w:rPr>
                <w:rFonts w:ascii="Times New Roman" w:hAnsi="Times New Roman" w:cs="宋体"/>
                <w:color w:val="000000"/>
                <w:sz w:val="21"/>
                <w:szCs w:val="21"/>
                <w:highlight w:val="yellow"/>
              </w:rPr>
            </w:pPr>
            <w:r>
              <w:rPr>
                <w:rFonts w:hint="eastAsia" w:ascii="Times New Roman" w:hAnsi="Times New Roman" w:cs="宋体"/>
                <w:color w:val="000000"/>
                <w:sz w:val="21"/>
                <w:szCs w:val="21"/>
              </w:rPr>
              <w:t>8、选育“红石榴就业行动”示范企业，培育、打造“红石榴家园”精品单位。</w:t>
            </w:r>
          </w:p>
        </w:tc>
        <w:tc>
          <w:tcPr>
            <w:tcW w:w="1019"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人社局</w:t>
            </w:r>
          </w:p>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w w:val="50"/>
                <w:sz w:val="21"/>
                <w:szCs w:val="21"/>
              </w:rPr>
              <w:t>中级人民法院</w:t>
            </w:r>
          </w:p>
        </w:tc>
        <w:tc>
          <w:tcPr>
            <w:tcW w:w="1044"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妇联</w:t>
            </w:r>
          </w:p>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残联</w:t>
            </w:r>
          </w:p>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民宗局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472"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13</w:t>
            </w:r>
          </w:p>
        </w:tc>
        <w:tc>
          <w:tcPr>
            <w:tcW w:w="2816" w:type="dxa"/>
            <w:tcBorders>
              <w:tl2br w:val="nil"/>
              <w:tr2bl w:val="nil"/>
            </w:tcBorders>
            <w:vAlign w:val="center"/>
          </w:tcPr>
          <w:p>
            <w:pPr>
              <w:wordWrap w:val="0"/>
              <w:spacing w:line="280" w:lineRule="exact"/>
              <w:ind w:firstLine="420" w:firstLineChars="200"/>
              <w:jc w:val="left"/>
              <w:rPr>
                <w:rFonts w:ascii="Times New Roman" w:hAnsi="Times New Roman" w:eastAsia="楷体" w:cs="楷体"/>
                <w:color w:val="000000"/>
                <w:sz w:val="21"/>
                <w:szCs w:val="21"/>
              </w:rPr>
            </w:pPr>
            <w:r>
              <w:rPr>
                <w:rFonts w:hint="eastAsia" w:ascii="Times New Roman" w:hAnsi="Times New Roman" w:eastAsia="楷体" w:cs="楷体"/>
                <w:color w:val="000000"/>
                <w:sz w:val="21"/>
                <w:szCs w:val="21"/>
              </w:rPr>
              <w:t>放开灵活就业人员在就业地参加社会保险的户籍限制。</w:t>
            </w:r>
          </w:p>
        </w:tc>
        <w:tc>
          <w:tcPr>
            <w:tcW w:w="8966" w:type="dxa"/>
            <w:gridSpan w:val="6"/>
            <w:tcBorders>
              <w:tl2br w:val="nil"/>
              <w:tr2bl w:val="nil"/>
            </w:tcBorders>
            <w:vAlign w:val="center"/>
          </w:tcPr>
          <w:p>
            <w:pPr>
              <w:wordWrap w:val="0"/>
              <w:spacing w:line="240" w:lineRule="exact"/>
              <w:ind w:firstLine="420" w:firstLineChars="20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1、按照苏政办发[2021]59号文件，放开灵活就业人员在就业地参加社会保险的户籍限制，外省户籍人员可以在我市就业地办理灵活就业人员参保缴费。</w:t>
            </w:r>
          </w:p>
          <w:p>
            <w:pPr>
              <w:wordWrap w:val="0"/>
              <w:spacing w:line="240" w:lineRule="exact"/>
              <w:ind w:firstLine="420" w:firstLineChars="20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2、具有本市户籍、持有本市居住证或港澳台居民居住证，符合政策规定的人员，均可以灵活就业人员个人身份自愿参加职工医保。</w:t>
            </w:r>
          </w:p>
        </w:tc>
        <w:tc>
          <w:tcPr>
            <w:tcW w:w="1019"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人社局</w:t>
            </w:r>
          </w:p>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医保局</w:t>
            </w:r>
          </w:p>
        </w:tc>
        <w:tc>
          <w:tcPr>
            <w:tcW w:w="1044" w:type="dxa"/>
            <w:tcBorders>
              <w:tl2br w:val="nil"/>
              <w:tr2bl w:val="nil"/>
            </w:tcBorders>
            <w:vAlign w:val="center"/>
          </w:tcPr>
          <w:p>
            <w:pPr>
              <w:wordWrap w:val="0"/>
              <w:spacing w:line="280" w:lineRule="exact"/>
              <w:jc w:val="center"/>
              <w:rPr>
                <w:rFonts w:ascii="Times New Roman" w:hAnsi="Times New Roman"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472"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14</w:t>
            </w:r>
          </w:p>
        </w:tc>
        <w:tc>
          <w:tcPr>
            <w:tcW w:w="2816" w:type="dxa"/>
            <w:tcBorders>
              <w:tl2br w:val="nil"/>
              <w:tr2bl w:val="nil"/>
            </w:tcBorders>
            <w:vAlign w:val="center"/>
          </w:tcPr>
          <w:p>
            <w:pPr>
              <w:wordWrap w:val="0"/>
              <w:spacing w:line="280" w:lineRule="exact"/>
              <w:ind w:firstLine="420" w:firstLineChars="200"/>
              <w:jc w:val="left"/>
              <w:rPr>
                <w:rFonts w:ascii="Times New Roman" w:hAnsi="Times New Roman" w:eastAsia="楷体" w:cs="楷体"/>
                <w:color w:val="000000"/>
                <w:sz w:val="21"/>
                <w:szCs w:val="21"/>
              </w:rPr>
            </w:pPr>
            <w:r>
              <w:rPr>
                <w:rFonts w:hint="eastAsia" w:ascii="Times New Roman" w:hAnsi="Times New Roman" w:eastAsia="楷体" w:cs="楷体"/>
                <w:color w:val="000000"/>
                <w:sz w:val="21"/>
                <w:szCs w:val="21"/>
              </w:rPr>
              <w:t>逐步推广以经常居住地登记户口的制度，全面取消落户限制。</w:t>
            </w:r>
          </w:p>
        </w:tc>
        <w:tc>
          <w:tcPr>
            <w:tcW w:w="2842" w:type="dxa"/>
            <w:gridSpan w:val="2"/>
            <w:tcBorders>
              <w:tl2br w:val="nil"/>
              <w:tr2bl w:val="nil"/>
            </w:tcBorders>
            <w:vAlign w:val="center"/>
          </w:tcPr>
          <w:p>
            <w:pPr>
              <w:wordWrap w:val="0"/>
              <w:spacing w:line="240" w:lineRule="exact"/>
              <w:ind w:firstLine="420" w:firstLineChars="20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全面深化户籍制度改革和“放管服”改革，积极贯彻落实部、省文件要求，进一步优化完善户口迁移政策。全面实行开具无犯罪记录证明、出具户籍证明、户口迁移“跨省通办”，逐步推进新生儿落户“跨省通办”。探索推广以经常居住地登记户口的制度。</w:t>
            </w:r>
          </w:p>
        </w:tc>
        <w:tc>
          <w:tcPr>
            <w:tcW w:w="3084" w:type="dxa"/>
            <w:gridSpan w:val="2"/>
            <w:tcBorders>
              <w:tl2br w:val="nil"/>
              <w:tr2bl w:val="nil"/>
            </w:tcBorders>
            <w:vAlign w:val="center"/>
          </w:tcPr>
          <w:p>
            <w:pPr>
              <w:wordWrap w:val="0"/>
              <w:spacing w:line="240" w:lineRule="exact"/>
              <w:ind w:firstLine="420" w:firstLineChars="20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创新完善人口管理制度。在具备条件的城市群探索推行居住证互通互认，持续推进居住证制度落地落实，积极推动城镇基本公共服务常住人口全覆盖。全面推广以经常居住地登记户口的制度。</w:t>
            </w:r>
          </w:p>
        </w:tc>
        <w:tc>
          <w:tcPr>
            <w:tcW w:w="3040" w:type="dxa"/>
            <w:gridSpan w:val="2"/>
            <w:tcBorders>
              <w:tl2br w:val="nil"/>
              <w:tr2bl w:val="nil"/>
            </w:tcBorders>
            <w:vAlign w:val="center"/>
          </w:tcPr>
          <w:p>
            <w:pPr>
              <w:wordWrap w:val="0"/>
              <w:spacing w:line="240" w:lineRule="exact"/>
              <w:ind w:firstLine="420" w:firstLineChars="20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完善优化公安政务服务，积极研究推出新的便民利企举措。推进更多事项在线办理，和“跨区域通办”，推动高频户籍业务跨派出所通办。以经常居住地登记户口制度取得实质性进展。</w:t>
            </w:r>
          </w:p>
        </w:tc>
        <w:tc>
          <w:tcPr>
            <w:tcW w:w="1019"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公安局</w:t>
            </w:r>
          </w:p>
        </w:tc>
        <w:tc>
          <w:tcPr>
            <w:tcW w:w="1044" w:type="dxa"/>
            <w:tcBorders>
              <w:tl2br w:val="nil"/>
              <w:tr2bl w:val="nil"/>
            </w:tcBorders>
            <w:vAlign w:val="center"/>
          </w:tcPr>
          <w:p>
            <w:pPr>
              <w:wordWrap w:val="0"/>
              <w:spacing w:line="280" w:lineRule="exact"/>
              <w:jc w:val="center"/>
              <w:rPr>
                <w:rFonts w:ascii="Times New Roman" w:hAnsi="Times New Roman"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0" w:hRule="atLeast"/>
          <w:jc w:val="center"/>
        </w:trPr>
        <w:tc>
          <w:tcPr>
            <w:tcW w:w="472"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15</w:t>
            </w:r>
          </w:p>
        </w:tc>
        <w:tc>
          <w:tcPr>
            <w:tcW w:w="2816" w:type="dxa"/>
            <w:tcBorders>
              <w:tl2br w:val="nil"/>
              <w:tr2bl w:val="nil"/>
            </w:tcBorders>
            <w:vAlign w:val="center"/>
          </w:tcPr>
          <w:p>
            <w:pPr>
              <w:wordWrap w:val="0"/>
              <w:spacing w:line="280" w:lineRule="exact"/>
              <w:ind w:firstLine="420" w:firstLineChars="200"/>
              <w:jc w:val="left"/>
              <w:rPr>
                <w:rFonts w:ascii="Times New Roman" w:hAnsi="Times New Roman" w:eastAsia="楷体" w:cs="楷体"/>
                <w:color w:val="000000"/>
                <w:sz w:val="21"/>
                <w:szCs w:val="21"/>
              </w:rPr>
            </w:pPr>
            <w:r>
              <w:rPr>
                <w:rFonts w:hint="eastAsia" w:ascii="Times New Roman" w:hAnsi="Times New Roman" w:eastAsia="楷体" w:cs="楷体"/>
                <w:color w:val="000000"/>
                <w:sz w:val="21"/>
                <w:szCs w:val="21"/>
              </w:rPr>
              <w:t>完善相应的教育、就业、医疗、社保、治安、财政、土地等配套政策，实现常住人口基本公共服务全覆盖，让更多的适龄劳动力和人才愿意到我市就业创业。</w:t>
            </w:r>
          </w:p>
        </w:tc>
        <w:tc>
          <w:tcPr>
            <w:tcW w:w="2842" w:type="dxa"/>
            <w:gridSpan w:val="2"/>
            <w:tcBorders>
              <w:tl2br w:val="nil"/>
              <w:tr2bl w:val="nil"/>
            </w:tcBorders>
            <w:vAlign w:val="center"/>
          </w:tcPr>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1、在招生工作中，严格落实随迁人员子女就学“同城待遇”，100%安排公办学位。</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2、对所有常住人口均等提供免费公共就业服务。</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3、基本公共卫生服务经费补助标准提高到人均不低于98元。</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4、研究制定扬州市基本公共卫生服务补助资金管理办法实施细则。完善县、乡两级以服务数量和质量为主要结算依据的基本公共卫生服务管理和经费拨付（发放）机制，鼓励多劳多得、优劳优酬。</w:t>
            </w:r>
          </w:p>
          <w:p>
            <w:pPr>
              <w:wordWrap w:val="0"/>
              <w:spacing w:line="240" w:lineRule="exact"/>
              <w:ind w:firstLine="420" w:firstLineChars="200"/>
              <w:rPr>
                <w:rFonts w:ascii="Times New Roman" w:hAnsi="Times New Roman" w:cs="宋体"/>
                <w:color w:val="000000"/>
                <w:sz w:val="21"/>
                <w:szCs w:val="21"/>
                <w:highlight w:val="yellow"/>
              </w:rPr>
            </w:pPr>
            <w:r>
              <w:rPr>
                <w:rFonts w:hint="eastAsia" w:ascii="Times New Roman" w:hAnsi="Times New Roman" w:cs="宋体"/>
                <w:color w:val="000000"/>
                <w:sz w:val="21"/>
                <w:szCs w:val="21"/>
              </w:rPr>
              <w:t>5、实现“十五分钟医保服务圈”乡镇（街道）全覆盖、村（社区）医保公共服务覆盖面达90%以上。</w:t>
            </w:r>
          </w:p>
        </w:tc>
        <w:tc>
          <w:tcPr>
            <w:tcW w:w="3084" w:type="dxa"/>
            <w:gridSpan w:val="2"/>
            <w:tcBorders>
              <w:tl2br w:val="nil"/>
              <w:tr2bl w:val="nil"/>
            </w:tcBorders>
            <w:vAlign w:val="center"/>
          </w:tcPr>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1、在招生工作中，严格落实随迁人员子女就学“同城待遇”，100%安排公办学位。</w:t>
            </w:r>
          </w:p>
          <w:p>
            <w:pPr>
              <w:wordWrap w:val="0"/>
              <w:spacing w:line="240" w:lineRule="exact"/>
              <w:rPr>
                <w:rFonts w:ascii="Times New Roman" w:hAnsi="Times New Roman" w:cs="宋体"/>
                <w:color w:val="000000"/>
                <w:sz w:val="21"/>
                <w:szCs w:val="21"/>
              </w:rPr>
            </w:pPr>
            <w:r>
              <w:rPr>
                <w:rFonts w:hint="eastAsia" w:ascii="Times New Roman" w:hAnsi="Times New Roman" w:cs="宋体"/>
                <w:color w:val="000000"/>
                <w:sz w:val="21"/>
                <w:szCs w:val="21"/>
              </w:rPr>
              <w:t xml:space="preserve">    2、对所有常住人口均等提供免费公共就业服务。</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3、基本公共卫生服务经费补助标准不低于省级标准。</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4、继续开展基本公共卫生服务项目培训。充分发挥业务条线项目负责人作用，加大项目培训、指导和督查，实施条线项目全程管理。</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5、实现“十五分钟医保服务圈”乡镇（街道）全覆盖、村（社区）医保公共服务覆盖面达90%以上。</w:t>
            </w:r>
          </w:p>
          <w:p>
            <w:pPr>
              <w:wordWrap w:val="0"/>
              <w:spacing w:line="240" w:lineRule="exact"/>
              <w:rPr>
                <w:rFonts w:ascii="Times New Roman" w:hAnsi="Times New Roman" w:cs="宋体"/>
                <w:color w:val="000000"/>
                <w:sz w:val="21"/>
                <w:szCs w:val="21"/>
                <w:highlight w:val="yellow"/>
              </w:rPr>
            </w:pPr>
          </w:p>
        </w:tc>
        <w:tc>
          <w:tcPr>
            <w:tcW w:w="3040" w:type="dxa"/>
            <w:gridSpan w:val="2"/>
            <w:tcBorders>
              <w:tl2br w:val="nil"/>
              <w:tr2bl w:val="nil"/>
            </w:tcBorders>
            <w:vAlign w:val="center"/>
          </w:tcPr>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1、在招生工作中，严格落实随迁人员子女就学“同城待遇”，100%安排公办学位。</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2、对所有常住人口均等提供免费公共就业服务。</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3、基本公共卫生服务经费补助标准不低于省级标准。</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4、加强基本公共卫生服务项目绩效评价。督促各地明确整改重点与规范要求，指导各基层单位加强项目质控，强化机构自查自控、互查互控。</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5、实现“十五分钟医保服务圈”乡镇（街道）全覆盖、村（社区）医保公共服务覆盖面达90%以上。</w:t>
            </w:r>
          </w:p>
        </w:tc>
        <w:tc>
          <w:tcPr>
            <w:tcW w:w="1019"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教育局</w:t>
            </w:r>
          </w:p>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人社局</w:t>
            </w:r>
          </w:p>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卫健委</w:t>
            </w:r>
          </w:p>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医保局</w:t>
            </w:r>
          </w:p>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公安局</w:t>
            </w:r>
          </w:p>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财政局</w:t>
            </w:r>
          </w:p>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自规局</w:t>
            </w:r>
          </w:p>
        </w:tc>
        <w:tc>
          <w:tcPr>
            <w:tcW w:w="1044" w:type="dxa"/>
            <w:tcBorders>
              <w:tl2br w:val="nil"/>
              <w:tr2bl w:val="nil"/>
            </w:tcBorders>
            <w:vAlign w:val="center"/>
          </w:tcPr>
          <w:p>
            <w:pPr>
              <w:wordWrap w:val="0"/>
              <w:spacing w:line="280" w:lineRule="exact"/>
              <w:jc w:val="center"/>
              <w:rPr>
                <w:rFonts w:ascii="Times New Roman" w:hAnsi="Times New Roman"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8" w:hRule="atLeast"/>
          <w:jc w:val="center"/>
        </w:trPr>
        <w:tc>
          <w:tcPr>
            <w:tcW w:w="472"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16</w:t>
            </w:r>
          </w:p>
        </w:tc>
        <w:tc>
          <w:tcPr>
            <w:tcW w:w="2816" w:type="dxa"/>
            <w:tcBorders>
              <w:tl2br w:val="nil"/>
              <w:tr2bl w:val="nil"/>
            </w:tcBorders>
            <w:vAlign w:val="center"/>
          </w:tcPr>
          <w:p>
            <w:pPr>
              <w:wordWrap w:val="0"/>
              <w:spacing w:line="240" w:lineRule="exact"/>
              <w:ind w:firstLine="420" w:firstLineChars="200"/>
              <w:jc w:val="left"/>
              <w:rPr>
                <w:rFonts w:ascii="Times New Roman" w:hAnsi="Times New Roman" w:eastAsia="楷体" w:cs="楷体"/>
                <w:color w:val="000000"/>
                <w:sz w:val="21"/>
                <w:szCs w:val="21"/>
              </w:rPr>
            </w:pPr>
            <w:r>
              <w:rPr>
                <w:rFonts w:hint="eastAsia" w:ascii="Times New Roman" w:hAnsi="Times New Roman" w:eastAsia="楷体" w:cs="楷体"/>
                <w:color w:val="000000"/>
                <w:sz w:val="21"/>
                <w:szCs w:val="21"/>
              </w:rPr>
              <w:t>推动档案服务改革，畅通职业转换，为社会性流动的劳动力和人才结婚、购房、就业、就学等，提供远程跨区域、便捷高效的档案公共服务。</w:t>
            </w:r>
          </w:p>
        </w:tc>
        <w:tc>
          <w:tcPr>
            <w:tcW w:w="2842" w:type="dxa"/>
            <w:gridSpan w:val="2"/>
            <w:tcBorders>
              <w:tl2br w:val="nil"/>
              <w:tr2bl w:val="nil"/>
            </w:tcBorders>
            <w:vAlign w:val="center"/>
          </w:tcPr>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依托省人社一体化信息平台，大力推进流动人员人事档案不见面办理，进一步夯实档案基础建设，努力实现“网上办”“掌上办”“一次办”，推进档案工作标准化与规范化。</w:t>
            </w:r>
          </w:p>
        </w:tc>
        <w:tc>
          <w:tcPr>
            <w:tcW w:w="3084" w:type="dxa"/>
            <w:gridSpan w:val="2"/>
            <w:tcBorders>
              <w:tl2br w:val="nil"/>
              <w:tr2bl w:val="nil"/>
            </w:tcBorders>
            <w:vAlign w:val="center"/>
          </w:tcPr>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加快流动人员人事档案资源利用建设，试点开发远程阅档系统，满足符合条件的服务对象档案利用需求。</w:t>
            </w:r>
          </w:p>
        </w:tc>
        <w:tc>
          <w:tcPr>
            <w:tcW w:w="3040" w:type="dxa"/>
            <w:gridSpan w:val="2"/>
            <w:tcBorders>
              <w:tl2br w:val="nil"/>
              <w:tr2bl w:val="nil"/>
            </w:tcBorders>
            <w:vAlign w:val="center"/>
          </w:tcPr>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积极推进扬州全域档案利用服务工作，鼓励有条件的县（市、区）推进档案数字化建设，更好地为民众服务。</w:t>
            </w:r>
          </w:p>
        </w:tc>
        <w:tc>
          <w:tcPr>
            <w:tcW w:w="1019"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人社局</w:t>
            </w:r>
          </w:p>
        </w:tc>
        <w:tc>
          <w:tcPr>
            <w:tcW w:w="1044" w:type="dxa"/>
            <w:tcBorders>
              <w:tl2br w:val="nil"/>
              <w:tr2bl w:val="nil"/>
            </w:tcBorders>
            <w:vAlign w:val="center"/>
          </w:tcPr>
          <w:p>
            <w:pPr>
              <w:wordWrap w:val="0"/>
              <w:spacing w:line="280" w:lineRule="exact"/>
              <w:jc w:val="center"/>
              <w:rPr>
                <w:rFonts w:ascii="Times New Roman" w:hAnsi="Times New Roman"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7" w:hRule="atLeast"/>
          <w:jc w:val="center"/>
        </w:trPr>
        <w:tc>
          <w:tcPr>
            <w:tcW w:w="472"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17</w:t>
            </w:r>
          </w:p>
        </w:tc>
        <w:tc>
          <w:tcPr>
            <w:tcW w:w="2816" w:type="dxa"/>
            <w:tcBorders>
              <w:tl2br w:val="nil"/>
              <w:tr2bl w:val="nil"/>
            </w:tcBorders>
            <w:vAlign w:val="center"/>
          </w:tcPr>
          <w:p>
            <w:pPr>
              <w:wordWrap w:val="0"/>
              <w:spacing w:line="280" w:lineRule="exact"/>
              <w:ind w:firstLine="420" w:firstLineChars="200"/>
              <w:jc w:val="left"/>
              <w:rPr>
                <w:rFonts w:ascii="Times New Roman" w:hAnsi="Times New Roman" w:eastAsia="楷体" w:cs="楷体"/>
                <w:color w:val="000000"/>
                <w:sz w:val="21"/>
                <w:szCs w:val="21"/>
              </w:rPr>
            </w:pPr>
            <w:r>
              <w:rPr>
                <w:rFonts w:hint="eastAsia" w:ascii="Times New Roman" w:hAnsi="Times New Roman" w:eastAsia="楷体" w:cs="楷体"/>
                <w:color w:val="000000"/>
                <w:sz w:val="21"/>
                <w:szCs w:val="21"/>
              </w:rPr>
              <w:t>建立女职工假期用工成本分担机制，对女职工产假期间企业缴纳的社会保险费用，按照规定给予相应补贴。</w:t>
            </w:r>
          </w:p>
        </w:tc>
        <w:tc>
          <w:tcPr>
            <w:tcW w:w="8966" w:type="dxa"/>
            <w:gridSpan w:val="6"/>
            <w:tcBorders>
              <w:tl2br w:val="nil"/>
              <w:tr2bl w:val="nil"/>
            </w:tcBorders>
            <w:vAlign w:val="center"/>
          </w:tcPr>
          <w:p>
            <w:pPr>
              <w:wordWrap w:val="0"/>
              <w:spacing w:line="240" w:lineRule="exact"/>
              <w:ind w:firstLine="420" w:firstLineChars="200"/>
              <w:rPr>
                <w:rFonts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企业女职工生育二孩产假期间，按照企业为其实际缴纳的基本养老保险、基本医疗保险、失业保险、工伤保险、生育保险费的50%给予补贴（不含个人应缴纳的部分，下同），三孩按照80%给予补贴，补贴月份从生育二孩或三孩第一天所在月份起算，共补贴6个月。按单位参保的个体工商户、民办非企业单位、社会团体等其他参保单位（不含机关事业单位）参照执行。</w:t>
            </w:r>
          </w:p>
        </w:tc>
        <w:tc>
          <w:tcPr>
            <w:tcW w:w="1019"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人社局</w:t>
            </w:r>
          </w:p>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财政局</w:t>
            </w:r>
          </w:p>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医保局</w:t>
            </w:r>
          </w:p>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卫健委</w:t>
            </w:r>
          </w:p>
        </w:tc>
        <w:tc>
          <w:tcPr>
            <w:tcW w:w="1044" w:type="dxa"/>
            <w:tcBorders>
              <w:tl2br w:val="nil"/>
              <w:tr2bl w:val="nil"/>
            </w:tcBorders>
            <w:vAlign w:val="center"/>
          </w:tcPr>
          <w:p>
            <w:pPr>
              <w:wordWrap w:val="0"/>
              <w:spacing w:line="280" w:lineRule="exact"/>
              <w:jc w:val="center"/>
              <w:rPr>
                <w:rFonts w:ascii="Times New Roman" w:hAnsi="Times New Roman"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45" w:hRule="atLeast"/>
          <w:jc w:val="center"/>
        </w:trPr>
        <w:tc>
          <w:tcPr>
            <w:tcW w:w="472"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18</w:t>
            </w:r>
          </w:p>
        </w:tc>
        <w:tc>
          <w:tcPr>
            <w:tcW w:w="2816" w:type="dxa"/>
            <w:tcBorders>
              <w:tl2br w:val="nil"/>
              <w:tr2bl w:val="nil"/>
            </w:tcBorders>
            <w:vAlign w:val="center"/>
          </w:tcPr>
          <w:p>
            <w:pPr>
              <w:wordWrap w:val="0"/>
              <w:spacing w:line="280" w:lineRule="exact"/>
              <w:ind w:firstLine="420" w:firstLineChars="200"/>
              <w:jc w:val="left"/>
              <w:rPr>
                <w:rFonts w:ascii="Times New Roman" w:hAnsi="Times New Roman" w:eastAsia="楷体" w:cs="楷体"/>
                <w:color w:val="000000"/>
                <w:sz w:val="21"/>
                <w:szCs w:val="21"/>
              </w:rPr>
            </w:pPr>
            <w:r>
              <w:rPr>
                <w:rFonts w:hint="eastAsia" w:ascii="Times New Roman" w:hAnsi="Times New Roman" w:eastAsia="楷体" w:cs="楷体"/>
                <w:color w:val="000000"/>
                <w:sz w:val="21"/>
                <w:szCs w:val="21"/>
              </w:rPr>
              <w:t>根据企业、行业生产经营状况，分类指导、推进集体协商工作，最大限度激发企业内生动力，提升职工企业归属感，稳定职工队伍。</w:t>
            </w:r>
          </w:p>
        </w:tc>
        <w:tc>
          <w:tcPr>
            <w:tcW w:w="2842" w:type="dxa"/>
            <w:gridSpan w:val="2"/>
            <w:tcBorders>
              <w:tl2br w:val="nil"/>
              <w:tr2bl w:val="nil"/>
            </w:tcBorders>
            <w:vAlign w:val="center"/>
          </w:tcPr>
          <w:p>
            <w:pPr>
              <w:wordWrap w:val="0"/>
              <w:spacing w:line="228" w:lineRule="exact"/>
              <w:ind w:firstLine="420" w:firstLineChars="20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1、以贯彻落实《江苏省集体协商条例》为契机，联动开展集体协商要约行动，推广高邮快递行业集体协商经验，扩大新业态行业集体协商建制领域。</w:t>
            </w:r>
          </w:p>
          <w:p>
            <w:pPr>
              <w:wordWrap w:val="0"/>
              <w:spacing w:line="228" w:lineRule="exact"/>
              <w:ind w:firstLine="420" w:firstLineChars="20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以构建和谐劳动关系为目标，以扩面建制、指导服务、质量提升、履约兑现为重点，进一步推进工资集体协商，促进企业健全工资分配决定机制、正常增长机制和支付保障机制，实现企业职工尤其是一线职工共享经济社会发展成果。</w:t>
            </w:r>
          </w:p>
          <w:p>
            <w:pPr>
              <w:wordWrap w:val="0"/>
              <w:spacing w:line="228" w:lineRule="exact"/>
              <w:ind w:firstLine="420" w:firstLineChars="200"/>
              <w:rPr>
                <w:rFonts w:cs="宋体" w:asciiTheme="minorEastAsia" w:hAnsiTheme="minorEastAsia" w:eastAsiaTheme="minorEastAsia"/>
                <w:color w:val="000000"/>
                <w:sz w:val="21"/>
                <w:szCs w:val="21"/>
                <w:highlight w:val="yellow"/>
              </w:rPr>
            </w:pPr>
            <w:r>
              <w:rPr>
                <w:rFonts w:hint="eastAsia" w:cs="宋体" w:asciiTheme="minorEastAsia" w:hAnsiTheme="minorEastAsia" w:eastAsiaTheme="minorEastAsia"/>
                <w:color w:val="000000"/>
                <w:sz w:val="21"/>
                <w:szCs w:val="21"/>
              </w:rPr>
              <w:t>3、开展《江苏省集体协商条例》宣传贯彻,依法推动全市企业普遍开展集体协商，巩固覆盖面，提高协商质量,生产经营正常建会企业开展集体协商覆盖面达到并保持在90%左右。</w:t>
            </w:r>
          </w:p>
        </w:tc>
        <w:tc>
          <w:tcPr>
            <w:tcW w:w="3084" w:type="dxa"/>
            <w:gridSpan w:val="2"/>
            <w:tcBorders>
              <w:tl2br w:val="nil"/>
              <w:tr2bl w:val="nil"/>
            </w:tcBorders>
            <w:vAlign w:val="center"/>
          </w:tcPr>
          <w:p>
            <w:pPr>
              <w:wordWrap w:val="0"/>
              <w:spacing w:line="228" w:lineRule="exact"/>
              <w:ind w:firstLine="420" w:firstLineChars="20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选树我市工资集体协商典型案例，推广成功经验，大力宣传制度在增进劳动关系双方交流沟通、保持劳动关系和谐等方面的积极作用，增强企业经营者开展工资集体协商的自觉性，调动职工参与的积极性，为扩面建制营造良好氛围。</w:t>
            </w:r>
          </w:p>
          <w:p>
            <w:pPr>
              <w:wordWrap w:val="0"/>
              <w:spacing w:line="228" w:lineRule="exact"/>
              <w:ind w:firstLine="420" w:firstLineChars="20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2、以非公有制企业为重点，以一线职工、劳务派遣工、新就业形态劳动者为重点对象，着力推动规模以上企业和不同类型的行业开展集体协商工作。</w:t>
            </w:r>
          </w:p>
        </w:tc>
        <w:tc>
          <w:tcPr>
            <w:tcW w:w="3040" w:type="dxa"/>
            <w:gridSpan w:val="2"/>
            <w:tcBorders>
              <w:tl2br w:val="nil"/>
              <w:tr2bl w:val="nil"/>
            </w:tcBorders>
            <w:vAlign w:val="center"/>
          </w:tcPr>
          <w:p>
            <w:pPr>
              <w:wordWrap w:val="0"/>
              <w:spacing w:line="228" w:lineRule="exact"/>
              <w:ind w:firstLine="420" w:firstLineChars="20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1、加强对集体合同履行情况的监督，保证工资集体合同法律效力。督促企业就工资集体合同履行情况每年向职代会全面报告1次。</w:t>
            </w:r>
          </w:p>
          <w:p>
            <w:pPr>
              <w:wordWrap w:val="0"/>
              <w:spacing w:line="228" w:lineRule="exact"/>
              <w:ind w:firstLine="420" w:firstLineChars="20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2、根据我市企业和区域、行业的不同情况，加大组织协调力度，指导企业、区域性和行业性集体合同签订，不断扩大集体协商制度覆盖面。</w:t>
            </w:r>
          </w:p>
          <w:p>
            <w:pPr>
              <w:wordWrap w:val="0"/>
              <w:spacing w:line="228" w:lineRule="exact"/>
              <w:rPr>
                <w:rFonts w:cs="宋体" w:asciiTheme="minorEastAsia" w:hAnsiTheme="minorEastAsia" w:eastAsiaTheme="minorEastAsia"/>
                <w:sz w:val="21"/>
                <w:szCs w:val="21"/>
                <w:highlight w:val="yellow"/>
              </w:rPr>
            </w:pPr>
          </w:p>
        </w:tc>
        <w:tc>
          <w:tcPr>
            <w:tcW w:w="1019"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人社局</w:t>
            </w:r>
          </w:p>
        </w:tc>
        <w:tc>
          <w:tcPr>
            <w:tcW w:w="1044"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工信局</w:t>
            </w:r>
          </w:p>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总工会</w:t>
            </w:r>
          </w:p>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工商联</w:t>
            </w:r>
          </w:p>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w w:val="66"/>
                <w:sz w:val="21"/>
                <w:szCs w:val="21"/>
              </w:rPr>
              <w:t>企业联合会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1" w:hRule="atLeast"/>
          <w:jc w:val="center"/>
        </w:trPr>
        <w:tc>
          <w:tcPr>
            <w:tcW w:w="472"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19</w:t>
            </w:r>
          </w:p>
        </w:tc>
        <w:tc>
          <w:tcPr>
            <w:tcW w:w="2816" w:type="dxa"/>
            <w:tcBorders>
              <w:tl2br w:val="nil"/>
              <w:tr2bl w:val="nil"/>
            </w:tcBorders>
            <w:vAlign w:val="center"/>
          </w:tcPr>
          <w:p>
            <w:pPr>
              <w:wordWrap w:val="0"/>
              <w:spacing w:line="280" w:lineRule="exact"/>
              <w:ind w:firstLine="420" w:firstLineChars="200"/>
              <w:jc w:val="left"/>
              <w:rPr>
                <w:rFonts w:ascii="Times New Roman" w:hAnsi="Times New Roman" w:eastAsia="楷体" w:cs="楷体"/>
                <w:color w:val="000000"/>
                <w:sz w:val="21"/>
                <w:szCs w:val="21"/>
              </w:rPr>
            </w:pPr>
            <w:r>
              <w:rPr>
                <w:rFonts w:hint="eastAsia" w:ascii="Times New Roman" w:hAnsi="Times New Roman" w:eastAsia="楷体" w:cs="楷体"/>
                <w:color w:val="000000"/>
                <w:sz w:val="21"/>
                <w:szCs w:val="21"/>
              </w:rPr>
              <w:t>设立“扬州工匠日”，推动“扬家匠”“扬家将”队伍与工匠精神同步建设。</w:t>
            </w:r>
          </w:p>
        </w:tc>
        <w:tc>
          <w:tcPr>
            <w:tcW w:w="2842" w:type="dxa"/>
            <w:gridSpan w:val="2"/>
            <w:tcBorders>
              <w:tl2br w:val="nil"/>
              <w:tr2bl w:val="nil"/>
            </w:tcBorders>
            <w:vAlign w:val="center"/>
          </w:tcPr>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bCs/>
                <w:sz w:val="21"/>
                <w:szCs w:val="21"/>
              </w:rPr>
              <w:t>1、</w:t>
            </w:r>
            <w:r>
              <w:rPr>
                <w:rFonts w:hint="eastAsia" w:ascii="Times New Roman" w:hAnsi="Times New Roman" w:cs="宋体"/>
                <w:color w:val="000000"/>
                <w:sz w:val="21"/>
                <w:szCs w:val="21"/>
              </w:rPr>
              <w:t>举办“扬州工匠日”系列活动；开展市级技能大师工作室申报评审工作。</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bCs/>
                <w:color w:val="000000"/>
                <w:sz w:val="21"/>
                <w:szCs w:val="21"/>
              </w:rPr>
              <w:t>2、</w:t>
            </w:r>
            <w:r>
              <w:rPr>
                <w:rFonts w:hint="eastAsia" w:ascii="Times New Roman" w:hAnsi="Times New Roman" w:cs="宋体"/>
                <w:sz w:val="21"/>
                <w:szCs w:val="21"/>
              </w:rPr>
              <w:t>评选表彰第四届“扬州工匠”“扬州大工匠”。</w:t>
            </w:r>
          </w:p>
        </w:tc>
        <w:tc>
          <w:tcPr>
            <w:tcW w:w="3084" w:type="dxa"/>
            <w:gridSpan w:val="2"/>
            <w:tcBorders>
              <w:tl2br w:val="nil"/>
              <w:tr2bl w:val="nil"/>
            </w:tcBorders>
            <w:vAlign w:val="center"/>
          </w:tcPr>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bCs/>
                <w:sz w:val="21"/>
                <w:szCs w:val="21"/>
              </w:rPr>
              <w:t>1、</w:t>
            </w:r>
            <w:r>
              <w:rPr>
                <w:rFonts w:hint="eastAsia" w:ascii="Times New Roman" w:hAnsi="Times New Roman" w:cs="宋体"/>
                <w:color w:val="000000"/>
                <w:sz w:val="21"/>
                <w:szCs w:val="21"/>
              </w:rPr>
              <w:t>开展市级技能大师工作室申报评审工作，举办“扬州工匠日”系列活动。</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bCs/>
                <w:color w:val="000000"/>
                <w:sz w:val="21"/>
                <w:szCs w:val="21"/>
              </w:rPr>
              <w:t>2、</w:t>
            </w:r>
            <w:r>
              <w:rPr>
                <w:rFonts w:hint="eastAsia" w:ascii="Times New Roman" w:hAnsi="Times New Roman" w:cs="宋体"/>
                <w:sz w:val="21"/>
                <w:szCs w:val="21"/>
              </w:rPr>
              <w:t>组织开展扬州“工匠论坛”。</w:t>
            </w:r>
          </w:p>
        </w:tc>
        <w:tc>
          <w:tcPr>
            <w:tcW w:w="3040" w:type="dxa"/>
            <w:gridSpan w:val="2"/>
            <w:tcBorders>
              <w:tl2br w:val="nil"/>
              <w:tr2bl w:val="nil"/>
            </w:tcBorders>
            <w:vAlign w:val="center"/>
          </w:tcPr>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bCs/>
                <w:sz w:val="21"/>
                <w:szCs w:val="21"/>
              </w:rPr>
              <w:t>1、</w:t>
            </w:r>
            <w:r>
              <w:rPr>
                <w:rFonts w:hint="eastAsia" w:ascii="Times New Roman" w:hAnsi="Times New Roman" w:cs="宋体"/>
                <w:color w:val="000000"/>
                <w:sz w:val="21"/>
                <w:szCs w:val="21"/>
              </w:rPr>
              <w:t>开展市级技能大师工作室申报评审工作，举办“扬州工匠日”系列活动。</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bCs/>
                <w:color w:val="000000"/>
                <w:sz w:val="21"/>
                <w:szCs w:val="21"/>
              </w:rPr>
              <w:t>2、</w:t>
            </w:r>
            <w:r>
              <w:rPr>
                <w:rFonts w:hint="eastAsia" w:ascii="Times New Roman" w:hAnsi="Times New Roman" w:cs="宋体"/>
                <w:sz w:val="21"/>
                <w:szCs w:val="21"/>
              </w:rPr>
              <w:t>评选表彰第五届“扬州工匠”“扬州大工匠”。</w:t>
            </w:r>
          </w:p>
        </w:tc>
        <w:tc>
          <w:tcPr>
            <w:tcW w:w="1019"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人社局</w:t>
            </w:r>
          </w:p>
        </w:tc>
        <w:tc>
          <w:tcPr>
            <w:tcW w:w="1044"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总工会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472"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20</w:t>
            </w:r>
          </w:p>
        </w:tc>
        <w:tc>
          <w:tcPr>
            <w:tcW w:w="2816" w:type="dxa"/>
            <w:tcBorders>
              <w:tl2br w:val="nil"/>
              <w:tr2bl w:val="nil"/>
            </w:tcBorders>
            <w:vAlign w:val="center"/>
          </w:tcPr>
          <w:p>
            <w:pPr>
              <w:wordWrap w:val="0"/>
              <w:spacing w:line="280" w:lineRule="exact"/>
              <w:ind w:firstLine="420" w:firstLineChars="200"/>
              <w:jc w:val="left"/>
              <w:rPr>
                <w:rFonts w:ascii="Times New Roman" w:hAnsi="Times New Roman" w:eastAsia="楷体" w:cs="楷体"/>
                <w:color w:val="000000"/>
                <w:sz w:val="21"/>
                <w:szCs w:val="21"/>
              </w:rPr>
            </w:pPr>
            <w:r>
              <w:rPr>
                <w:rFonts w:hint="eastAsia" w:ascii="Times New Roman" w:hAnsi="Times New Roman" w:eastAsia="楷体" w:cs="楷体"/>
                <w:color w:val="000000"/>
                <w:sz w:val="21"/>
                <w:szCs w:val="21"/>
              </w:rPr>
              <w:t>建立健全覆盖城乡劳动者的公共职业教育和培训体系、职业技能竞赛体系，完善技能劳动者培养、评价、使用和激励机制，有效缓解结构性就业矛盾，建设“社会崇尚技能、人人学习技能、人人拥有技能”的技能型社会。</w:t>
            </w:r>
          </w:p>
        </w:tc>
        <w:tc>
          <w:tcPr>
            <w:tcW w:w="2842" w:type="dxa"/>
            <w:gridSpan w:val="2"/>
            <w:tcBorders>
              <w:tl2br w:val="nil"/>
              <w:tr2bl w:val="nil"/>
            </w:tcBorders>
            <w:vAlign w:val="center"/>
          </w:tcPr>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1、发挥技工院校职业技能培训主体作用，以“好就业、就好业”为导向，面向企业职工等群体开展社会化培训，发布扬州市“十万职工大比武”技能竞赛计划，以赛促技开展岗位练兵。举办第二届扬州市职业技能大赛。</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2、在驻扬职业技术类院校和汽车、玉雕、医药化工等重点产业（行业）成立10家工匠学院。</w:t>
            </w:r>
          </w:p>
        </w:tc>
        <w:tc>
          <w:tcPr>
            <w:tcW w:w="3084" w:type="dxa"/>
            <w:gridSpan w:val="2"/>
            <w:tcBorders>
              <w:tl2br w:val="nil"/>
              <w:tr2bl w:val="nil"/>
            </w:tcBorders>
            <w:vAlign w:val="center"/>
          </w:tcPr>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1、进一步完善国家、省、市三级职业技能竞赛体系，持续开展技能竞赛，发布扬州市“十万职工大比武”技能竞赛计划，以赛促技开展岗位练兵。</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2、举办引领性劳动和技能竞赛100场。</w:t>
            </w:r>
          </w:p>
        </w:tc>
        <w:tc>
          <w:tcPr>
            <w:tcW w:w="3040" w:type="dxa"/>
            <w:gridSpan w:val="2"/>
            <w:tcBorders>
              <w:tl2br w:val="nil"/>
              <w:tr2bl w:val="nil"/>
            </w:tcBorders>
            <w:vAlign w:val="center"/>
          </w:tcPr>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1、围绕先进制造业、数字经济产业，结合我市特色产业，发布扬州市“十万职工大比武”技能竞赛计划，以赛促技开展岗位练兵。举办第三届扬州市职业技能大赛。</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2、做好“建功十四五奋进新征程”劳</w:t>
            </w:r>
            <w:r>
              <w:rPr>
                <w:rFonts w:hint="eastAsia" w:ascii="Times New Roman" w:hAnsi="Times New Roman" w:cs="宋体"/>
                <w:sz w:val="21"/>
                <w:szCs w:val="21"/>
              </w:rPr>
              <w:t>动和技能竞赛总结表彰活动。</w:t>
            </w:r>
          </w:p>
        </w:tc>
        <w:tc>
          <w:tcPr>
            <w:tcW w:w="1019"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人社局</w:t>
            </w:r>
          </w:p>
        </w:tc>
        <w:tc>
          <w:tcPr>
            <w:tcW w:w="1044"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教育局</w:t>
            </w:r>
          </w:p>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总工会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58" w:hRule="atLeast"/>
          <w:jc w:val="center"/>
        </w:trPr>
        <w:tc>
          <w:tcPr>
            <w:tcW w:w="472"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21</w:t>
            </w:r>
          </w:p>
        </w:tc>
        <w:tc>
          <w:tcPr>
            <w:tcW w:w="2816" w:type="dxa"/>
            <w:tcBorders>
              <w:tl2br w:val="nil"/>
              <w:tr2bl w:val="nil"/>
            </w:tcBorders>
            <w:vAlign w:val="center"/>
          </w:tcPr>
          <w:p>
            <w:pPr>
              <w:wordWrap w:val="0"/>
              <w:spacing w:line="280" w:lineRule="exact"/>
              <w:ind w:firstLine="420" w:firstLineChars="200"/>
              <w:jc w:val="left"/>
              <w:rPr>
                <w:rFonts w:ascii="Times New Roman" w:hAnsi="Times New Roman" w:eastAsia="楷体" w:cs="楷体"/>
                <w:color w:val="000000"/>
                <w:sz w:val="21"/>
                <w:szCs w:val="21"/>
              </w:rPr>
            </w:pPr>
            <w:r>
              <w:rPr>
                <w:rFonts w:hint="eastAsia" w:ascii="Times New Roman" w:hAnsi="Times New Roman" w:eastAsia="楷体" w:cs="楷体"/>
                <w:color w:val="000000"/>
                <w:sz w:val="21"/>
                <w:szCs w:val="21"/>
              </w:rPr>
              <w:t>加强劳动者职业能力开发，支持劳动者参加职业技能培训、安全技能培训、技能人才评价、职业技能竞赛等活动，对取得相应证书的人员，按照规定给予补贴。</w:t>
            </w:r>
          </w:p>
        </w:tc>
        <w:tc>
          <w:tcPr>
            <w:tcW w:w="2842" w:type="dxa"/>
            <w:gridSpan w:val="2"/>
            <w:tcBorders>
              <w:tl2br w:val="nil"/>
              <w:tr2bl w:val="nil"/>
            </w:tcBorders>
            <w:vAlign w:val="center"/>
          </w:tcPr>
          <w:p>
            <w:pPr>
              <w:wordWrap w:val="0"/>
              <w:spacing w:line="240" w:lineRule="exact"/>
              <w:ind w:firstLine="420" w:firstLineChars="20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推动技能人才评价系统上线运行，规范评价流程，提升评价质量；各等级认定主体认定发证5.5万人次；在试点基础上，扩大企业特级技师的评聘范围，为企业开辟高技能人才的培养通道。实施数字技能提升行动，全年开展职业技能培训50000人次。</w:t>
            </w:r>
          </w:p>
        </w:tc>
        <w:tc>
          <w:tcPr>
            <w:tcW w:w="3084" w:type="dxa"/>
            <w:gridSpan w:val="2"/>
            <w:tcBorders>
              <w:tl2br w:val="nil"/>
              <w:tr2bl w:val="nil"/>
            </w:tcBorders>
            <w:vAlign w:val="center"/>
          </w:tcPr>
          <w:p>
            <w:pPr>
              <w:wordWrap w:val="0"/>
              <w:spacing w:line="240" w:lineRule="exact"/>
              <w:ind w:firstLine="420" w:firstLineChars="20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根据技能人才评价系统用户需求和系统实际运行状况，不断优化系统结构和功能，尤其是尝试开展部分数字技能类技能考核的系统自动评价，提升认定的公平、公正和科学性；试点开展企业直接认定技能人才工作，进一步加大用人主体对技能人次的评价权；完成省厅下发的技能人次评价考核指标。全年开展职业技能培训50000人次。</w:t>
            </w:r>
          </w:p>
        </w:tc>
        <w:tc>
          <w:tcPr>
            <w:tcW w:w="3040" w:type="dxa"/>
            <w:gridSpan w:val="2"/>
            <w:tcBorders>
              <w:tl2br w:val="nil"/>
              <w:tr2bl w:val="nil"/>
            </w:tcBorders>
            <w:vAlign w:val="center"/>
          </w:tcPr>
          <w:p>
            <w:pPr>
              <w:wordWrap w:val="0"/>
              <w:spacing w:line="240" w:lineRule="exact"/>
              <w:ind w:firstLine="420" w:firstLineChars="20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放大技能人才评价系统的社会效应，力争在服务企业技能人才培养、职业画像、薪酬制定和职级晋升等方面提供系统支持；完成省人社厅下发的技能人才评价考核指标；评选我市技能人才优秀考评机构，推动认定工作优质高效开展。全年开展职业技能培训50000人次。</w:t>
            </w:r>
          </w:p>
        </w:tc>
        <w:tc>
          <w:tcPr>
            <w:tcW w:w="1019"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人社局</w:t>
            </w:r>
          </w:p>
        </w:tc>
        <w:tc>
          <w:tcPr>
            <w:tcW w:w="1044"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财政局</w:t>
            </w:r>
          </w:p>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总工会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0" w:hRule="atLeast"/>
          <w:jc w:val="center"/>
        </w:trPr>
        <w:tc>
          <w:tcPr>
            <w:tcW w:w="472"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22</w:t>
            </w:r>
          </w:p>
        </w:tc>
        <w:tc>
          <w:tcPr>
            <w:tcW w:w="2816" w:type="dxa"/>
            <w:tcBorders>
              <w:tl2br w:val="nil"/>
              <w:tr2bl w:val="nil"/>
            </w:tcBorders>
            <w:vAlign w:val="center"/>
          </w:tcPr>
          <w:p>
            <w:pPr>
              <w:wordWrap w:val="0"/>
              <w:spacing w:line="280" w:lineRule="exact"/>
              <w:ind w:firstLine="420" w:firstLineChars="200"/>
              <w:jc w:val="left"/>
              <w:rPr>
                <w:rFonts w:ascii="Times New Roman" w:hAnsi="Times New Roman" w:eastAsia="楷体" w:cs="楷体"/>
                <w:color w:val="000000"/>
                <w:sz w:val="21"/>
                <w:szCs w:val="21"/>
              </w:rPr>
            </w:pPr>
            <w:r>
              <w:rPr>
                <w:rFonts w:hint="eastAsia" w:ascii="Times New Roman" w:hAnsi="Times New Roman" w:eastAsia="楷体" w:cs="楷体"/>
                <w:color w:val="000000"/>
                <w:sz w:val="21"/>
                <w:szCs w:val="21"/>
              </w:rPr>
              <w:t>允许职业院校（含技工院校）开展有偿性社会培训、技术服务或创办企业，所取得的收入可按一定比例作为办学经费自主安排使用。</w:t>
            </w:r>
          </w:p>
        </w:tc>
        <w:tc>
          <w:tcPr>
            <w:tcW w:w="2842" w:type="dxa"/>
            <w:gridSpan w:val="2"/>
            <w:tcBorders>
              <w:tl2br w:val="nil"/>
              <w:tr2bl w:val="nil"/>
            </w:tcBorders>
            <w:vAlign w:val="center"/>
          </w:tcPr>
          <w:p>
            <w:pPr>
              <w:wordWrap w:val="0"/>
              <w:spacing w:line="240" w:lineRule="exact"/>
              <w:ind w:firstLine="420" w:firstLineChars="20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1、开展调研，制定相关办法。</w:t>
            </w:r>
          </w:p>
          <w:p>
            <w:pPr>
              <w:wordWrap w:val="0"/>
              <w:spacing w:line="240" w:lineRule="exact"/>
              <w:ind w:firstLine="420" w:firstLineChars="20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2、组织职业院校开展社会培训，引企入校，既满足在校生的实习，又将教学性实习与企业生产性实践结合。</w:t>
            </w:r>
          </w:p>
          <w:p>
            <w:pPr>
              <w:wordWrap w:val="0"/>
              <w:spacing w:line="240" w:lineRule="exact"/>
              <w:ind w:firstLine="420" w:firstLineChars="20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3、鼓励技工院校开展职业培训，2023年度开展社会性培训数6.8万人次。</w:t>
            </w:r>
          </w:p>
        </w:tc>
        <w:tc>
          <w:tcPr>
            <w:tcW w:w="3084" w:type="dxa"/>
            <w:gridSpan w:val="2"/>
            <w:tcBorders>
              <w:tl2br w:val="nil"/>
              <w:tr2bl w:val="nil"/>
            </w:tcBorders>
            <w:vAlign w:val="center"/>
          </w:tcPr>
          <w:p>
            <w:pPr>
              <w:wordWrap w:val="0"/>
              <w:spacing w:line="240" w:lineRule="exact"/>
              <w:ind w:firstLine="420" w:firstLineChars="20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1、按照相关办法，鼓励职业院校创收，规范资金使用。</w:t>
            </w:r>
          </w:p>
          <w:p>
            <w:pPr>
              <w:wordWrap w:val="0"/>
              <w:spacing w:line="240" w:lineRule="exact"/>
              <w:ind w:firstLine="420" w:firstLineChars="20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2、逐步增加职业院校开展社会培训和引企入校规模。</w:t>
            </w:r>
          </w:p>
          <w:p>
            <w:pPr>
              <w:wordWrap w:val="0"/>
              <w:spacing w:line="240" w:lineRule="exact"/>
              <w:ind w:firstLine="420" w:firstLineChars="20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3、鼓励技工院校开展职业培训，2024年度开展社会性培训数6.8万人次。</w:t>
            </w:r>
          </w:p>
        </w:tc>
        <w:tc>
          <w:tcPr>
            <w:tcW w:w="3040" w:type="dxa"/>
            <w:gridSpan w:val="2"/>
            <w:tcBorders>
              <w:tl2br w:val="nil"/>
              <w:tr2bl w:val="nil"/>
            </w:tcBorders>
            <w:vAlign w:val="center"/>
          </w:tcPr>
          <w:p>
            <w:pPr>
              <w:wordWrap w:val="0"/>
              <w:spacing w:line="240" w:lineRule="exact"/>
              <w:ind w:firstLine="420" w:firstLineChars="20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1、按照相关办法，鼓励职业院校创收，规范资金使用。</w:t>
            </w:r>
          </w:p>
          <w:p>
            <w:pPr>
              <w:wordWrap w:val="0"/>
              <w:spacing w:line="240" w:lineRule="exact"/>
              <w:ind w:firstLine="420" w:firstLineChars="20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2、职业院校开展社会培训规模达到与在校生规模相当。</w:t>
            </w:r>
          </w:p>
          <w:p>
            <w:pPr>
              <w:wordWrap w:val="0"/>
              <w:spacing w:line="240" w:lineRule="exact"/>
              <w:ind w:firstLine="420" w:firstLineChars="20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3、鼓励技工院校开展职业培训，2025年度开展社会性培训数6.8万人次。</w:t>
            </w:r>
          </w:p>
        </w:tc>
        <w:tc>
          <w:tcPr>
            <w:tcW w:w="1019"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财政局教育局</w:t>
            </w:r>
          </w:p>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人社局</w:t>
            </w:r>
          </w:p>
        </w:tc>
        <w:tc>
          <w:tcPr>
            <w:tcW w:w="1044" w:type="dxa"/>
            <w:tcBorders>
              <w:tl2br w:val="nil"/>
              <w:tr2bl w:val="nil"/>
            </w:tcBorders>
            <w:vAlign w:val="center"/>
          </w:tcPr>
          <w:p>
            <w:pPr>
              <w:wordWrap w:val="0"/>
              <w:spacing w:line="280" w:lineRule="exact"/>
              <w:jc w:val="center"/>
              <w:rPr>
                <w:rFonts w:ascii="Times New Roman" w:hAnsi="Times New Roman"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65" w:hRule="atLeast"/>
          <w:jc w:val="center"/>
        </w:trPr>
        <w:tc>
          <w:tcPr>
            <w:tcW w:w="472"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23</w:t>
            </w:r>
          </w:p>
        </w:tc>
        <w:tc>
          <w:tcPr>
            <w:tcW w:w="2816" w:type="dxa"/>
            <w:tcBorders>
              <w:tl2br w:val="nil"/>
              <w:tr2bl w:val="nil"/>
            </w:tcBorders>
            <w:vAlign w:val="center"/>
          </w:tcPr>
          <w:p>
            <w:pPr>
              <w:wordWrap w:val="0"/>
              <w:spacing w:line="280" w:lineRule="exact"/>
              <w:ind w:firstLine="420" w:firstLineChars="200"/>
              <w:jc w:val="left"/>
              <w:rPr>
                <w:rFonts w:ascii="Times New Roman" w:hAnsi="Times New Roman" w:eastAsia="楷体" w:cs="楷体"/>
                <w:color w:val="000000"/>
                <w:sz w:val="21"/>
                <w:szCs w:val="21"/>
              </w:rPr>
            </w:pPr>
            <w:r>
              <w:rPr>
                <w:rFonts w:hint="eastAsia" w:ascii="Times New Roman" w:hAnsi="Times New Roman" w:eastAsia="楷体" w:cs="楷体"/>
                <w:color w:val="000000"/>
                <w:sz w:val="21"/>
                <w:szCs w:val="21"/>
              </w:rPr>
              <w:t>培育“数字工匠”，围绕数字经济发展，开展订单式技能人才培养、企业新型学徒培养等，建设数字技能类高技能人才专项公共实训基地。</w:t>
            </w:r>
          </w:p>
        </w:tc>
        <w:tc>
          <w:tcPr>
            <w:tcW w:w="2842" w:type="dxa"/>
            <w:gridSpan w:val="2"/>
            <w:tcBorders>
              <w:tl2br w:val="nil"/>
              <w:tr2bl w:val="nil"/>
            </w:tcBorders>
            <w:vAlign w:val="center"/>
          </w:tcPr>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1、以“数字工匠”培育为导向，支持技工院校开展订单班10个左右，培养企业新型学徒1000人，建设市级公共实训基地2-3个。</w:t>
            </w:r>
          </w:p>
          <w:p>
            <w:pPr>
              <w:wordWrap w:val="0"/>
              <w:spacing w:line="240" w:lineRule="exact"/>
              <w:ind w:firstLine="420" w:firstLineChars="200"/>
              <w:rPr>
                <w:rFonts w:ascii="Times New Roman" w:hAnsi="Times New Roman" w:cs="宋体"/>
                <w:sz w:val="21"/>
                <w:szCs w:val="21"/>
              </w:rPr>
            </w:pPr>
            <w:r>
              <w:rPr>
                <w:rFonts w:hint="eastAsia" w:ascii="Times New Roman" w:hAnsi="Times New Roman" w:cs="宋体"/>
                <w:color w:val="000000"/>
                <w:sz w:val="21"/>
                <w:szCs w:val="21"/>
              </w:rPr>
              <w:t>2、调研</w:t>
            </w:r>
            <w:r>
              <w:rPr>
                <w:rFonts w:hint="eastAsia" w:ascii="Times New Roman" w:hAnsi="Times New Roman" w:cs="宋体"/>
                <w:sz w:val="21"/>
                <w:szCs w:val="21"/>
              </w:rPr>
              <w:t>开设数字经济相关专业，与企业联合开展订单式技能人才培养。</w:t>
            </w:r>
          </w:p>
        </w:tc>
        <w:tc>
          <w:tcPr>
            <w:tcW w:w="3084" w:type="dxa"/>
            <w:gridSpan w:val="2"/>
            <w:tcBorders>
              <w:tl2br w:val="nil"/>
              <w:tr2bl w:val="nil"/>
            </w:tcBorders>
            <w:vAlign w:val="center"/>
          </w:tcPr>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1、优化升级技工院校数字技能人才培育体系，支持技工院校开展订单班，建设市级公共实训基地，培养企业新型学徒1000人。</w:t>
            </w:r>
          </w:p>
          <w:p>
            <w:pPr>
              <w:wordWrap w:val="0"/>
              <w:spacing w:line="240" w:lineRule="exact"/>
              <w:ind w:firstLine="420" w:firstLineChars="200"/>
              <w:rPr>
                <w:rFonts w:ascii="Times New Roman" w:hAnsi="Times New Roman" w:cs="宋体"/>
                <w:sz w:val="21"/>
                <w:szCs w:val="21"/>
              </w:rPr>
            </w:pPr>
            <w:r>
              <w:rPr>
                <w:rFonts w:hint="eastAsia" w:ascii="Times New Roman" w:hAnsi="Times New Roman" w:cs="宋体"/>
                <w:color w:val="000000"/>
                <w:sz w:val="21"/>
                <w:szCs w:val="21"/>
              </w:rPr>
              <w:t>2、改造传统专业向数字经济相关专业转型发展</w:t>
            </w:r>
            <w:r>
              <w:rPr>
                <w:rFonts w:hint="eastAsia" w:ascii="Times New Roman" w:hAnsi="Times New Roman" w:cs="宋体"/>
                <w:sz w:val="21"/>
                <w:szCs w:val="21"/>
              </w:rPr>
              <w:t>。</w:t>
            </w:r>
          </w:p>
        </w:tc>
        <w:tc>
          <w:tcPr>
            <w:tcW w:w="3040" w:type="dxa"/>
            <w:gridSpan w:val="2"/>
            <w:tcBorders>
              <w:tl2br w:val="nil"/>
              <w:tr2bl w:val="nil"/>
            </w:tcBorders>
            <w:vAlign w:val="center"/>
          </w:tcPr>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1、支持技工院校开展订单班，加大数字技能人才培训载体提质升级，建设市级公共实训基地，培养企业新型学徒1000人。</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2、逐步增加数字经济相关专业数量，加大数字类高技能人才订单培养</w:t>
            </w:r>
            <w:r>
              <w:rPr>
                <w:rFonts w:hint="eastAsia" w:ascii="Times New Roman" w:hAnsi="Times New Roman" w:cs="宋体"/>
                <w:sz w:val="21"/>
                <w:szCs w:val="21"/>
              </w:rPr>
              <w:t>规模。</w:t>
            </w:r>
          </w:p>
        </w:tc>
        <w:tc>
          <w:tcPr>
            <w:tcW w:w="1019"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人社局</w:t>
            </w:r>
          </w:p>
        </w:tc>
        <w:tc>
          <w:tcPr>
            <w:tcW w:w="1044"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教育局</w:t>
            </w:r>
          </w:p>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财政局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472"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24</w:t>
            </w:r>
          </w:p>
        </w:tc>
        <w:tc>
          <w:tcPr>
            <w:tcW w:w="2816" w:type="dxa"/>
            <w:tcBorders>
              <w:tl2br w:val="nil"/>
              <w:tr2bl w:val="nil"/>
            </w:tcBorders>
            <w:vAlign w:val="center"/>
          </w:tcPr>
          <w:p>
            <w:pPr>
              <w:wordWrap w:val="0"/>
              <w:spacing w:line="280" w:lineRule="exact"/>
              <w:ind w:firstLine="420" w:firstLineChars="200"/>
              <w:jc w:val="left"/>
              <w:rPr>
                <w:rFonts w:ascii="Times New Roman" w:hAnsi="Times New Roman" w:eastAsia="楷体" w:cs="楷体"/>
                <w:color w:val="000000"/>
                <w:sz w:val="21"/>
                <w:szCs w:val="21"/>
              </w:rPr>
            </w:pPr>
            <w:r>
              <w:rPr>
                <w:rFonts w:hint="eastAsia" w:ascii="Times New Roman" w:hAnsi="Times New Roman" w:eastAsia="楷体" w:cs="楷体"/>
                <w:color w:val="000000"/>
                <w:sz w:val="21"/>
                <w:szCs w:val="21"/>
              </w:rPr>
              <w:t>发展技工教育，保障技工院校中级工班、高级工班、技师班（预备技师班）毕业生在参军入伍、企业事业单位招聘、确定工资起点标准、职称评定、职位晋升以及参加专业技术资格考试方面，分别按照中专、大专、本科学历享受相应待遇。</w:t>
            </w:r>
          </w:p>
        </w:tc>
        <w:tc>
          <w:tcPr>
            <w:tcW w:w="8966" w:type="dxa"/>
            <w:gridSpan w:val="6"/>
            <w:tcBorders>
              <w:tl2br w:val="nil"/>
              <w:tr2bl w:val="nil"/>
            </w:tcBorders>
            <w:vAlign w:val="center"/>
          </w:tcPr>
          <w:p>
            <w:pPr>
              <w:wordWrap w:val="0"/>
              <w:spacing w:line="28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保障技工院校中级工班、高级工班、技师班（预备技师班）毕业生在参军入伍、企业事业单位招聘、确定工资起点标准、职称评定、职位晋升以及参加专业技术资格考试方面，分别按照中专、大专、本科学历享受相应待遇。</w:t>
            </w:r>
          </w:p>
        </w:tc>
        <w:tc>
          <w:tcPr>
            <w:tcW w:w="1019"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人社局</w:t>
            </w:r>
          </w:p>
        </w:tc>
        <w:tc>
          <w:tcPr>
            <w:tcW w:w="1044"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教育局</w:t>
            </w:r>
          </w:p>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扬州军分区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472"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25</w:t>
            </w:r>
          </w:p>
        </w:tc>
        <w:tc>
          <w:tcPr>
            <w:tcW w:w="2816" w:type="dxa"/>
            <w:tcBorders>
              <w:tl2br w:val="nil"/>
              <w:tr2bl w:val="nil"/>
            </w:tcBorders>
            <w:vAlign w:val="center"/>
          </w:tcPr>
          <w:p>
            <w:pPr>
              <w:wordWrap w:val="0"/>
              <w:spacing w:line="280" w:lineRule="exact"/>
              <w:ind w:firstLine="420" w:firstLineChars="200"/>
              <w:jc w:val="left"/>
              <w:rPr>
                <w:rFonts w:ascii="Times New Roman" w:hAnsi="Times New Roman" w:eastAsia="楷体" w:cs="楷体"/>
                <w:color w:val="000000"/>
                <w:sz w:val="21"/>
                <w:szCs w:val="21"/>
              </w:rPr>
            </w:pPr>
            <w:r>
              <w:rPr>
                <w:rFonts w:hint="eastAsia" w:ascii="Times New Roman" w:hAnsi="Times New Roman" w:eastAsia="楷体" w:cs="楷体"/>
                <w:color w:val="000000"/>
                <w:sz w:val="21"/>
                <w:szCs w:val="21"/>
              </w:rPr>
              <w:t>加强高技能人才激励表彰，在市有突出贡献的中青年专家、市名师工作室评选中加大高技能人才比例，健全完善高级工及以上层次的高技能劳动者享受高层次人才相关优惠政策。</w:t>
            </w:r>
          </w:p>
        </w:tc>
        <w:tc>
          <w:tcPr>
            <w:tcW w:w="2842" w:type="dxa"/>
            <w:gridSpan w:val="2"/>
            <w:tcBorders>
              <w:tl2br w:val="nil"/>
              <w:tr2bl w:val="nil"/>
            </w:tcBorders>
            <w:vAlign w:val="center"/>
          </w:tcPr>
          <w:p>
            <w:pPr>
              <w:wordWrap w:val="0"/>
              <w:spacing w:line="226"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1、开展2023年度市级首席技师、市技能大师工作室评选。</w:t>
            </w:r>
          </w:p>
          <w:p>
            <w:pPr>
              <w:wordWrap w:val="0"/>
              <w:spacing w:line="226"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2、在市名师工作室中继续设置专业技能类名师工作室，2023年度拟设置5个专业技能类名师工作室申报名额。</w:t>
            </w:r>
          </w:p>
          <w:p>
            <w:pPr>
              <w:wordWrap w:val="0"/>
              <w:spacing w:line="226"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3、评选“扬州大工匠”“扬州工匠”；推荐“江苏大工匠”“江苏工匠”。</w:t>
            </w:r>
          </w:p>
        </w:tc>
        <w:tc>
          <w:tcPr>
            <w:tcW w:w="3084" w:type="dxa"/>
            <w:gridSpan w:val="2"/>
            <w:tcBorders>
              <w:tl2br w:val="nil"/>
              <w:tr2bl w:val="nil"/>
            </w:tcBorders>
            <w:vAlign w:val="center"/>
          </w:tcPr>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bCs/>
                <w:color w:val="000000"/>
                <w:sz w:val="21"/>
                <w:szCs w:val="21"/>
              </w:rPr>
              <w:t>1、</w:t>
            </w:r>
            <w:r>
              <w:rPr>
                <w:rFonts w:hint="eastAsia" w:ascii="Times New Roman" w:hAnsi="Times New Roman" w:cs="宋体"/>
                <w:color w:val="000000"/>
                <w:sz w:val="21"/>
                <w:szCs w:val="21"/>
              </w:rPr>
              <w:t>开展有突出贡献的中青年专家评审，并加大高技能人才比例，高技能指标人数由3名增加至5名。</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2、开展2024年度市级首席技师、市技能大师工作室评选。</w:t>
            </w:r>
          </w:p>
        </w:tc>
        <w:tc>
          <w:tcPr>
            <w:tcW w:w="3040" w:type="dxa"/>
            <w:gridSpan w:val="2"/>
            <w:tcBorders>
              <w:tl2br w:val="nil"/>
              <w:tr2bl w:val="nil"/>
            </w:tcBorders>
            <w:vAlign w:val="center"/>
          </w:tcPr>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1、开展2025年度市级首席技师、市技能大师工作室评选。</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2、在市名师工作室中继续设置专业技能类名师工作室，2025年度进一步提升技能人才申报比例。</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3、评选“扬州大工匠”“扬州工匠”；推荐“江苏大工匠”“江苏工匠”。</w:t>
            </w:r>
          </w:p>
        </w:tc>
        <w:tc>
          <w:tcPr>
            <w:tcW w:w="1019"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人社局</w:t>
            </w:r>
          </w:p>
        </w:tc>
        <w:tc>
          <w:tcPr>
            <w:tcW w:w="1044"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市委人才办</w:t>
            </w:r>
          </w:p>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总工会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6" w:hRule="atLeast"/>
          <w:jc w:val="center"/>
        </w:trPr>
        <w:tc>
          <w:tcPr>
            <w:tcW w:w="472"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26</w:t>
            </w:r>
          </w:p>
        </w:tc>
        <w:tc>
          <w:tcPr>
            <w:tcW w:w="2816" w:type="dxa"/>
            <w:tcBorders>
              <w:tl2br w:val="nil"/>
              <w:tr2bl w:val="nil"/>
            </w:tcBorders>
            <w:vAlign w:val="center"/>
          </w:tcPr>
          <w:p>
            <w:pPr>
              <w:wordWrap w:val="0"/>
              <w:spacing w:line="280" w:lineRule="exact"/>
              <w:ind w:firstLine="420" w:firstLineChars="200"/>
              <w:jc w:val="left"/>
              <w:rPr>
                <w:rFonts w:ascii="Times New Roman" w:hAnsi="Times New Roman" w:eastAsia="楷体" w:cs="楷体"/>
                <w:color w:val="000000"/>
                <w:sz w:val="21"/>
                <w:szCs w:val="21"/>
              </w:rPr>
            </w:pPr>
            <w:r>
              <w:rPr>
                <w:rFonts w:hint="eastAsia" w:ascii="Times New Roman" w:hAnsi="Times New Roman" w:eastAsia="楷体" w:cs="楷体"/>
                <w:color w:val="000000"/>
                <w:sz w:val="21"/>
                <w:szCs w:val="21"/>
              </w:rPr>
              <w:t>完善和落实创业担保贷款、财政贴息、税费减免等鼓励创业政策，支持小微企业、个体工商户和初创企业健康发展，培育更多的市场主体扩大就业。</w:t>
            </w:r>
          </w:p>
        </w:tc>
        <w:tc>
          <w:tcPr>
            <w:tcW w:w="2842" w:type="dxa"/>
            <w:gridSpan w:val="2"/>
            <w:tcBorders>
              <w:tl2br w:val="nil"/>
              <w:tr2bl w:val="nil"/>
            </w:tcBorders>
            <w:vAlign w:val="center"/>
          </w:tcPr>
          <w:p>
            <w:pPr>
              <w:wordWrap w:val="0"/>
              <w:spacing w:line="230" w:lineRule="exact"/>
              <w:ind w:firstLine="420" w:firstLineChars="200"/>
              <w:rPr>
                <w:rFonts w:ascii="Times New Roman" w:hAnsi="Times New Roman" w:cs="宋体"/>
                <w:color w:val="000000"/>
                <w:sz w:val="21"/>
                <w:szCs w:val="21"/>
                <w:lang w:val="en"/>
              </w:rPr>
            </w:pPr>
            <w:r>
              <w:rPr>
                <w:rFonts w:hint="eastAsia" w:ascii="Times New Roman" w:hAnsi="Times New Roman" w:cs="宋体"/>
                <w:color w:val="000000"/>
                <w:sz w:val="21"/>
                <w:szCs w:val="21"/>
                <w:lang w:val="en"/>
              </w:rPr>
              <w:t>1、落实创业担保贷款政策，由风险补偿基金承担部分不良贷款风险损失；免收借款人担保费，担保机构工作经费由财政奖补。力争</w:t>
            </w:r>
            <w:r>
              <w:rPr>
                <w:rFonts w:hint="eastAsia" w:ascii="Times New Roman" w:hAnsi="Times New Roman" w:cs="宋体"/>
                <w:color w:val="000000"/>
                <w:sz w:val="21"/>
                <w:szCs w:val="21"/>
              </w:rPr>
              <w:t>2023年发放创业担保贷款不</w:t>
            </w:r>
            <w:r>
              <w:rPr>
                <w:rFonts w:hint="eastAsia" w:ascii="Times New Roman" w:hAnsi="Times New Roman" w:cs="宋体"/>
                <w:color w:val="000000"/>
                <w:sz w:val="21"/>
                <w:szCs w:val="21"/>
                <w:lang w:val="en"/>
              </w:rPr>
              <w:t>低于3.6亿元。</w:t>
            </w:r>
          </w:p>
          <w:p>
            <w:pPr>
              <w:wordWrap w:val="0"/>
              <w:spacing w:line="230" w:lineRule="exact"/>
              <w:ind w:firstLine="420" w:firstLineChars="200"/>
              <w:rPr>
                <w:rFonts w:ascii="Times New Roman" w:hAnsi="Times New Roman" w:cs="宋体"/>
                <w:spacing w:val="3"/>
                <w:sz w:val="21"/>
                <w:szCs w:val="21"/>
              </w:rPr>
            </w:pPr>
            <w:r>
              <w:rPr>
                <w:rFonts w:hint="eastAsia" w:ascii="Times New Roman" w:hAnsi="Times New Roman" w:cs="宋体"/>
                <w:color w:val="000000"/>
                <w:sz w:val="21"/>
                <w:szCs w:val="21"/>
                <w:lang w:val="en"/>
              </w:rPr>
              <w:t>2、通过大数据精准识别满足生产、生活性服务业纳税人增值税加计抵减政策的企业名单</w:t>
            </w:r>
            <w:r>
              <w:rPr>
                <w:rFonts w:hint="eastAsia" w:ascii="Times New Roman" w:hAnsi="Times New Roman" w:cs="宋体"/>
                <w:spacing w:val="3"/>
                <w:sz w:val="21"/>
                <w:szCs w:val="21"/>
              </w:rPr>
              <w:t>。</w:t>
            </w:r>
          </w:p>
          <w:p>
            <w:pPr>
              <w:wordWrap w:val="0"/>
              <w:spacing w:line="230" w:lineRule="exact"/>
              <w:ind w:firstLine="456" w:firstLineChars="200"/>
              <w:rPr>
                <w:rFonts w:ascii="Times New Roman" w:hAnsi="Times New Roman" w:cs="宋体"/>
                <w:spacing w:val="9"/>
                <w:sz w:val="21"/>
                <w:szCs w:val="21"/>
              </w:rPr>
            </w:pPr>
            <w:r>
              <w:rPr>
                <w:rFonts w:hint="eastAsia" w:ascii="Times New Roman" w:hAnsi="Times New Roman" w:cs="宋体"/>
                <w:spacing w:val="9"/>
                <w:sz w:val="21"/>
                <w:szCs w:val="21"/>
              </w:rPr>
              <w:t>3、对照苏财税[2022]6号文件，对增值税小规模纳税人、小型微利企业和个体工商户优惠政策落实到位。</w:t>
            </w:r>
          </w:p>
          <w:p>
            <w:pPr>
              <w:wordWrap w:val="0"/>
              <w:spacing w:line="230" w:lineRule="exact"/>
              <w:ind w:firstLine="436" w:firstLineChars="200"/>
              <w:rPr>
                <w:rFonts w:ascii="Times New Roman" w:hAnsi="Times New Roman" w:cs="宋体"/>
                <w:spacing w:val="5"/>
                <w:sz w:val="21"/>
                <w:szCs w:val="21"/>
              </w:rPr>
            </w:pPr>
            <w:r>
              <w:rPr>
                <w:rFonts w:hint="eastAsia" w:ascii="Times New Roman" w:hAnsi="Times New Roman" w:cs="宋体"/>
                <w:spacing w:val="4"/>
                <w:sz w:val="21"/>
                <w:szCs w:val="21"/>
              </w:rPr>
              <w:t>4、根据</w:t>
            </w:r>
            <w:r>
              <w:rPr>
                <w:rFonts w:hint="eastAsia" w:ascii="Times New Roman" w:hAnsi="Times New Roman" w:cs="宋体"/>
                <w:spacing w:val="16"/>
                <w:sz w:val="21"/>
                <w:szCs w:val="21"/>
              </w:rPr>
              <w:t>苏政规[2023]1号文件，对部分</w:t>
            </w:r>
            <w:r>
              <w:rPr>
                <w:rFonts w:hint="eastAsia" w:ascii="Times New Roman" w:hAnsi="Times New Roman" w:cs="宋体"/>
                <w:spacing w:val="5"/>
                <w:sz w:val="21"/>
                <w:szCs w:val="21"/>
              </w:rPr>
              <w:t>行业纳税人和增值税小规模纳税人，暂免征收2023年上半年房产税、城镇土地使用税。</w:t>
            </w:r>
          </w:p>
          <w:p>
            <w:pPr>
              <w:wordWrap w:val="0"/>
              <w:spacing w:line="230" w:lineRule="exact"/>
              <w:ind w:firstLine="440" w:firstLineChars="200"/>
              <w:rPr>
                <w:rFonts w:ascii="Times New Roman" w:hAnsi="Times New Roman" w:cs="宋体"/>
                <w:sz w:val="21"/>
                <w:szCs w:val="21"/>
              </w:rPr>
            </w:pPr>
            <w:r>
              <w:rPr>
                <w:rFonts w:hint="eastAsia" w:ascii="Times New Roman" w:hAnsi="Times New Roman" w:cs="宋体"/>
                <w:spacing w:val="5"/>
                <w:sz w:val="21"/>
                <w:szCs w:val="21"/>
              </w:rPr>
              <w:t>5、全力落实各项减税降费税收优惠政策。</w:t>
            </w:r>
          </w:p>
        </w:tc>
        <w:tc>
          <w:tcPr>
            <w:tcW w:w="3084" w:type="dxa"/>
            <w:gridSpan w:val="2"/>
            <w:tcBorders>
              <w:tl2br w:val="nil"/>
              <w:tr2bl w:val="nil"/>
            </w:tcBorders>
            <w:vAlign w:val="center"/>
          </w:tcPr>
          <w:p>
            <w:pPr>
              <w:wordWrap w:val="0"/>
              <w:spacing w:line="240" w:lineRule="exact"/>
              <w:ind w:firstLine="420" w:firstLineChars="200"/>
              <w:rPr>
                <w:rFonts w:ascii="Times New Roman" w:hAnsi="Times New Roman" w:cs="宋体"/>
                <w:sz w:val="21"/>
                <w:szCs w:val="21"/>
              </w:rPr>
            </w:pPr>
            <w:r>
              <w:rPr>
                <w:rFonts w:hint="eastAsia" w:ascii="Times New Roman" w:hAnsi="Times New Roman" w:cs="宋体"/>
                <w:sz w:val="21"/>
                <w:szCs w:val="21"/>
              </w:rPr>
              <w:t>1、拓宽创业担保贷款覆盖面，助力创业创新群体融资。力争2024年发放创业担保贷款不低于3.8亿元。</w:t>
            </w:r>
          </w:p>
          <w:p>
            <w:pPr>
              <w:wordWrap w:val="0"/>
              <w:spacing w:line="240" w:lineRule="exact"/>
              <w:ind w:firstLine="420" w:firstLineChars="200"/>
              <w:rPr>
                <w:rFonts w:ascii="Times New Roman" w:hAnsi="Times New Roman" w:cs="宋体"/>
                <w:sz w:val="21"/>
                <w:szCs w:val="21"/>
              </w:rPr>
            </w:pPr>
            <w:r>
              <w:rPr>
                <w:rFonts w:hint="eastAsia" w:ascii="Times New Roman" w:hAnsi="Times New Roman" w:cs="宋体"/>
                <w:sz w:val="21"/>
                <w:szCs w:val="21"/>
              </w:rPr>
              <w:t>2、对照苏财税[2022]6号文件，对增值税小规模纳</w:t>
            </w:r>
            <w:r>
              <w:rPr>
                <w:rFonts w:hint="eastAsia" w:ascii="Times New Roman" w:hAnsi="Times New Roman" w:cs="宋体"/>
                <w:spacing w:val="-1"/>
                <w:sz w:val="21"/>
                <w:szCs w:val="21"/>
              </w:rPr>
              <w:t>税人、小型微利企业和个体工商户</w:t>
            </w:r>
            <w:r>
              <w:rPr>
                <w:rFonts w:hint="eastAsia" w:ascii="Times New Roman" w:hAnsi="Times New Roman" w:cs="宋体"/>
                <w:sz w:val="21"/>
                <w:szCs w:val="21"/>
              </w:rPr>
              <w:t>，将优惠政策落实到位</w:t>
            </w:r>
            <w:r>
              <w:rPr>
                <w:rFonts w:hint="eastAsia" w:ascii="Times New Roman" w:hAnsi="Times New Roman" w:cs="宋体"/>
                <w:spacing w:val="11"/>
                <w:sz w:val="21"/>
                <w:szCs w:val="21"/>
              </w:rPr>
              <w:t>。</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3、全力落实各项减税降费税收优惠政策，加大政策宣传力度。</w:t>
            </w:r>
          </w:p>
        </w:tc>
        <w:tc>
          <w:tcPr>
            <w:tcW w:w="3040" w:type="dxa"/>
            <w:gridSpan w:val="2"/>
            <w:tcBorders>
              <w:tl2br w:val="nil"/>
              <w:tr2bl w:val="nil"/>
            </w:tcBorders>
            <w:vAlign w:val="center"/>
          </w:tcPr>
          <w:p>
            <w:pPr>
              <w:wordWrap w:val="0"/>
              <w:spacing w:line="240" w:lineRule="exact"/>
              <w:ind w:firstLine="420" w:firstLineChars="200"/>
              <w:rPr>
                <w:rFonts w:ascii="Times New Roman" w:hAnsi="Times New Roman" w:cs="宋体"/>
                <w:sz w:val="21"/>
                <w:szCs w:val="21"/>
              </w:rPr>
            </w:pPr>
            <w:r>
              <w:rPr>
                <w:rFonts w:hint="eastAsia" w:ascii="Times New Roman" w:hAnsi="Times New Roman" w:cs="宋体"/>
                <w:sz w:val="21"/>
                <w:szCs w:val="21"/>
              </w:rPr>
              <w:t>1、拓宽创业担保贷款覆盖面，助力创业创新群体融资。力争2025年发放创业担保贷款不低于4亿元。</w:t>
            </w:r>
          </w:p>
          <w:p>
            <w:pPr>
              <w:pStyle w:val="2"/>
              <w:wordWrap w:val="0"/>
              <w:spacing w:line="240" w:lineRule="exact"/>
              <w:ind w:firstLine="420" w:firstLineChars="200"/>
              <w:rPr>
                <w:rFonts w:ascii="Times New Roman" w:hAnsi="Times New Roman" w:cs="宋体"/>
                <w:sz w:val="21"/>
                <w:szCs w:val="21"/>
              </w:rPr>
            </w:pPr>
            <w:r>
              <w:rPr>
                <w:rFonts w:hint="eastAsia" w:ascii="Times New Roman" w:hAnsi="Times New Roman" w:cs="宋体"/>
                <w:sz w:val="21"/>
                <w:szCs w:val="21"/>
              </w:rPr>
              <w:t>2、全力落实各项减税降费税收优惠政策，加</w:t>
            </w:r>
            <w:r>
              <w:rPr>
                <w:rFonts w:hint="eastAsia" w:ascii="Times New Roman" w:hAnsi="Times New Roman" w:cs="宋体"/>
                <w:color w:val="000000"/>
                <w:sz w:val="21"/>
                <w:szCs w:val="21"/>
              </w:rPr>
              <w:t>大政策宣传力度，通过网络、电视、纸媒等多种途径开展广泛的宣传，同时对符合条件的纳税人进行点对点提醒等方式，对应享受优惠政策而未享受的纳税人逐户辅导，及时更正申报或退税，确保小微企业、个体工商户和初创企业等相关优惠政策落实到位，应享尽享。</w:t>
            </w:r>
          </w:p>
        </w:tc>
        <w:tc>
          <w:tcPr>
            <w:tcW w:w="1019"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财政局</w:t>
            </w:r>
          </w:p>
        </w:tc>
        <w:tc>
          <w:tcPr>
            <w:tcW w:w="1044"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税务局</w:t>
            </w:r>
          </w:p>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w w:val="40"/>
                <w:sz w:val="21"/>
                <w:szCs w:val="21"/>
              </w:rPr>
              <w:t>人行扬州市中心支行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8" w:hRule="atLeast"/>
          <w:jc w:val="center"/>
        </w:trPr>
        <w:tc>
          <w:tcPr>
            <w:tcW w:w="472"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27</w:t>
            </w:r>
          </w:p>
        </w:tc>
        <w:tc>
          <w:tcPr>
            <w:tcW w:w="2816" w:type="dxa"/>
            <w:tcBorders>
              <w:tl2br w:val="nil"/>
              <w:tr2bl w:val="nil"/>
            </w:tcBorders>
            <w:vAlign w:val="center"/>
          </w:tcPr>
          <w:p>
            <w:pPr>
              <w:wordWrap w:val="0"/>
              <w:spacing w:line="280" w:lineRule="exact"/>
              <w:ind w:firstLine="420" w:firstLineChars="200"/>
              <w:jc w:val="left"/>
              <w:rPr>
                <w:rFonts w:ascii="Times New Roman" w:hAnsi="Times New Roman" w:eastAsia="楷体" w:cs="楷体"/>
                <w:color w:val="000000"/>
                <w:sz w:val="21"/>
                <w:szCs w:val="21"/>
              </w:rPr>
            </w:pPr>
            <w:r>
              <w:rPr>
                <w:rFonts w:hint="eastAsia" w:ascii="Times New Roman" w:hAnsi="Times New Roman" w:eastAsia="楷体" w:cs="楷体"/>
                <w:color w:val="000000"/>
                <w:sz w:val="21"/>
                <w:szCs w:val="21"/>
              </w:rPr>
              <w:t>完善落实一次性创业、场地租金、带动就业、创业项目等补贴政策，支持高校毕业生等重点群体创业，每年支持成功自主创业1万人。针对不同创业群体、不同阶段创业活动，提供免费创业培训项目，并按照规定给予创业培训补贴。</w:t>
            </w:r>
          </w:p>
        </w:tc>
        <w:tc>
          <w:tcPr>
            <w:tcW w:w="2842" w:type="dxa"/>
            <w:gridSpan w:val="2"/>
            <w:tcBorders>
              <w:tl2br w:val="nil"/>
              <w:tr2bl w:val="nil"/>
            </w:tcBorders>
            <w:vAlign w:val="center"/>
          </w:tcPr>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1、加大政策宣传力度，主动为符合条件的创业者发放创业补贴。</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2、通过举办大赛、建设创业基地，组织创业沙龙，营造创业氛围，全年计划扶持成功创业1万人。</w:t>
            </w:r>
          </w:p>
        </w:tc>
        <w:tc>
          <w:tcPr>
            <w:tcW w:w="3084" w:type="dxa"/>
            <w:gridSpan w:val="2"/>
            <w:tcBorders>
              <w:tl2br w:val="nil"/>
              <w:tr2bl w:val="nil"/>
            </w:tcBorders>
            <w:vAlign w:val="center"/>
          </w:tcPr>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优化创业政策，降低补贴门槛，进一步扩大政策范围，放宽政策条件，让更多创业者领取创业补贴，全年扶持成功创业1万人。</w:t>
            </w:r>
          </w:p>
        </w:tc>
        <w:tc>
          <w:tcPr>
            <w:tcW w:w="3040" w:type="dxa"/>
            <w:gridSpan w:val="2"/>
            <w:tcBorders>
              <w:tl2br w:val="nil"/>
              <w:tr2bl w:val="nil"/>
            </w:tcBorders>
            <w:vAlign w:val="center"/>
          </w:tcPr>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进一步加大创业补贴发放力度，重点做好富民创业担保贷款的相关工作，全年扶持成功创业1万人。</w:t>
            </w:r>
          </w:p>
        </w:tc>
        <w:tc>
          <w:tcPr>
            <w:tcW w:w="1019"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人社局</w:t>
            </w:r>
          </w:p>
        </w:tc>
        <w:tc>
          <w:tcPr>
            <w:tcW w:w="1044"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财政局</w:t>
            </w:r>
          </w:p>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教育局</w:t>
            </w:r>
          </w:p>
          <w:p>
            <w:pPr>
              <w:wordWrap w:val="0"/>
              <w:spacing w:line="280" w:lineRule="exact"/>
              <w:jc w:val="center"/>
            </w:pPr>
            <w:r>
              <w:rPr>
                <w:rFonts w:hint="eastAsia" w:ascii="Times New Roman" w:hAnsi="Times New Roman" w:cs="宋体"/>
                <w:color w:val="000000"/>
                <w:sz w:val="21"/>
                <w:szCs w:val="21"/>
              </w:rPr>
              <w:t>市场局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5" w:hRule="atLeast"/>
          <w:jc w:val="center"/>
        </w:trPr>
        <w:tc>
          <w:tcPr>
            <w:tcW w:w="472"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28</w:t>
            </w:r>
          </w:p>
        </w:tc>
        <w:tc>
          <w:tcPr>
            <w:tcW w:w="2816" w:type="dxa"/>
            <w:tcBorders>
              <w:tl2br w:val="nil"/>
              <w:tr2bl w:val="nil"/>
            </w:tcBorders>
            <w:vAlign w:val="center"/>
          </w:tcPr>
          <w:p>
            <w:pPr>
              <w:wordWrap w:val="0"/>
              <w:spacing w:line="280" w:lineRule="exact"/>
              <w:ind w:firstLine="420" w:firstLineChars="200"/>
              <w:jc w:val="left"/>
              <w:rPr>
                <w:rFonts w:ascii="Times New Roman" w:hAnsi="Times New Roman" w:eastAsia="楷体" w:cs="楷体"/>
                <w:color w:val="000000"/>
                <w:sz w:val="21"/>
                <w:szCs w:val="21"/>
              </w:rPr>
            </w:pPr>
            <w:r>
              <w:rPr>
                <w:rFonts w:hint="eastAsia" w:ascii="Times New Roman" w:hAnsi="Times New Roman" w:eastAsia="楷体" w:cs="楷体"/>
                <w:color w:val="000000"/>
                <w:sz w:val="21"/>
                <w:szCs w:val="21"/>
              </w:rPr>
              <w:t>引导园区、高校、职业院校（含技工院校）以及其他社会力量建设创业示范基地、大学生创业园等孵化载体，打造集创业培训、政策咨询、开业指导、融资服务、创业交流、跟踪扶持于一体的综合性创业载体平台，并按规定给予运营补贴。</w:t>
            </w:r>
          </w:p>
        </w:tc>
        <w:tc>
          <w:tcPr>
            <w:tcW w:w="2842" w:type="dxa"/>
            <w:gridSpan w:val="2"/>
            <w:tcBorders>
              <w:tl2br w:val="nil"/>
              <w:tr2bl w:val="nil"/>
            </w:tcBorders>
            <w:vAlign w:val="center"/>
          </w:tcPr>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1、继续推进省级创业示范基地建设，指导各级基地完善相关创业扶持政策。</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2、发放市级创业示范基地运营补贴，计划发放15家，通过补贴鼓励基地提高创业服务能力。</w:t>
            </w:r>
          </w:p>
        </w:tc>
        <w:tc>
          <w:tcPr>
            <w:tcW w:w="3084" w:type="dxa"/>
            <w:gridSpan w:val="2"/>
            <w:tcBorders>
              <w:tl2br w:val="nil"/>
              <w:tr2bl w:val="nil"/>
            </w:tcBorders>
            <w:vAlign w:val="center"/>
          </w:tcPr>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对已认定的省级创业示范基地进行动态管理，根据省级基地要求，对基地是否发挥示范作用进行考核，并积极申报省级创业示范基地，充分发挥省级基地的模范引领作用。</w:t>
            </w:r>
          </w:p>
          <w:p>
            <w:pPr>
              <w:wordWrap w:val="0"/>
              <w:spacing w:line="240" w:lineRule="exact"/>
              <w:rPr>
                <w:rFonts w:ascii="Times New Roman" w:hAnsi="Times New Roman" w:cs="宋体"/>
                <w:color w:val="000000"/>
                <w:sz w:val="21"/>
                <w:szCs w:val="21"/>
              </w:rPr>
            </w:pPr>
          </w:p>
        </w:tc>
        <w:tc>
          <w:tcPr>
            <w:tcW w:w="3040" w:type="dxa"/>
            <w:gridSpan w:val="2"/>
            <w:tcBorders>
              <w:tl2br w:val="nil"/>
              <w:tr2bl w:val="nil"/>
            </w:tcBorders>
            <w:vAlign w:val="center"/>
          </w:tcPr>
          <w:p>
            <w:pPr>
              <w:wordWrap w:val="0"/>
              <w:spacing w:line="240" w:lineRule="exact"/>
              <w:ind w:firstLine="420" w:firstLineChars="200"/>
              <w:rPr>
                <w:rFonts w:ascii="Times New Roman" w:hAnsi="Times New Roman" w:cs="宋体"/>
                <w:b/>
                <w:bCs/>
                <w:color w:val="000000"/>
                <w:sz w:val="21"/>
                <w:szCs w:val="21"/>
              </w:rPr>
            </w:pPr>
            <w:r>
              <w:rPr>
                <w:rFonts w:hint="eastAsia" w:ascii="Times New Roman" w:hAnsi="Times New Roman" w:cs="宋体"/>
                <w:color w:val="000000"/>
                <w:sz w:val="21"/>
                <w:szCs w:val="21"/>
              </w:rPr>
              <w:t>持续完善市级和省级创业示范基地的管理工作，通过市级和省级补贴提升基地创业孵化的积极性。</w:t>
            </w:r>
          </w:p>
        </w:tc>
        <w:tc>
          <w:tcPr>
            <w:tcW w:w="1019"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人社局</w:t>
            </w:r>
          </w:p>
        </w:tc>
        <w:tc>
          <w:tcPr>
            <w:tcW w:w="1044"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教育局</w:t>
            </w:r>
          </w:p>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财政局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82" w:hRule="atLeast"/>
          <w:jc w:val="center"/>
        </w:trPr>
        <w:tc>
          <w:tcPr>
            <w:tcW w:w="472"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29</w:t>
            </w:r>
          </w:p>
        </w:tc>
        <w:tc>
          <w:tcPr>
            <w:tcW w:w="2816" w:type="dxa"/>
            <w:tcBorders>
              <w:tl2br w:val="nil"/>
              <w:tr2bl w:val="nil"/>
            </w:tcBorders>
            <w:vAlign w:val="center"/>
          </w:tcPr>
          <w:p>
            <w:pPr>
              <w:wordWrap w:val="0"/>
              <w:spacing w:line="280" w:lineRule="exact"/>
              <w:ind w:firstLine="420" w:firstLineChars="200"/>
              <w:jc w:val="left"/>
              <w:rPr>
                <w:rFonts w:ascii="Times New Roman" w:hAnsi="Times New Roman" w:eastAsia="楷体" w:cs="楷体"/>
                <w:color w:val="000000"/>
                <w:sz w:val="21"/>
                <w:szCs w:val="21"/>
              </w:rPr>
            </w:pPr>
            <w:r>
              <w:rPr>
                <w:rFonts w:hint="eastAsia" w:ascii="Times New Roman" w:hAnsi="Times New Roman" w:eastAsia="楷体" w:cs="楷体"/>
                <w:color w:val="000000"/>
                <w:sz w:val="21"/>
                <w:szCs w:val="21"/>
              </w:rPr>
              <w:t>加大创业项目征集培育、推介孵化力度，举办创业创新大赛、创业成果展示、创业沙龙等活动，组织“创业指导专家基层行”，切实提升线上线下创业服务能力。</w:t>
            </w:r>
          </w:p>
        </w:tc>
        <w:tc>
          <w:tcPr>
            <w:tcW w:w="2842" w:type="dxa"/>
            <w:gridSpan w:val="2"/>
            <w:tcBorders>
              <w:tl2br w:val="nil"/>
              <w:tr2bl w:val="nil"/>
            </w:tcBorders>
            <w:vAlign w:val="center"/>
          </w:tcPr>
          <w:p>
            <w:pPr>
              <w:pStyle w:val="2"/>
              <w:wordWrap w:val="0"/>
              <w:spacing w:line="240" w:lineRule="exact"/>
              <w:ind w:firstLine="420" w:firstLineChars="20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1、征集50个市级优秀创业项目，推荐省级大学生优秀创业项目20个，建设省级创业示范基地2家，举办大学生创业创新大赛扬州市分赛，组织10期创业沙龙、2期“创业指导专家基层行”活动。</w:t>
            </w:r>
          </w:p>
          <w:p>
            <w:pPr>
              <w:pStyle w:val="2"/>
              <w:wordWrap w:val="0"/>
              <w:spacing w:line="240" w:lineRule="exact"/>
              <w:ind w:firstLine="420" w:firstLineChars="20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举办“创客中国”扬州区域赛，选拔优秀项目经专题辅导后参加全省专题赛。向创业投资机构、金融机构等重点推荐获奖项目，组织产融对接等活动；推荐参赛企业和项目入驻国家、省、市小型微型企业创业创新示范基地、孵化器等，享受创业扶持政策和创业孵化服务，加速实现产业化。鼓励有条件的载体和场所积极吸纳入驻企业和增加就业岗位，新创成市级以上小微企业创业创新基地1个。</w:t>
            </w:r>
          </w:p>
          <w:p>
            <w:pPr>
              <w:pStyle w:val="2"/>
              <w:wordWrap w:val="0"/>
              <w:spacing w:line="240" w:lineRule="exact"/>
              <w:ind w:firstLine="420" w:firstLineChars="20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3、全年举办10场电子商务系列主题培训；举办全市直播电商大赛。</w:t>
            </w:r>
          </w:p>
          <w:p>
            <w:pPr>
              <w:pStyle w:val="2"/>
              <w:wordWrap w:val="0"/>
              <w:spacing w:line="240" w:lineRule="exact"/>
              <w:ind w:firstLine="420" w:firstLineChars="20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4、举办第十一届“创业江苏”科技创业大赛扬州赛区比赛，广泛吸引优秀人才、优秀团队汇集扬州，提升企业技术创新能力。</w:t>
            </w:r>
          </w:p>
        </w:tc>
        <w:tc>
          <w:tcPr>
            <w:tcW w:w="3084" w:type="dxa"/>
            <w:gridSpan w:val="2"/>
            <w:tcBorders>
              <w:tl2br w:val="nil"/>
              <w:tr2bl w:val="nil"/>
            </w:tcBorders>
            <w:vAlign w:val="center"/>
          </w:tcPr>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1、推荐一批省级大学生优秀创业项目和省级创业示范基地，同时举办“中国创翼”创业创新大赛扬州市分赛；继续组织创业沙龙和“创业指导专家基层行”活动，提升创业服务质量。</w:t>
            </w:r>
          </w:p>
          <w:p>
            <w:pPr>
              <w:wordWrap w:val="0"/>
              <w:spacing w:line="240" w:lineRule="exact"/>
              <w:ind w:firstLine="420" w:firstLineChars="200"/>
              <w:rPr>
                <w:rFonts w:ascii="Times New Roman" w:hAnsi="Times New Roman" w:cs="宋体"/>
                <w:sz w:val="21"/>
                <w:szCs w:val="21"/>
              </w:rPr>
            </w:pPr>
            <w:r>
              <w:rPr>
                <w:rFonts w:hint="eastAsia" w:ascii="Times New Roman" w:hAnsi="Times New Roman" w:cs="宋体"/>
                <w:color w:val="000000"/>
                <w:sz w:val="21"/>
                <w:szCs w:val="21"/>
              </w:rPr>
              <w:t>2、</w:t>
            </w:r>
            <w:r>
              <w:rPr>
                <w:rFonts w:hint="eastAsia" w:ascii="Times New Roman" w:hAnsi="Times New Roman" w:cs="宋体"/>
                <w:sz w:val="21"/>
                <w:szCs w:val="21"/>
              </w:rPr>
              <w:t>举办“创客中国”扬州区域赛，选拔优秀项目经专题辅导后参加全省专题赛。向创业投资机构、金融机构等重点推荐获奖项目，组织产融对接等活动；推荐参赛企业和项目入驻国家、省、市小型微型企业创业创新示范基地、孵化器等，享受创业扶持政策和创业孵化服务，加速实现产业化。鼓励有条件的载体和场所积极吸纳入驻企业和增加就业岗位，新创成市级以上小微企业创业创新基地1个。</w:t>
            </w:r>
          </w:p>
          <w:p>
            <w:pPr>
              <w:wordWrap w:val="0"/>
              <w:spacing w:line="240" w:lineRule="exact"/>
              <w:ind w:firstLine="420" w:firstLineChars="200"/>
              <w:rPr>
                <w:rFonts w:ascii="Times New Roman" w:hAnsi="Times New Roman" w:cs="宋体"/>
                <w:sz w:val="21"/>
                <w:szCs w:val="21"/>
              </w:rPr>
            </w:pPr>
            <w:r>
              <w:rPr>
                <w:rFonts w:hint="eastAsia" w:ascii="Times New Roman" w:hAnsi="Times New Roman" w:cs="宋体"/>
                <w:sz w:val="21"/>
                <w:szCs w:val="21"/>
              </w:rPr>
              <w:t>3、全年举办10场电子商务系列主题培训；举办全市直播电商大赛。</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sz w:val="21"/>
                <w:szCs w:val="21"/>
              </w:rPr>
              <w:t>4、举办第十二届“创业江苏”科技创业大赛扬州赛区比赛，进一步吸引优秀人才、优秀团队汇集扬州，提升企业技术创新能力。</w:t>
            </w:r>
          </w:p>
        </w:tc>
        <w:tc>
          <w:tcPr>
            <w:tcW w:w="3040" w:type="dxa"/>
            <w:gridSpan w:val="2"/>
            <w:tcBorders>
              <w:tl2br w:val="nil"/>
              <w:tr2bl w:val="nil"/>
            </w:tcBorders>
            <w:vAlign w:val="center"/>
          </w:tcPr>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1、加强优秀创业项目征集推广，继续举办好大学生创业创新大赛、创业沙龙、创业指导专家基层行等活动，营造浓厚的创业氛围。</w:t>
            </w:r>
          </w:p>
          <w:p>
            <w:pPr>
              <w:wordWrap w:val="0"/>
              <w:spacing w:line="240" w:lineRule="exact"/>
              <w:ind w:firstLine="420" w:firstLineChars="200"/>
              <w:rPr>
                <w:rFonts w:ascii="Times New Roman" w:hAnsi="Times New Roman" w:cs="宋体"/>
                <w:sz w:val="21"/>
                <w:szCs w:val="21"/>
              </w:rPr>
            </w:pPr>
            <w:r>
              <w:rPr>
                <w:rFonts w:hint="eastAsia" w:ascii="Times New Roman" w:hAnsi="Times New Roman" w:cs="宋体"/>
                <w:color w:val="000000"/>
                <w:sz w:val="21"/>
                <w:szCs w:val="21"/>
              </w:rPr>
              <w:t>2、</w:t>
            </w:r>
            <w:r>
              <w:rPr>
                <w:rFonts w:hint="eastAsia" w:ascii="Times New Roman" w:hAnsi="Times New Roman" w:cs="宋体"/>
                <w:sz w:val="21"/>
                <w:szCs w:val="21"/>
              </w:rPr>
              <w:t>举办“创客中国”扬州区域赛，选拔优秀项目经专题辅导后参加全省专题赛。向创业投资机构、金融机构等重点推荐获奖项目，组织产融对接等活动；推荐参赛企业和项目入驻国家、省、市小型微型企业创业创新示范基地、孵化器等，享受创业扶持政策和创业孵化服务，加速实现产业化。鼓励有条件的载体和场所积极吸纳入驻企业和增加就业岗位，新创成市级以上小微企业创业创新基地1个。</w:t>
            </w:r>
          </w:p>
          <w:p>
            <w:pPr>
              <w:wordWrap w:val="0"/>
              <w:spacing w:line="240" w:lineRule="exact"/>
              <w:ind w:firstLine="420" w:firstLineChars="200"/>
              <w:rPr>
                <w:rFonts w:ascii="Times New Roman" w:hAnsi="Times New Roman" w:cs="宋体"/>
                <w:sz w:val="21"/>
                <w:szCs w:val="21"/>
              </w:rPr>
            </w:pPr>
            <w:r>
              <w:rPr>
                <w:rFonts w:hint="eastAsia" w:ascii="Times New Roman" w:hAnsi="Times New Roman" w:cs="宋体"/>
                <w:sz w:val="21"/>
                <w:szCs w:val="21"/>
              </w:rPr>
              <w:t>3、全年举办10场电子商务系列主题培训；举办全市直播电商大赛。</w:t>
            </w:r>
          </w:p>
          <w:p>
            <w:pPr>
              <w:wordWrap w:val="0"/>
              <w:spacing w:line="240" w:lineRule="exact"/>
              <w:ind w:firstLine="420" w:firstLineChars="200"/>
              <w:rPr>
                <w:rFonts w:ascii="Times New Roman" w:hAnsi="Times New Roman" w:cs="宋体"/>
                <w:sz w:val="21"/>
                <w:szCs w:val="21"/>
              </w:rPr>
            </w:pPr>
            <w:r>
              <w:rPr>
                <w:rFonts w:hint="eastAsia" w:ascii="Times New Roman" w:hAnsi="Times New Roman" w:cs="宋体"/>
                <w:sz w:val="21"/>
                <w:szCs w:val="21"/>
              </w:rPr>
              <w:t>4、举办第十三届“创业江苏”科技创业大赛扬州赛区比赛，进一步吸引优秀人才、优秀团队汇集扬州，提升企业技术创新能力。</w:t>
            </w:r>
          </w:p>
        </w:tc>
        <w:tc>
          <w:tcPr>
            <w:tcW w:w="1019"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人社局</w:t>
            </w:r>
          </w:p>
        </w:tc>
        <w:tc>
          <w:tcPr>
            <w:tcW w:w="1044"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发改委</w:t>
            </w:r>
          </w:p>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工信局</w:t>
            </w:r>
          </w:p>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商务局</w:t>
            </w:r>
          </w:p>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科技局</w:t>
            </w:r>
          </w:p>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财政局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73" w:hRule="atLeast"/>
          <w:jc w:val="center"/>
        </w:trPr>
        <w:tc>
          <w:tcPr>
            <w:tcW w:w="472"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30</w:t>
            </w:r>
          </w:p>
        </w:tc>
        <w:tc>
          <w:tcPr>
            <w:tcW w:w="2816" w:type="dxa"/>
            <w:tcBorders>
              <w:tl2br w:val="nil"/>
              <w:tr2bl w:val="nil"/>
            </w:tcBorders>
            <w:vAlign w:val="center"/>
          </w:tcPr>
          <w:p>
            <w:pPr>
              <w:wordWrap w:val="0"/>
              <w:spacing w:line="280" w:lineRule="exact"/>
              <w:ind w:firstLine="420" w:firstLineChars="200"/>
              <w:jc w:val="left"/>
              <w:rPr>
                <w:rFonts w:ascii="Times New Roman" w:hAnsi="Times New Roman" w:eastAsia="楷体" w:cs="楷体"/>
                <w:color w:val="000000"/>
                <w:sz w:val="21"/>
                <w:szCs w:val="21"/>
              </w:rPr>
            </w:pPr>
            <w:r>
              <w:rPr>
                <w:rFonts w:hint="eastAsia" w:ascii="Times New Roman" w:hAnsi="Times New Roman" w:eastAsia="楷体" w:cs="楷体"/>
                <w:color w:val="000000"/>
                <w:sz w:val="21"/>
                <w:szCs w:val="21"/>
              </w:rPr>
              <w:t>建立完善适应灵活就业和新就业形态的劳动权益保障制度，促进有意愿、有缴费能力的灵活就业人员、新就业形态从业人员参加企业职工基本养老保险、城镇职工基本医疗保险，推进平台从业人员职业伤害保障试点工作。</w:t>
            </w:r>
          </w:p>
        </w:tc>
        <w:tc>
          <w:tcPr>
            <w:tcW w:w="2842" w:type="dxa"/>
            <w:gridSpan w:val="2"/>
            <w:tcBorders>
              <w:tl2br w:val="nil"/>
              <w:tr2bl w:val="nil"/>
            </w:tcBorders>
            <w:vAlign w:val="center"/>
          </w:tcPr>
          <w:p>
            <w:pPr>
              <w:pStyle w:val="2"/>
              <w:wordWrap w:val="0"/>
              <w:spacing w:line="240" w:lineRule="exact"/>
              <w:ind w:firstLine="444" w:firstLineChars="200"/>
              <w:rPr>
                <w:rFonts w:ascii="Times New Roman" w:hAnsi="Times New Roman" w:cs="宋体"/>
                <w:spacing w:val="6"/>
                <w:sz w:val="21"/>
                <w:szCs w:val="21"/>
              </w:rPr>
            </w:pPr>
            <w:r>
              <w:rPr>
                <w:rFonts w:hint="eastAsia" w:ascii="Times New Roman" w:hAnsi="Times New Roman" w:cs="宋体"/>
                <w:spacing w:val="6"/>
                <w:sz w:val="21"/>
                <w:szCs w:val="21"/>
              </w:rPr>
              <w:t>1、推动成立快递行业协调劳动关系三方组织。</w:t>
            </w:r>
          </w:p>
          <w:p>
            <w:pPr>
              <w:pStyle w:val="2"/>
              <w:wordWrap w:val="0"/>
              <w:spacing w:line="240" w:lineRule="exact"/>
              <w:ind w:firstLine="444" w:firstLineChars="200"/>
              <w:rPr>
                <w:rFonts w:ascii="Times New Roman" w:hAnsi="Times New Roman" w:cs="宋体"/>
                <w:spacing w:val="6"/>
                <w:sz w:val="21"/>
                <w:szCs w:val="21"/>
              </w:rPr>
            </w:pPr>
            <w:r>
              <w:rPr>
                <w:rFonts w:hint="eastAsia" w:ascii="Times New Roman" w:hAnsi="Times New Roman" w:cs="宋体"/>
                <w:spacing w:val="6"/>
                <w:sz w:val="21"/>
                <w:szCs w:val="21"/>
              </w:rPr>
              <w:t>2、按照苏人社发[2021]125号文件精神，加大法律宣传力度，强化合作协同，建立健全信息共享、监督检查、联合约谈、联席会议等工作机制，确保新业态劳动者各项劳动保障权益落到实处。</w:t>
            </w:r>
          </w:p>
          <w:p>
            <w:pPr>
              <w:pStyle w:val="2"/>
              <w:wordWrap w:val="0"/>
              <w:spacing w:line="240" w:lineRule="exact"/>
              <w:ind w:firstLine="444" w:firstLineChars="200"/>
              <w:rPr>
                <w:rFonts w:ascii="Times New Roman" w:hAnsi="Times New Roman" w:cs="宋体"/>
                <w:spacing w:val="6"/>
                <w:sz w:val="21"/>
                <w:szCs w:val="21"/>
              </w:rPr>
            </w:pPr>
            <w:r>
              <w:rPr>
                <w:rFonts w:hint="eastAsia" w:ascii="Times New Roman" w:hAnsi="Times New Roman" w:cs="宋体"/>
                <w:spacing w:val="6"/>
                <w:sz w:val="21"/>
                <w:szCs w:val="21"/>
              </w:rPr>
              <w:t>3、调研快递行业内灵活就业等人员的权益保护情况。</w:t>
            </w:r>
          </w:p>
          <w:p>
            <w:pPr>
              <w:pStyle w:val="2"/>
              <w:wordWrap w:val="0"/>
              <w:spacing w:line="240" w:lineRule="exact"/>
              <w:ind w:firstLine="444" w:firstLineChars="200"/>
              <w:rPr>
                <w:rFonts w:ascii="Times New Roman" w:hAnsi="Times New Roman" w:cs="宋体"/>
                <w:spacing w:val="6"/>
                <w:sz w:val="21"/>
                <w:szCs w:val="21"/>
              </w:rPr>
            </w:pPr>
            <w:r>
              <w:rPr>
                <w:rFonts w:hint="eastAsia" w:ascii="Times New Roman" w:hAnsi="Times New Roman" w:cs="宋体"/>
                <w:spacing w:val="6"/>
                <w:sz w:val="21"/>
                <w:szCs w:val="21"/>
              </w:rPr>
              <w:t>4、加强新就业形态劳动者工会建会入会工作，年内新增入会3000人以上。</w:t>
            </w:r>
          </w:p>
          <w:p>
            <w:pPr>
              <w:pStyle w:val="2"/>
              <w:wordWrap w:val="0"/>
              <w:spacing w:line="240" w:lineRule="exact"/>
              <w:ind w:firstLine="444" w:firstLineChars="200"/>
              <w:rPr>
                <w:rFonts w:ascii="Times New Roman" w:hAnsi="Times New Roman" w:cs="宋体"/>
                <w:spacing w:val="6"/>
                <w:sz w:val="21"/>
                <w:szCs w:val="21"/>
              </w:rPr>
            </w:pPr>
            <w:r>
              <w:rPr>
                <w:rFonts w:hint="eastAsia" w:ascii="Times New Roman" w:hAnsi="Times New Roman" w:cs="宋体"/>
                <w:spacing w:val="6"/>
                <w:sz w:val="21"/>
                <w:szCs w:val="21"/>
              </w:rPr>
              <w:t>5、进一步推进新业态新就业群体党建工作，建立交通运输行业工会联合会组织。</w:t>
            </w:r>
          </w:p>
          <w:p>
            <w:pPr>
              <w:pStyle w:val="2"/>
              <w:wordWrap w:val="0"/>
              <w:spacing w:line="240" w:lineRule="exact"/>
              <w:ind w:firstLine="444" w:firstLineChars="200"/>
              <w:rPr>
                <w:rFonts w:ascii="Times New Roman" w:hAnsi="Times New Roman" w:cs="宋体"/>
                <w:spacing w:val="6"/>
                <w:sz w:val="21"/>
                <w:szCs w:val="21"/>
              </w:rPr>
            </w:pPr>
            <w:r>
              <w:rPr>
                <w:rFonts w:hint="eastAsia" w:ascii="Times New Roman" w:hAnsi="Times New Roman" w:cs="宋体"/>
                <w:spacing w:val="6"/>
                <w:sz w:val="21"/>
                <w:szCs w:val="21"/>
              </w:rPr>
              <w:t>6、鼓励互联网主播等新就业形态从业人员提高技能水平；推动电子商务师资格认证。</w:t>
            </w:r>
          </w:p>
          <w:p>
            <w:pPr>
              <w:pStyle w:val="2"/>
              <w:wordWrap w:val="0"/>
              <w:spacing w:line="240" w:lineRule="exact"/>
              <w:ind w:firstLine="444" w:firstLineChars="200"/>
              <w:rPr>
                <w:rFonts w:ascii="Times New Roman" w:hAnsi="Times New Roman" w:cs="宋体"/>
                <w:spacing w:val="6"/>
                <w:sz w:val="21"/>
                <w:szCs w:val="21"/>
              </w:rPr>
            </w:pPr>
            <w:r>
              <w:rPr>
                <w:rFonts w:hint="eastAsia" w:ascii="Times New Roman" w:hAnsi="Times New Roman" w:cs="宋体"/>
                <w:spacing w:val="6"/>
                <w:sz w:val="21"/>
                <w:szCs w:val="21"/>
              </w:rPr>
              <w:t>7、支持保险机构向灵活就业和新就业形态从业人员开发专属商业保险产品。</w:t>
            </w:r>
          </w:p>
          <w:p>
            <w:pPr>
              <w:pStyle w:val="2"/>
              <w:wordWrap w:val="0"/>
              <w:spacing w:line="240" w:lineRule="exact"/>
              <w:ind w:firstLine="444" w:firstLineChars="200"/>
              <w:rPr>
                <w:rFonts w:ascii="Times New Roman" w:hAnsi="Times New Roman" w:cs="宋体"/>
                <w:spacing w:val="6"/>
                <w:sz w:val="21"/>
                <w:szCs w:val="21"/>
                <w:highlight w:val="yellow"/>
              </w:rPr>
            </w:pPr>
            <w:r>
              <w:rPr>
                <w:rFonts w:hint="eastAsia" w:ascii="Times New Roman" w:hAnsi="Times New Roman" w:cs="宋体"/>
                <w:spacing w:val="6"/>
                <w:sz w:val="21"/>
                <w:szCs w:val="21"/>
              </w:rPr>
              <w:t>8、按国家、省统一部署，2023年底完成平台从业人员职业伤害保障试点。</w:t>
            </w:r>
          </w:p>
        </w:tc>
        <w:tc>
          <w:tcPr>
            <w:tcW w:w="3084" w:type="dxa"/>
            <w:gridSpan w:val="2"/>
            <w:tcBorders>
              <w:tl2br w:val="nil"/>
              <w:tr2bl w:val="nil"/>
            </w:tcBorders>
            <w:vAlign w:val="center"/>
          </w:tcPr>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1、针对新就业形态企业用工问题，联合开展专项整治活动。</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2、新增新就业形态劳动者工会入会3000人以上。开展新就业形态劳动者法律宣传和咨询专项服务5场以上。</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3、鼓励互联网主播等新就业形态从业人员提高技能水平；推动电子商务师资格认证。</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4、根据国家、省下一步工作部署，做好平台从业人员职业伤害保障有关工作。</w:t>
            </w:r>
          </w:p>
          <w:p>
            <w:pPr>
              <w:wordWrap w:val="0"/>
              <w:spacing w:line="240" w:lineRule="exact"/>
              <w:ind w:firstLine="420" w:firstLineChars="200"/>
              <w:rPr>
                <w:rFonts w:ascii="Times New Roman" w:hAnsi="Times New Roman" w:cs="宋体"/>
                <w:color w:val="000000"/>
                <w:sz w:val="21"/>
                <w:szCs w:val="21"/>
                <w:highlight w:val="yellow"/>
              </w:rPr>
            </w:pPr>
            <w:r>
              <w:rPr>
                <w:rFonts w:hint="eastAsia" w:ascii="Times New Roman" w:hAnsi="Times New Roman" w:cs="宋体"/>
                <w:color w:val="000000"/>
                <w:sz w:val="21"/>
                <w:szCs w:val="21"/>
              </w:rPr>
              <w:t>5、鼓励保险公司加强与平台公司合作，推广商业补充医疗保险、意外伤害险及其他商业保险。</w:t>
            </w:r>
          </w:p>
        </w:tc>
        <w:tc>
          <w:tcPr>
            <w:tcW w:w="3040" w:type="dxa"/>
            <w:gridSpan w:val="2"/>
            <w:tcBorders>
              <w:tl2br w:val="nil"/>
              <w:tr2bl w:val="nil"/>
            </w:tcBorders>
            <w:vAlign w:val="center"/>
          </w:tcPr>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1、以维护劳动者权益为导向，指导企业及用工合作单位严格落实法律法规，不断完善用工管理工作体系、制度；督促企业组织未参加职工基本养老、职工基本医疗保险的灵活就业人员，按规定参加基本养老保险、基本医疗保险，做到应保尽保。</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2、新增新就业形态劳动者工会入会3000人以上,开展专项法律宣传和法律服务8场以上。</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3、鼓励互联网主播等新就业形态从业人员提高技能水平；推动电子商务师资格认证。</w:t>
            </w:r>
          </w:p>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4、根据国家、省下一步工作部署，做好平台从业人员职业伤害保障有关工作。</w:t>
            </w:r>
          </w:p>
        </w:tc>
        <w:tc>
          <w:tcPr>
            <w:tcW w:w="1019"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人社局</w:t>
            </w:r>
          </w:p>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医保局</w:t>
            </w:r>
          </w:p>
        </w:tc>
        <w:tc>
          <w:tcPr>
            <w:tcW w:w="1044"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财政局</w:t>
            </w:r>
          </w:p>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交通局</w:t>
            </w:r>
          </w:p>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商务局</w:t>
            </w:r>
          </w:p>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税务局</w:t>
            </w:r>
          </w:p>
          <w:p>
            <w:pPr>
              <w:wordWrap w:val="0"/>
              <w:spacing w:line="280" w:lineRule="exact"/>
              <w:jc w:val="center"/>
              <w:rPr>
                <w:rFonts w:ascii="Times New Roman" w:hAnsi="Times New Roman" w:cs="宋体"/>
                <w:color w:val="000000"/>
                <w:w w:val="72"/>
                <w:sz w:val="21"/>
                <w:szCs w:val="21"/>
              </w:rPr>
            </w:pPr>
            <w:r>
              <w:rPr>
                <w:rFonts w:hint="eastAsia" w:ascii="Times New Roman" w:hAnsi="Times New Roman" w:cs="宋体"/>
                <w:color w:val="000000"/>
                <w:w w:val="72"/>
                <w:sz w:val="21"/>
                <w:szCs w:val="21"/>
              </w:rPr>
              <w:t>市场监管局</w:t>
            </w:r>
          </w:p>
          <w:p>
            <w:pPr>
              <w:wordWrap w:val="0"/>
              <w:spacing w:line="280" w:lineRule="exact"/>
              <w:jc w:val="center"/>
              <w:rPr>
                <w:rFonts w:ascii="Times New Roman" w:hAnsi="Times New Roman" w:cs="宋体"/>
                <w:color w:val="000000"/>
                <w:w w:val="80"/>
                <w:sz w:val="21"/>
                <w:szCs w:val="21"/>
              </w:rPr>
            </w:pPr>
            <w:r>
              <w:rPr>
                <w:rFonts w:hint="eastAsia" w:ascii="Times New Roman" w:hAnsi="Times New Roman" w:cs="宋体"/>
                <w:color w:val="000000"/>
                <w:w w:val="80"/>
                <w:sz w:val="21"/>
                <w:szCs w:val="21"/>
              </w:rPr>
              <w:t>银保监局</w:t>
            </w:r>
          </w:p>
          <w:p>
            <w:pPr>
              <w:wordWrap w:val="0"/>
              <w:spacing w:line="280" w:lineRule="exact"/>
              <w:jc w:val="center"/>
              <w:rPr>
                <w:rFonts w:ascii="Times New Roman" w:hAnsi="Times New Roman" w:cs="宋体"/>
                <w:color w:val="000000"/>
                <w:w w:val="72"/>
                <w:sz w:val="21"/>
                <w:szCs w:val="21"/>
              </w:rPr>
            </w:pPr>
            <w:r>
              <w:rPr>
                <w:rFonts w:hint="eastAsia" w:ascii="Times New Roman" w:hAnsi="Times New Roman" w:cs="宋体"/>
                <w:color w:val="000000"/>
                <w:w w:val="72"/>
                <w:sz w:val="21"/>
                <w:szCs w:val="21"/>
              </w:rPr>
              <w:t>邮政管理局</w:t>
            </w:r>
          </w:p>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总工会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472"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31</w:t>
            </w:r>
          </w:p>
        </w:tc>
        <w:tc>
          <w:tcPr>
            <w:tcW w:w="2816" w:type="dxa"/>
            <w:tcBorders>
              <w:tl2br w:val="nil"/>
              <w:tr2bl w:val="nil"/>
            </w:tcBorders>
            <w:vAlign w:val="center"/>
          </w:tcPr>
          <w:p>
            <w:pPr>
              <w:wordWrap w:val="0"/>
              <w:spacing w:line="280" w:lineRule="exact"/>
              <w:ind w:firstLine="420" w:firstLineChars="200"/>
              <w:jc w:val="left"/>
              <w:rPr>
                <w:rFonts w:ascii="Times New Roman" w:hAnsi="Times New Roman" w:eastAsia="楷体" w:cs="楷体"/>
                <w:color w:val="000000"/>
                <w:sz w:val="21"/>
                <w:szCs w:val="21"/>
              </w:rPr>
            </w:pPr>
            <w:r>
              <w:rPr>
                <w:rFonts w:hint="eastAsia" w:ascii="Times New Roman" w:hAnsi="Times New Roman" w:eastAsia="楷体" w:cs="楷体"/>
                <w:color w:val="000000"/>
                <w:sz w:val="21"/>
                <w:szCs w:val="21"/>
              </w:rPr>
              <w:t>市和各县（市、区）人民政府、各功能区管理委员会要成立就业创业工作领导小组，统筹协调本行政区域就业创业工作。</w:t>
            </w:r>
          </w:p>
        </w:tc>
        <w:tc>
          <w:tcPr>
            <w:tcW w:w="2842" w:type="dxa"/>
            <w:gridSpan w:val="2"/>
            <w:tcBorders>
              <w:tl2br w:val="nil"/>
              <w:tr2bl w:val="nil"/>
            </w:tcBorders>
            <w:vAlign w:val="center"/>
          </w:tcPr>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提请市就业创业工作领导小组根据工作需要，适时召开工作会议；指导各县（市、区）、功能区分别成立就业创业工作领导小组。</w:t>
            </w:r>
            <w:r>
              <w:rPr>
                <w:rFonts w:ascii="Times New Roman" w:hAnsi="Times New Roman" w:cs="宋体"/>
                <w:color w:val="000000"/>
                <w:sz w:val="21"/>
                <w:szCs w:val="21"/>
              </w:rPr>
              <w:t xml:space="preserve"> </w:t>
            </w:r>
          </w:p>
        </w:tc>
        <w:tc>
          <w:tcPr>
            <w:tcW w:w="3084" w:type="dxa"/>
            <w:gridSpan w:val="2"/>
            <w:tcBorders>
              <w:tl2br w:val="nil"/>
              <w:tr2bl w:val="nil"/>
            </w:tcBorders>
            <w:vAlign w:val="center"/>
          </w:tcPr>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健全市就业创业工作领导小组工作机制，完善相关会议制度；督促各县（市、区）、功能区建立工作机制，积极发挥作用。</w:t>
            </w:r>
          </w:p>
        </w:tc>
        <w:tc>
          <w:tcPr>
            <w:tcW w:w="3040" w:type="dxa"/>
            <w:gridSpan w:val="2"/>
            <w:tcBorders>
              <w:tl2br w:val="nil"/>
              <w:tr2bl w:val="nil"/>
            </w:tcBorders>
            <w:vAlign w:val="center"/>
          </w:tcPr>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切实履行市就业创业工作领导小组办公室职责，提请领导小组正常开展工作；指导各县（市、区）、功能区就业创业工作领导小组健全工作机制，发挥领导小组职能作用。</w:t>
            </w:r>
          </w:p>
        </w:tc>
        <w:tc>
          <w:tcPr>
            <w:tcW w:w="1019"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人社局</w:t>
            </w:r>
          </w:p>
        </w:tc>
        <w:tc>
          <w:tcPr>
            <w:tcW w:w="1044" w:type="dxa"/>
            <w:tcBorders>
              <w:tl2br w:val="nil"/>
              <w:tr2bl w:val="nil"/>
            </w:tcBorders>
            <w:vAlign w:val="center"/>
          </w:tcPr>
          <w:p>
            <w:pPr>
              <w:wordWrap w:val="0"/>
              <w:spacing w:line="280" w:lineRule="exact"/>
              <w:jc w:val="center"/>
              <w:rPr>
                <w:rFonts w:ascii="Times New Roman" w:hAnsi="Times New Roman"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59" w:hRule="atLeast"/>
          <w:jc w:val="center"/>
        </w:trPr>
        <w:tc>
          <w:tcPr>
            <w:tcW w:w="472"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32</w:t>
            </w:r>
          </w:p>
        </w:tc>
        <w:tc>
          <w:tcPr>
            <w:tcW w:w="2816" w:type="dxa"/>
            <w:tcBorders>
              <w:tl2br w:val="nil"/>
              <w:tr2bl w:val="nil"/>
            </w:tcBorders>
            <w:vAlign w:val="center"/>
          </w:tcPr>
          <w:p>
            <w:pPr>
              <w:wordWrap w:val="0"/>
              <w:spacing w:line="280" w:lineRule="exact"/>
              <w:ind w:firstLine="420" w:firstLineChars="200"/>
              <w:jc w:val="left"/>
              <w:rPr>
                <w:rFonts w:ascii="Times New Roman" w:hAnsi="Times New Roman" w:eastAsia="楷体" w:cs="楷体"/>
                <w:color w:val="000000"/>
                <w:sz w:val="21"/>
                <w:szCs w:val="21"/>
              </w:rPr>
            </w:pPr>
            <w:r>
              <w:rPr>
                <w:rFonts w:hint="eastAsia" w:ascii="Times New Roman" w:hAnsi="Times New Roman" w:eastAsia="楷体" w:cs="楷体"/>
                <w:color w:val="000000"/>
                <w:sz w:val="21"/>
                <w:szCs w:val="21"/>
              </w:rPr>
              <w:t>拓宽就业数据信息来源，充分利用大数据技术开展就业监测，强化就业困难人员、高校毕业生、退役军人、农村低收入人群、被征地农民、生育女职工等重点群体数据信息比对，为加强形势研判、落实完善政策、实施精准服务提供有力支撑。</w:t>
            </w:r>
          </w:p>
        </w:tc>
        <w:tc>
          <w:tcPr>
            <w:tcW w:w="2842" w:type="dxa"/>
            <w:gridSpan w:val="2"/>
            <w:tcBorders>
              <w:tl2br w:val="nil"/>
              <w:tr2bl w:val="nil"/>
            </w:tcBorders>
            <w:vAlign w:val="center"/>
          </w:tcPr>
          <w:p>
            <w:pPr>
              <w:wordWrap w:val="0"/>
              <w:spacing w:line="240" w:lineRule="exact"/>
              <w:ind w:firstLine="420" w:firstLineChars="200"/>
              <w:rPr>
                <w:rFonts w:ascii="Times New Roman" w:hAnsi="Times New Roman" w:cs="宋体"/>
                <w:b/>
                <w:bCs/>
                <w:color w:val="000000"/>
                <w:sz w:val="21"/>
                <w:szCs w:val="21"/>
              </w:rPr>
            </w:pPr>
            <w:r>
              <w:rPr>
                <w:rFonts w:hint="eastAsia" w:ascii="Times New Roman" w:hAnsi="Times New Roman" w:cs="宋体"/>
                <w:color w:val="000000"/>
                <w:sz w:val="21"/>
                <w:szCs w:val="21"/>
              </w:rPr>
              <w:t>依托全省人社一体化平台，开发一套就业智能化主动服务平台软件，对180家重点企业和400家监测企业开展就业和用工监测，</w:t>
            </w:r>
            <w:r>
              <w:rPr>
                <w:rFonts w:hint="eastAsia" w:ascii="Times New Roman" w:hAnsi="Times New Roman" w:cs="宋体"/>
                <w:color w:val="000000"/>
                <w:sz w:val="21"/>
                <w:szCs w:val="21"/>
                <w:lang w:val="zh-CN"/>
              </w:rPr>
              <w:t>挖掘研究就业和企业用工变化情况、登记失业人员增减情况、重点群体就业帮扶情况、人力资源市场供求情况等核心指标，为社会公众提供更具个性化、更有针对性的主动服务。</w:t>
            </w:r>
          </w:p>
        </w:tc>
        <w:tc>
          <w:tcPr>
            <w:tcW w:w="3084" w:type="dxa"/>
            <w:gridSpan w:val="2"/>
            <w:tcBorders>
              <w:tl2br w:val="nil"/>
              <w:tr2bl w:val="nil"/>
            </w:tcBorders>
            <w:vAlign w:val="center"/>
          </w:tcPr>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lang w:val="zh-CN"/>
              </w:rPr>
              <w:t>对就业相关数据进行进一步挖掘整理，加强与市场监管、税务等部门数据比对，扩大主动服务范畴，强化就业困难人员、高校毕业生、退役军人、农村低收入人群、被征地农民、生育女职工等重点群体数据信息比对，提高主动服务精准度。</w:t>
            </w:r>
          </w:p>
        </w:tc>
        <w:tc>
          <w:tcPr>
            <w:tcW w:w="3040" w:type="dxa"/>
            <w:gridSpan w:val="2"/>
            <w:tcBorders>
              <w:tl2br w:val="nil"/>
              <w:tr2bl w:val="nil"/>
            </w:tcBorders>
            <w:vAlign w:val="center"/>
          </w:tcPr>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lang w:val="zh-CN"/>
              </w:rPr>
              <w:t>充分运用大数据手段，计划达到监测与主动服务全面覆盖各企业和各劳动者群体，为加强形势研判、落实完善政策、实施精准服务提供有力支撑。</w:t>
            </w:r>
          </w:p>
        </w:tc>
        <w:tc>
          <w:tcPr>
            <w:tcW w:w="1019"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人社局</w:t>
            </w:r>
          </w:p>
        </w:tc>
        <w:tc>
          <w:tcPr>
            <w:tcW w:w="1044"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大数据管理中心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472"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33</w:t>
            </w:r>
          </w:p>
        </w:tc>
        <w:tc>
          <w:tcPr>
            <w:tcW w:w="2816" w:type="dxa"/>
            <w:tcBorders>
              <w:tl2br w:val="nil"/>
              <w:tr2bl w:val="nil"/>
            </w:tcBorders>
            <w:vAlign w:val="center"/>
          </w:tcPr>
          <w:p>
            <w:pPr>
              <w:wordWrap w:val="0"/>
              <w:spacing w:line="280" w:lineRule="exact"/>
              <w:ind w:firstLine="420" w:firstLineChars="200"/>
              <w:jc w:val="left"/>
              <w:rPr>
                <w:rFonts w:ascii="Times New Roman" w:hAnsi="Times New Roman" w:eastAsia="楷体" w:cs="楷体"/>
                <w:color w:val="000000"/>
                <w:sz w:val="21"/>
                <w:szCs w:val="21"/>
              </w:rPr>
            </w:pPr>
            <w:r>
              <w:rPr>
                <w:rFonts w:hint="eastAsia" w:ascii="Times New Roman" w:hAnsi="Times New Roman" w:eastAsia="楷体" w:cs="楷体"/>
                <w:color w:val="000000"/>
                <w:sz w:val="21"/>
                <w:szCs w:val="21"/>
              </w:rPr>
              <w:t>市人民政府要将就业工作目标纳入对各县（市、区）人民政府、各功能区管理委员会考核体系，并将考核结果作为年度绩效考核和领导干部综合考核评价的重要依据。</w:t>
            </w:r>
          </w:p>
        </w:tc>
        <w:tc>
          <w:tcPr>
            <w:tcW w:w="8966" w:type="dxa"/>
            <w:gridSpan w:val="6"/>
            <w:tcBorders>
              <w:tl2br w:val="nil"/>
              <w:tr2bl w:val="nil"/>
            </w:tcBorders>
            <w:vAlign w:val="center"/>
          </w:tcPr>
          <w:p>
            <w:pPr>
              <w:wordWrap w:val="0"/>
              <w:spacing w:line="240" w:lineRule="exact"/>
              <w:ind w:firstLine="420" w:firstLineChars="200"/>
              <w:rPr>
                <w:rFonts w:ascii="Times New Roman" w:hAnsi="Times New Roman" w:cs="宋体"/>
                <w:color w:val="000000"/>
                <w:sz w:val="21"/>
                <w:szCs w:val="21"/>
              </w:rPr>
            </w:pPr>
            <w:r>
              <w:rPr>
                <w:rFonts w:hint="eastAsia" w:ascii="Times New Roman" w:hAnsi="Times New Roman" w:cs="宋体"/>
                <w:color w:val="000000"/>
                <w:sz w:val="21"/>
                <w:szCs w:val="21"/>
              </w:rPr>
              <w:t>紧跟每年全省经济社会发展高质量考核体系对我市考核要求，将城镇新增就业人数、城镇调查失业率等就业指标纳入对县（市、区）、功能区年度考核，及时报送数据资料，反馈考核结果。</w:t>
            </w:r>
          </w:p>
        </w:tc>
        <w:tc>
          <w:tcPr>
            <w:tcW w:w="1019"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政府办考核办</w:t>
            </w:r>
          </w:p>
        </w:tc>
        <w:tc>
          <w:tcPr>
            <w:tcW w:w="1044"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人社局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472"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34</w:t>
            </w:r>
          </w:p>
        </w:tc>
        <w:tc>
          <w:tcPr>
            <w:tcW w:w="2816" w:type="dxa"/>
            <w:tcBorders>
              <w:tl2br w:val="nil"/>
              <w:tr2bl w:val="nil"/>
            </w:tcBorders>
            <w:vAlign w:val="center"/>
          </w:tcPr>
          <w:p>
            <w:pPr>
              <w:wordWrap w:val="0"/>
              <w:spacing w:line="280" w:lineRule="exact"/>
              <w:ind w:firstLine="388" w:firstLineChars="200"/>
              <w:jc w:val="left"/>
              <w:rPr>
                <w:rFonts w:ascii="Times New Roman" w:hAnsi="Times New Roman" w:eastAsia="楷体" w:cs="楷体"/>
                <w:color w:val="000000"/>
                <w:spacing w:val="-8"/>
                <w:sz w:val="21"/>
                <w:szCs w:val="21"/>
              </w:rPr>
            </w:pPr>
            <w:r>
              <w:rPr>
                <w:rFonts w:hint="eastAsia" w:ascii="Times New Roman" w:hAnsi="Times New Roman" w:eastAsia="楷体" w:cs="楷体"/>
                <w:color w:val="000000"/>
                <w:spacing w:val="-8"/>
                <w:sz w:val="21"/>
                <w:szCs w:val="21"/>
              </w:rPr>
              <w:t>市和各县（市、区）人民政府、各功能区管理委员会要根据就业状况和就业工作目标，在本级财政预算中安排就业专项资金，切实保障各项就业创业政策落实。</w:t>
            </w:r>
          </w:p>
        </w:tc>
        <w:tc>
          <w:tcPr>
            <w:tcW w:w="8966" w:type="dxa"/>
            <w:gridSpan w:val="6"/>
            <w:tcBorders>
              <w:tl2br w:val="nil"/>
              <w:tr2bl w:val="nil"/>
            </w:tcBorders>
            <w:vAlign w:val="center"/>
          </w:tcPr>
          <w:p>
            <w:pPr>
              <w:wordWrap w:val="0"/>
              <w:spacing w:line="280" w:lineRule="exact"/>
              <w:ind w:firstLine="420" w:firstLineChars="20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1、参考就业创业信息系统基础数据，结合各项指标要求，每年全市统筹安排就业专项资金不低于3亿元，其中市财政安排不低于8000万元。</w:t>
            </w:r>
          </w:p>
          <w:p>
            <w:pPr>
              <w:wordWrap w:val="0"/>
              <w:spacing w:line="280" w:lineRule="exact"/>
              <w:ind w:firstLine="420" w:firstLineChars="200"/>
              <w:rPr>
                <w:rFonts w:ascii="Times New Roman" w:hAnsi="Times New Roman" w:cs="宋体"/>
                <w:color w:val="000000"/>
                <w:sz w:val="21"/>
                <w:szCs w:val="21"/>
              </w:rPr>
            </w:pPr>
            <w:r>
              <w:rPr>
                <w:rFonts w:hint="eastAsia" w:cs="宋体" w:asciiTheme="minorEastAsia" w:hAnsiTheme="minorEastAsia" w:eastAsiaTheme="minorEastAsia"/>
                <w:color w:val="000000"/>
                <w:sz w:val="21"/>
                <w:szCs w:val="21"/>
              </w:rPr>
              <w:t>2、督促县（市、区）加强对就业创业投入。</w:t>
            </w:r>
          </w:p>
        </w:tc>
        <w:tc>
          <w:tcPr>
            <w:tcW w:w="1019" w:type="dxa"/>
            <w:tcBorders>
              <w:tl2br w:val="nil"/>
              <w:tr2bl w:val="nil"/>
            </w:tcBorders>
            <w:vAlign w:val="center"/>
          </w:tcPr>
          <w:p>
            <w:pPr>
              <w:wordWrap w:val="0"/>
              <w:spacing w:line="28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财政局人社局</w:t>
            </w:r>
          </w:p>
        </w:tc>
        <w:tc>
          <w:tcPr>
            <w:tcW w:w="1044" w:type="dxa"/>
            <w:tcBorders>
              <w:tl2br w:val="nil"/>
              <w:tr2bl w:val="nil"/>
            </w:tcBorders>
            <w:vAlign w:val="center"/>
          </w:tcPr>
          <w:p>
            <w:pPr>
              <w:wordWrap w:val="0"/>
              <w:spacing w:line="280" w:lineRule="exact"/>
              <w:jc w:val="center"/>
              <w:rPr>
                <w:rFonts w:ascii="Times New Roman" w:hAnsi="Times New Roman" w:cs="宋体"/>
                <w:color w:val="000000"/>
                <w:sz w:val="21"/>
                <w:szCs w:val="21"/>
              </w:rPr>
            </w:pPr>
          </w:p>
        </w:tc>
      </w:tr>
    </w:tbl>
    <w:p>
      <w:pPr>
        <w:spacing w:line="160" w:lineRule="exact"/>
        <w:rPr>
          <w:rFonts w:ascii="Times New Roman" w:hAnsi="Times New Roman"/>
        </w:rPr>
      </w:pP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134" w:right="1418" w:bottom="1418" w:left="1134" w:header="851" w:footer="992" w:gutter="0"/>
      <w:pgNumType w:start="17"/>
      <w:cols w:space="720"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33</w:t>
                          </w:r>
                          <w:r>
                            <w:rPr>
                              <w:rFonts w:ascii="Times New Roman" w:hAnsi="Times New Roman"/>
                              <w:sz w:val="28"/>
                              <w:szCs w:val="28"/>
                            </w:rPr>
                            <w:fldChar w:fldCharType="end"/>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4"/>
                    </w:pPr>
                    <w: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33</w:t>
                    </w:r>
                    <w:r>
                      <w:rPr>
                        <w:rFonts w:ascii="Times New Roman" w:hAnsi="Times New Roman"/>
                        <w:sz w:val="28"/>
                        <w:szCs w:val="28"/>
                      </w:rPr>
                      <w:fldChar w:fldCharType="end"/>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iY2FiZjNjODFiNzA3MDM2NjQ5NzljZWY0ZmZkZmYifQ=="/>
  </w:docVars>
  <w:rsids>
    <w:rsidRoot w:val="58134C63"/>
    <w:rsid w:val="000017FB"/>
    <w:rsid w:val="00007EFF"/>
    <w:rsid w:val="00013247"/>
    <w:rsid w:val="00024DFC"/>
    <w:rsid w:val="00031B72"/>
    <w:rsid w:val="00043029"/>
    <w:rsid w:val="00075C9C"/>
    <w:rsid w:val="0007689E"/>
    <w:rsid w:val="00090D1E"/>
    <w:rsid w:val="000A2791"/>
    <w:rsid w:val="000B7C84"/>
    <w:rsid w:val="000E0191"/>
    <w:rsid w:val="000E083A"/>
    <w:rsid w:val="00106E86"/>
    <w:rsid w:val="00137A16"/>
    <w:rsid w:val="00172E4D"/>
    <w:rsid w:val="001760A0"/>
    <w:rsid w:val="0018004C"/>
    <w:rsid w:val="001C2D2B"/>
    <w:rsid w:val="001E47D3"/>
    <w:rsid w:val="00202BB1"/>
    <w:rsid w:val="002260C7"/>
    <w:rsid w:val="00267DC3"/>
    <w:rsid w:val="00273352"/>
    <w:rsid w:val="002801C6"/>
    <w:rsid w:val="002A3DC5"/>
    <w:rsid w:val="002B6974"/>
    <w:rsid w:val="002C4913"/>
    <w:rsid w:val="002E464B"/>
    <w:rsid w:val="00313412"/>
    <w:rsid w:val="003168E4"/>
    <w:rsid w:val="003171A5"/>
    <w:rsid w:val="003327D8"/>
    <w:rsid w:val="0035470E"/>
    <w:rsid w:val="00367ED2"/>
    <w:rsid w:val="003A14C5"/>
    <w:rsid w:val="003B0CD1"/>
    <w:rsid w:val="003C03A8"/>
    <w:rsid w:val="003C26B6"/>
    <w:rsid w:val="003E06CF"/>
    <w:rsid w:val="003E51CB"/>
    <w:rsid w:val="0040392E"/>
    <w:rsid w:val="00443E27"/>
    <w:rsid w:val="004561EA"/>
    <w:rsid w:val="0047684F"/>
    <w:rsid w:val="004857A4"/>
    <w:rsid w:val="00494ACD"/>
    <w:rsid w:val="004B13F4"/>
    <w:rsid w:val="004B2E2C"/>
    <w:rsid w:val="004F0628"/>
    <w:rsid w:val="004F74EC"/>
    <w:rsid w:val="00503C7A"/>
    <w:rsid w:val="00507C35"/>
    <w:rsid w:val="0052335D"/>
    <w:rsid w:val="00532634"/>
    <w:rsid w:val="00575FA2"/>
    <w:rsid w:val="005878ED"/>
    <w:rsid w:val="00591FBD"/>
    <w:rsid w:val="00592068"/>
    <w:rsid w:val="00596BC2"/>
    <w:rsid w:val="005B3754"/>
    <w:rsid w:val="005C008A"/>
    <w:rsid w:val="0060463F"/>
    <w:rsid w:val="006109EB"/>
    <w:rsid w:val="00613D1E"/>
    <w:rsid w:val="00614448"/>
    <w:rsid w:val="0063244E"/>
    <w:rsid w:val="00634718"/>
    <w:rsid w:val="0064124F"/>
    <w:rsid w:val="0067141F"/>
    <w:rsid w:val="00690F5F"/>
    <w:rsid w:val="006A1701"/>
    <w:rsid w:val="006A4316"/>
    <w:rsid w:val="006B00F0"/>
    <w:rsid w:val="006B346C"/>
    <w:rsid w:val="006C1B00"/>
    <w:rsid w:val="006C7BD7"/>
    <w:rsid w:val="006E39D5"/>
    <w:rsid w:val="006F30FA"/>
    <w:rsid w:val="006F58F2"/>
    <w:rsid w:val="0072709C"/>
    <w:rsid w:val="00732C7D"/>
    <w:rsid w:val="007443B1"/>
    <w:rsid w:val="00755AF4"/>
    <w:rsid w:val="00756485"/>
    <w:rsid w:val="00763E0C"/>
    <w:rsid w:val="007815B9"/>
    <w:rsid w:val="00793672"/>
    <w:rsid w:val="007E27D7"/>
    <w:rsid w:val="00804F92"/>
    <w:rsid w:val="00805D9D"/>
    <w:rsid w:val="00816F2A"/>
    <w:rsid w:val="00855497"/>
    <w:rsid w:val="008635DD"/>
    <w:rsid w:val="00864E3A"/>
    <w:rsid w:val="008A52E6"/>
    <w:rsid w:val="008B79A4"/>
    <w:rsid w:val="0093419E"/>
    <w:rsid w:val="00987772"/>
    <w:rsid w:val="009917F7"/>
    <w:rsid w:val="00993149"/>
    <w:rsid w:val="009C04BE"/>
    <w:rsid w:val="009D0945"/>
    <w:rsid w:val="009E52E6"/>
    <w:rsid w:val="009E5431"/>
    <w:rsid w:val="009E707B"/>
    <w:rsid w:val="009F0EA6"/>
    <w:rsid w:val="00A00DB0"/>
    <w:rsid w:val="00A232C1"/>
    <w:rsid w:val="00A25EE9"/>
    <w:rsid w:val="00A70773"/>
    <w:rsid w:val="00A8239C"/>
    <w:rsid w:val="00AE15F1"/>
    <w:rsid w:val="00AF6F44"/>
    <w:rsid w:val="00B4410F"/>
    <w:rsid w:val="00B618B1"/>
    <w:rsid w:val="00B947A4"/>
    <w:rsid w:val="00BA69CE"/>
    <w:rsid w:val="00BA6BD6"/>
    <w:rsid w:val="00BB0564"/>
    <w:rsid w:val="00BB778F"/>
    <w:rsid w:val="00BC2626"/>
    <w:rsid w:val="00BD2077"/>
    <w:rsid w:val="00BD57DD"/>
    <w:rsid w:val="00BF7F3E"/>
    <w:rsid w:val="00C37180"/>
    <w:rsid w:val="00C45C42"/>
    <w:rsid w:val="00C73EBE"/>
    <w:rsid w:val="00C75AA2"/>
    <w:rsid w:val="00CB0B41"/>
    <w:rsid w:val="00CC1B1E"/>
    <w:rsid w:val="00CC5788"/>
    <w:rsid w:val="00CD5811"/>
    <w:rsid w:val="00CE24B1"/>
    <w:rsid w:val="00CF490C"/>
    <w:rsid w:val="00CF49CB"/>
    <w:rsid w:val="00D1459C"/>
    <w:rsid w:val="00D52611"/>
    <w:rsid w:val="00D84501"/>
    <w:rsid w:val="00D87499"/>
    <w:rsid w:val="00DB2CA9"/>
    <w:rsid w:val="00DB6754"/>
    <w:rsid w:val="00DC285D"/>
    <w:rsid w:val="00DC713C"/>
    <w:rsid w:val="00DE77EB"/>
    <w:rsid w:val="00DF4A09"/>
    <w:rsid w:val="00DF6D94"/>
    <w:rsid w:val="00E406BC"/>
    <w:rsid w:val="00E8219A"/>
    <w:rsid w:val="00EB55D9"/>
    <w:rsid w:val="00EB727D"/>
    <w:rsid w:val="00EB767D"/>
    <w:rsid w:val="00EC3A22"/>
    <w:rsid w:val="00EC68FF"/>
    <w:rsid w:val="00ED4F7F"/>
    <w:rsid w:val="00ED7960"/>
    <w:rsid w:val="00EE7FBC"/>
    <w:rsid w:val="00EF7D6E"/>
    <w:rsid w:val="00F30B44"/>
    <w:rsid w:val="00F34D03"/>
    <w:rsid w:val="00F90D5B"/>
    <w:rsid w:val="00FE5DF7"/>
    <w:rsid w:val="00FF0E4C"/>
    <w:rsid w:val="017E4617"/>
    <w:rsid w:val="026C0914"/>
    <w:rsid w:val="0281282A"/>
    <w:rsid w:val="04101773"/>
    <w:rsid w:val="04A96068"/>
    <w:rsid w:val="063559E5"/>
    <w:rsid w:val="07EC2E3C"/>
    <w:rsid w:val="0841639E"/>
    <w:rsid w:val="08BA0844"/>
    <w:rsid w:val="0A94661B"/>
    <w:rsid w:val="0AAA48E8"/>
    <w:rsid w:val="0D4A4AC2"/>
    <w:rsid w:val="0F1A1821"/>
    <w:rsid w:val="0FCC0C44"/>
    <w:rsid w:val="10FB4090"/>
    <w:rsid w:val="128210D8"/>
    <w:rsid w:val="134850E0"/>
    <w:rsid w:val="13FD586F"/>
    <w:rsid w:val="14A01146"/>
    <w:rsid w:val="16777D74"/>
    <w:rsid w:val="16784D8E"/>
    <w:rsid w:val="17B33D43"/>
    <w:rsid w:val="1B124510"/>
    <w:rsid w:val="1BB43819"/>
    <w:rsid w:val="1C1F5EE0"/>
    <w:rsid w:val="1C2A3ADB"/>
    <w:rsid w:val="1D1B7FD5"/>
    <w:rsid w:val="1D562CAE"/>
    <w:rsid w:val="1EC10726"/>
    <w:rsid w:val="1EF307E6"/>
    <w:rsid w:val="1FBC2C9C"/>
    <w:rsid w:val="214A0CED"/>
    <w:rsid w:val="24A87C93"/>
    <w:rsid w:val="24C65275"/>
    <w:rsid w:val="27BF495D"/>
    <w:rsid w:val="27EB4D1A"/>
    <w:rsid w:val="2842307E"/>
    <w:rsid w:val="28DE0127"/>
    <w:rsid w:val="2B361B54"/>
    <w:rsid w:val="2D1F4E7C"/>
    <w:rsid w:val="2D2F7CBD"/>
    <w:rsid w:val="2DC747E2"/>
    <w:rsid w:val="2DFD2DFD"/>
    <w:rsid w:val="2FDF33F3"/>
    <w:rsid w:val="31AC7630"/>
    <w:rsid w:val="320F30FF"/>
    <w:rsid w:val="332E5807"/>
    <w:rsid w:val="337C6572"/>
    <w:rsid w:val="346F3B42"/>
    <w:rsid w:val="353A7059"/>
    <w:rsid w:val="35527ED3"/>
    <w:rsid w:val="36856FA5"/>
    <w:rsid w:val="37476E97"/>
    <w:rsid w:val="383E029A"/>
    <w:rsid w:val="38734956"/>
    <w:rsid w:val="39C11183"/>
    <w:rsid w:val="39EF3F42"/>
    <w:rsid w:val="3ADF6BB1"/>
    <w:rsid w:val="3AEA6895"/>
    <w:rsid w:val="3D872170"/>
    <w:rsid w:val="3DB73C74"/>
    <w:rsid w:val="3E1877DF"/>
    <w:rsid w:val="4031087C"/>
    <w:rsid w:val="44395BA0"/>
    <w:rsid w:val="449776B0"/>
    <w:rsid w:val="46E31076"/>
    <w:rsid w:val="473E0A5F"/>
    <w:rsid w:val="498A4232"/>
    <w:rsid w:val="49A92936"/>
    <w:rsid w:val="4C3F4944"/>
    <w:rsid w:val="4E3917D8"/>
    <w:rsid w:val="4EA50C1B"/>
    <w:rsid w:val="4EA64975"/>
    <w:rsid w:val="4EB56737"/>
    <w:rsid w:val="4F486DA8"/>
    <w:rsid w:val="52D47EAB"/>
    <w:rsid w:val="55172147"/>
    <w:rsid w:val="551E27DF"/>
    <w:rsid w:val="55AE4859"/>
    <w:rsid w:val="569E48CE"/>
    <w:rsid w:val="56A17F1A"/>
    <w:rsid w:val="57842AAA"/>
    <w:rsid w:val="58134C63"/>
    <w:rsid w:val="5A626CD3"/>
    <w:rsid w:val="5F622402"/>
    <w:rsid w:val="621D6BAE"/>
    <w:rsid w:val="62823AE2"/>
    <w:rsid w:val="63253BB8"/>
    <w:rsid w:val="63312626"/>
    <w:rsid w:val="64F436F2"/>
    <w:rsid w:val="65D66CFC"/>
    <w:rsid w:val="665C7632"/>
    <w:rsid w:val="67281174"/>
    <w:rsid w:val="680E2F36"/>
    <w:rsid w:val="686D0642"/>
    <w:rsid w:val="6D0D5EB2"/>
    <w:rsid w:val="6DBB76BC"/>
    <w:rsid w:val="707A1AB0"/>
    <w:rsid w:val="70CF5013"/>
    <w:rsid w:val="71704C61"/>
    <w:rsid w:val="73993FFB"/>
    <w:rsid w:val="73E765D7"/>
    <w:rsid w:val="73FB285B"/>
    <w:rsid w:val="753B10E2"/>
    <w:rsid w:val="777032C5"/>
    <w:rsid w:val="786D1EFA"/>
    <w:rsid w:val="7A6F3D08"/>
    <w:rsid w:val="7AAF5803"/>
    <w:rsid w:val="7B5D6256"/>
    <w:rsid w:val="7E3F1321"/>
    <w:rsid w:val="7E5D4472"/>
    <w:rsid w:val="7F7A2D2A"/>
    <w:rsid w:val="7FB3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jc w:val="both"/>
    </w:pPr>
    <w:rPr>
      <w:rFonts w:ascii="Calibri" w:hAnsi="Calibri" w:eastAsia="宋体" w:cs="Times New Roman"/>
      <w:kern w:val="2"/>
      <w:sz w:val="28"/>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sz w:val="24"/>
    </w:rPr>
  </w:style>
  <w:style w:type="paragraph" w:styleId="3">
    <w:name w:val="Balloon Text"/>
    <w:basedOn w:val="1"/>
    <w:link w:val="14"/>
    <w:qFormat/>
    <w:uiPriority w:val="0"/>
    <w:pPr>
      <w:spacing w:line="240" w:lineRule="auto"/>
    </w:pPr>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6">
    <w:name w:val="Title"/>
    <w:basedOn w:val="1"/>
    <w:next w:val="1"/>
    <w:qFormat/>
    <w:uiPriority w:val="10"/>
    <w:pPr>
      <w:spacing w:before="240" w:after="60"/>
      <w:jc w:val="center"/>
      <w:outlineLvl w:val="0"/>
    </w:pPr>
    <w:rPr>
      <w:rFonts w:ascii="Calibri Light" w:hAnsi="Calibri Light"/>
      <w:b/>
      <w:bCs/>
      <w:sz w:val="32"/>
      <w:szCs w:val="32"/>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Table Paragraph"/>
    <w:basedOn w:val="1"/>
    <w:qFormat/>
    <w:uiPriority w:val="1"/>
    <w:rPr>
      <w:rFonts w:ascii="方正仿宋_GBK" w:hAnsi="方正仿宋_GBK" w:eastAsia="方正仿宋_GBK" w:cs="方正仿宋_GBK"/>
    </w:rPr>
  </w:style>
  <w:style w:type="paragraph" w:customStyle="1" w:styleId="11">
    <w:name w:val="公文标题"/>
    <w:basedOn w:val="6"/>
    <w:qFormat/>
    <w:uiPriority w:val="0"/>
    <w:pPr>
      <w:spacing w:before="0" w:after="0" w:line="580" w:lineRule="exact"/>
      <w:outlineLvl w:val="9"/>
    </w:pPr>
    <w:rPr>
      <w:rFonts w:ascii="方正小标宋简体" w:hAnsi="Cambria" w:eastAsia="方正小标宋简体"/>
      <w:b w:val="0"/>
      <w:bCs w:val="0"/>
      <w:sz w:val="44"/>
      <w:szCs w:val="44"/>
    </w:rPr>
  </w:style>
  <w:style w:type="table" w:customStyle="1" w:styleId="12">
    <w:name w:val="Table Normal"/>
    <w:unhideWhenUsed/>
    <w:qFormat/>
    <w:uiPriority w:val="0"/>
    <w:tblPr>
      <w:tblCellMar>
        <w:top w:w="0" w:type="dxa"/>
        <w:left w:w="0" w:type="dxa"/>
        <w:bottom w:w="0" w:type="dxa"/>
        <w:right w:w="0" w:type="dxa"/>
      </w:tblCellMar>
    </w:tblPr>
  </w:style>
  <w:style w:type="paragraph" w:styleId="13">
    <w:name w:val="List Paragraph"/>
    <w:basedOn w:val="1"/>
    <w:unhideWhenUsed/>
    <w:qFormat/>
    <w:uiPriority w:val="99"/>
    <w:pPr>
      <w:ind w:firstLine="420" w:firstLineChars="200"/>
    </w:pPr>
  </w:style>
  <w:style w:type="character" w:customStyle="1" w:styleId="14">
    <w:name w:val="批注框文本 Char"/>
    <w:basedOn w:val="9"/>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7259C2-A18A-4B99-A680-790231A4B455}">
  <ds:schemaRefs/>
</ds:datastoreItem>
</file>

<file path=docProps/app.xml><?xml version="1.0" encoding="utf-8"?>
<Properties xmlns="http://schemas.openxmlformats.org/officeDocument/2006/extended-properties" xmlns:vt="http://schemas.openxmlformats.org/officeDocument/2006/docPropsVTypes">
  <Template>Normal</Template>
  <Pages>17</Pages>
  <Words>15622</Words>
  <Characters>15955</Characters>
  <Lines>6</Lines>
  <Paragraphs>32</Paragraphs>
  <TotalTime>52</TotalTime>
  <ScaleCrop>false</ScaleCrop>
  <LinksUpToDate>false</LinksUpToDate>
  <CharactersWithSpaces>15960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2023-04-13T02:23:00Z</dcterms:created>
  <dc:creator>皮皮李</dc:creator>
  <cp:lastModifiedBy>郭贵生</cp:lastModifiedBy>
  <cp:lastPrinted>2023-04-14T05:45:00Z</cp:lastPrinted>
  <dcterms:modified xsi:type="dcterms:W3CDTF">2023-04-18T07:25:07Z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CE2949306D1145C2AF80BF13576E091B_13</vt:lpwstr>
  </property>
</Properties>
</file>