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方正小标宋_GBK" w:hAnsi="方正小标宋_GBK" w:eastAsia="方正小标宋_GBK" w:cs="方正小标宋_GBK"/>
          <w:b/>
          <w:i w:val="0"/>
          <w:caps w:val="0"/>
          <w:color w:val="262626"/>
          <w:spacing w:val="0"/>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i w:val="0"/>
          <w:caps w:val="0"/>
          <w:color w:val="262626"/>
          <w:spacing w:val="0"/>
          <w:sz w:val="44"/>
          <w:szCs w:val="44"/>
        </w:rPr>
      </w:pPr>
      <w:r>
        <w:rPr>
          <w:rFonts w:hint="eastAsia" w:ascii="方正小标宋_GBK" w:hAnsi="方正小标宋_GBK" w:eastAsia="方正小标宋_GBK" w:cs="方正小标宋_GBK"/>
          <w:b w:val="0"/>
          <w:bCs/>
          <w:i w:val="0"/>
          <w:caps w:val="0"/>
          <w:color w:val="262626"/>
          <w:spacing w:val="0"/>
          <w:sz w:val="44"/>
          <w:szCs w:val="44"/>
        </w:rPr>
        <w:t>关于开展2023年全国商贸物流重点联系</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i w:val="0"/>
          <w:caps w:val="0"/>
          <w:color w:val="000000"/>
          <w:spacing w:val="0"/>
          <w:kern w:val="0"/>
          <w:sz w:val="44"/>
          <w:szCs w:val="44"/>
          <w:lang w:val="en-US" w:eastAsia="zh-CN" w:bidi="ar"/>
        </w:rPr>
      </w:pPr>
      <w:r>
        <w:rPr>
          <w:rFonts w:hint="eastAsia" w:ascii="方正小标宋_GBK" w:hAnsi="方正小标宋_GBK" w:eastAsia="方正小标宋_GBK" w:cs="方正小标宋_GBK"/>
          <w:b w:val="0"/>
          <w:bCs/>
          <w:i w:val="0"/>
          <w:caps w:val="0"/>
          <w:color w:val="262626"/>
          <w:spacing w:val="0"/>
          <w:sz w:val="44"/>
          <w:szCs w:val="44"/>
        </w:rPr>
        <w:t>企业组织申报工作的通知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p>
    <w:p>
      <w:pPr>
        <w:keepNext w:val="0"/>
        <w:keepLines w:val="0"/>
        <w:widowControl/>
        <w:suppressLineNumbers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lang w:val="en-US" w:eastAsia="zh-CN" w:bidi="ar"/>
        </w:rPr>
        <w:t>各省、自治区、直辖市及计划单列市、新疆生产建设兵团商务主管部门：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640" w:firstLineChars="200"/>
        <w:rPr>
          <w:rFonts w:hint="eastAsia" w:ascii="方正仿宋_GBK" w:hAnsi="方正仿宋_GBK" w:eastAsia="方正仿宋_GBK" w:cs="方正仿宋_GBK"/>
          <w:i w:val="0"/>
          <w:caps w:val="0"/>
          <w:color w:val="262626"/>
          <w:spacing w:val="0"/>
          <w:sz w:val="32"/>
          <w:szCs w:val="32"/>
        </w:rPr>
      </w:pPr>
      <w:r>
        <w:rPr>
          <w:rFonts w:hint="eastAsia" w:ascii="方正仿宋_GBK" w:hAnsi="方正仿宋_GBK" w:eastAsia="方正仿宋_GBK" w:cs="方正仿宋_GBK"/>
          <w:i w:val="0"/>
          <w:caps w:val="0"/>
          <w:color w:val="262626"/>
          <w:spacing w:val="0"/>
          <w:sz w:val="32"/>
          <w:szCs w:val="32"/>
        </w:rPr>
        <w:t>按照《商贸物流企业重点联系制度（试行）》（以下简称《制度》，附件1），为进一步规范和加强全国商贸物流重点联系企业（以下简称重点联系企业）的申报、确定和动态管理等工作，现就开展2023年重点联系企业组织申报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640" w:firstLineChars="200"/>
        <w:rPr>
          <w:rFonts w:hint="eastAsia" w:ascii="方正仿宋_GBK" w:hAnsi="方正仿宋_GBK" w:eastAsia="方正仿宋_GBK" w:cs="方正仿宋_GBK"/>
          <w:i w:val="0"/>
          <w:caps w:val="0"/>
          <w:color w:val="262626"/>
          <w:spacing w:val="0"/>
          <w:sz w:val="32"/>
          <w:szCs w:val="32"/>
        </w:rPr>
      </w:pPr>
      <w:r>
        <w:rPr>
          <w:rFonts w:hint="eastAsia" w:ascii="方正黑体_GBK" w:hAnsi="方正黑体_GBK" w:eastAsia="方正黑体_GBK" w:cs="方正黑体_GBK"/>
          <w:b w:val="0"/>
          <w:bCs/>
          <w:i w:val="0"/>
          <w:caps w:val="0"/>
          <w:color w:val="262626"/>
          <w:spacing w:val="0"/>
          <w:sz w:val="32"/>
          <w:szCs w:val="32"/>
        </w:rPr>
        <w:t>一、启动组织申报。</w:t>
      </w:r>
      <w:r>
        <w:rPr>
          <w:rFonts w:hint="eastAsia" w:ascii="方正仿宋_GBK" w:hAnsi="方正仿宋_GBK" w:eastAsia="方正仿宋_GBK" w:cs="方正仿宋_GBK"/>
          <w:i w:val="0"/>
          <w:caps w:val="0"/>
          <w:color w:val="262626"/>
          <w:spacing w:val="0"/>
          <w:sz w:val="32"/>
          <w:szCs w:val="32"/>
        </w:rPr>
        <w:t>请各省级商务主管部门结合工作实际适时启动组织申报工作，公布本地区重点联系企业申报渠道。符合《制度》规定的申报条件、有意愿申报的企业于4月30日前向注册地省级商务主管部门提出申请。有意愿申报的中央企业于4月30日前直接向商务部提出申请。企业在全国多地设有分公司或分支机构的，原则上由企业总部进行申报，避免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640" w:firstLineChars="200"/>
        <w:rPr>
          <w:rFonts w:hint="eastAsia" w:ascii="方正仿宋_GBK" w:hAnsi="方正仿宋_GBK" w:eastAsia="方正仿宋_GBK" w:cs="方正仿宋_GBK"/>
          <w:i w:val="0"/>
          <w:caps w:val="0"/>
          <w:color w:val="262626"/>
          <w:spacing w:val="0"/>
          <w:sz w:val="32"/>
          <w:szCs w:val="32"/>
        </w:rPr>
      </w:pPr>
      <w:bookmarkStart w:id="0" w:name="_GoBack"/>
      <w:r>
        <w:rPr>
          <w:rFonts w:hint="eastAsia" w:ascii="方正黑体_GBK" w:hAnsi="方正黑体_GBK" w:eastAsia="方正黑体_GBK" w:cs="方正黑体_GBK"/>
          <w:b w:val="0"/>
          <w:bCs/>
          <w:i w:val="0"/>
          <w:caps w:val="0"/>
          <w:color w:val="262626"/>
          <w:spacing w:val="0"/>
          <w:sz w:val="32"/>
          <w:szCs w:val="32"/>
        </w:rPr>
        <w:t>二、提交申报材料。</w:t>
      </w:r>
      <w:bookmarkEnd w:id="0"/>
      <w:r>
        <w:rPr>
          <w:rFonts w:hint="eastAsia" w:ascii="方正仿宋_GBK" w:hAnsi="方正仿宋_GBK" w:eastAsia="方正仿宋_GBK" w:cs="方正仿宋_GBK"/>
          <w:i w:val="0"/>
          <w:caps w:val="0"/>
          <w:color w:val="262626"/>
          <w:spacing w:val="0"/>
          <w:sz w:val="32"/>
          <w:szCs w:val="32"/>
        </w:rPr>
        <w:t>申报企业应认真填写《制度》中的《商贸物流重点联系企业申报基本情况》（以下简称《基本情况》），真实、准确提供企业的基本信息、业务规模、仓储能力、运输能力和标准载具应用水平等情况，并提供营业执照、财务报表、审计报告等相关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640" w:firstLineChars="200"/>
        <w:rPr>
          <w:rFonts w:hint="eastAsia" w:ascii="方正仿宋_GBK" w:hAnsi="方正仿宋_GBK" w:eastAsia="方正仿宋_GBK" w:cs="方正仿宋_GBK"/>
          <w:i w:val="0"/>
          <w:caps w:val="0"/>
          <w:color w:val="262626"/>
          <w:spacing w:val="0"/>
          <w:sz w:val="32"/>
          <w:szCs w:val="32"/>
        </w:rPr>
      </w:pPr>
      <w:r>
        <w:rPr>
          <w:rFonts w:hint="eastAsia" w:ascii="方正黑体_GBK" w:hAnsi="方正黑体_GBK" w:eastAsia="方正黑体_GBK" w:cs="方正黑体_GBK"/>
          <w:b w:val="0"/>
          <w:bCs/>
          <w:i w:val="0"/>
          <w:caps w:val="0"/>
          <w:color w:val="262626"/>
          <w:spacing w:val="0"/>
          <w:sz w:val="32"/>
          <w:szCs w:val="32"/>
        </w:rPr>
        <w:t>三、推荐重点企业。</w:t>
      </w:r>
      <w:r>
        <w:rPr>
          <w:rFonts w:hint="eastAsia" w:ascii="方正仿宋_GBK" w:hAnsi="方正仿宋_GBK" w:eastAsia="方正仿宋_GBK" w:cs="方正仿宋_GBK"/>
          <w:i w:val="0"/>
          <w:caps w:val="0"/>
          <w:color w:val="262626"/>
          <w:spacing w:val="0"/>
          <w:sz w:val="32"/>
          <w:szCs w:val="32"/>
        </w:rPr>
        <w:t>请各省级商务主管部门对企业申报材料进行严格审核，向商务部推荐申报材料真实准确、符合申报条件的企业，于5月15日前通过邮寄和电子邮件方式向商务部报送2023年重点联系企业推荐名单（附件2）和推荐企业的《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640" w:firstLineChars="200"/>
        <w:rPr>
          <w:rFonts w:hint="eastAsia" w:ascii="方正仿宋_GBK" w:hAnsi="方正仿宋_GBK" w:eastAsia="方正仿宋_GBK" w:cs="方正仿宋_GBK"/>
          <w:i w:val="0"/>
          <w:caps w:val="0"/>
          <w:color w:val="262626"/>
          <w:spacing w:val="0"/>
          <w:sz w:val="32"/>
          <w:szCs w:val="32"/>
        </w:rPr>
      </w:pPr>
      <w:r>
        <w:rPr>
          <w:rFonts w:hint="eastAsia" w:ascii="方正黑体_GBK" w:hAnsi="方正黑体_GBK" w:eastAsia="方正黑体_GBK" w:cs="方正黑体_GBK"/>
          <w:b w:val="0"/>
          <w:bCs/>
          <w:i w:val="0"/>
          <w:caps w:val="0"/>
          <w:color w:val="262626"/>
          <w:spacing w:val="0"/>
          <w:sz w:val="32"/>
          <w:szCs w:val="32"/>
        </w:rPr>
        <w:t>四、确定重点企业。</w:t>
      </w:r>
      <w:r>
        <w:rPr>
          <w:rFonts w:hint="eastAsia" w:ascii="方正仿宋_GBK" w:hAnsi="方正仿宋_GBK" w:eastAsia="方正仿宋_GBK" w:cs="方正仿宋_GBK"/>
          <w:i w:val="0"/>
          <w:caps w:val="0"/>
          <w:color w:val="262626"/>
          <w:spacing w:val="0"/>
          <w:sz w:val="32"/>
          <w:szCs w:val="32"/>
        </w:rPr>
        <w:t>商务部将会同有关行业协会对中央企业申报材料进行审核并对各地推荐企业名单进行复核，经公示程序后确定2023年重点联系企业名单。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640" w:firstLineChars="200"/>
        <w:rPr>
          <w:rFonts w:hint="eastAsia" w:ascii="方正仿宋_GBK" w:hAnsi="方正仿宋_GBK" w:eastAsia="方正仿宋_GBK" w:cs="方正仿宋_GBK"/>
          <w:i w:val="0"/>
          <w:caps w:val="0"/>
          <w:color w:val="262626"/>
          <w:spacing w:val="0"/>
          <w:sz w:val="32"/>
          <w:szCs w:val="32"/>
        </w:rPr>
      </w:pPr>
      <w:r>
        <w:rPr>
          <w:rFonts w:hint="eastAsia" w:ascii="方正仿宋_GBK" w:hAnsi="方正仿宋_GBK" w:eastAsia="方正仿宋_GBK" w:cs="方正仿宋_GBK"/>
          <w:i w:val="0"/>
          <w:caps w:val="0"/>
          <w:color w:val="262626"/>
          <w:spacing w:val="0"/>
          <w:sz w:val="32"/>
          <w:szCs w:val="32"/>
        </w:rPr>
        <w:t>联系人：李正 周轶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640" w:firstLineChars="200"/>
        <w:rPr>
          <w:rFonts w:hint="eastAsia" w:ascii="方正仿宋_GBK" w:hAnsi="方正仿宋_GBK" w:eastAsia="方正仿宋_GBK" w:cs="方正仿宋_GBK"/>
          <w:i w:val="0"/>
          <w:caps w:val="0"/>
          <w:color w:val="262626"/>
          <w:spacing w:val="0"/>
          <w:sz w:val="32"/>
          <w:szCs w:val="32"/>
        </w:rPr>
      </w:pPr>
      <w:r>
        <w:rPr>
          <w:rFonts w:hint="eastAsia" w:ascii="方正仿宋_GBK" w:hAnsi="方正仿宋_GBK" w:eastAsia="方正仿宋_GBK" w:cs="方正仿宋_GBK"/>
          <w:i w:val="0"/>
          <w:caps w:val="0"/>
          <w:color w:val="262626"/>
          <w:spacing w:val="0"/>
          <w:sz w:val="32"/>
          <w:szCs w:val="32"/>
        </w:rPr>
        <w:t>电 话：010-85093788（传真）85093757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640" w:firstLineChars="200"/>
        <w:rPr>
          <w:rFonts w:hint="eastAsia" w:ascii="方正仿宋_GBK" w:hAnsi="方正仿宋_GBK" w:eastAsia="方正仿宋_GBK" w:cs="方正仿宋_GBK"/>
          <w:i w:val="0"/>
          <w:caps w:val="0"/>
          <w:color w:val="262626"/>
          <w:spacing w:val="0"/>
          <w:sz w:val="32"/>
          <w:szCs w:val="32"/>
        </w:rPr>
      </w:pPr>
      <w:r>
        <w:rPr>
          <w:rFonts w:hint="eastAsia" w:ascii="方正仿宋_GBK" w:hAnsi="方正仿宋_GBK" w:eastAsia="方正仿宋_GBK" w:cs="方正仿宋_GBK"/>
          <w:i w:val="0"/>
          <w:caps w:val="0"/>
          <w:color w:val="262626"/>
          <w:spacing w:val="0"/>
          <w:sz w:val="32"/>
          <w:szCs w:val="32"/>
        </w:rPr>
        <w:t>邮 箱</w:t>
      </w:r>
      <w:r>
        <w:rPr>
          <w:rFonts w:hint="eastAsia" w:ascii="方正仿宋_GBK" w:hAnsi="方正仿宋_GBK" w:eastAsia="方正仿宋_GBK" w:cs="方正仿宋_GBK"/>
          <w:i w:val="0"/>
          <w:caps w:val="0"/>
          <w:color w:val="262626"/>
          <w:spacing w:val="0"/>
          <w:sz w:val="32"/>
          <w:szCs w:val="32"/>
          <w:lang w:eastAsia="zh-CN"/>
        </w:rPr>
        <w:t>：</w:t>
      </w:r>
      <w:r>
        <w:rPr>
          <w:rFonts w:hint="eastAsia" w:ascii="方正仿宋_GBK" w:hAnsi="方正仿宋_GBK" w:eastAsia="方正仿宋_GBK" w:cs="方正仿宋_GBK"/>
          <w:i w:val="0"/>
          <w:caps w:val="0"/>
          <w:color w:val="000000"/>
          <w:spacing w:val="0"/>
          <w:sz w:val="32"/>
          <w:szCs w:val="32"/>
          <w:u w:val="none"/>
        </w:rPr>
        <w:fldChar w:fldCharType="begin"/>
      </w:r>
      <w:r>
        <w:rPr>
          <w:rFonts w:hint="eastAsia" w:ascii="方正仿宋_GBK" w:hAnsi="方正仿宋_GBK" w:eastAsia="方正仿宋_GBK" w:cs="方正仿宋_GBK"/>
          <w:i w:val="0"/>
          <w:caps w:val="0"/>
          <w:color w:val="000000"/>
          <w:spacing w:val="0"/>
          <w:sz w:val="32"/>
          <w:szCs w:val="32"/>
          <w:u w:val="none"/>
        </w:rPr>
        <w:instrText xml:space="preserve"> HYPERLINK "mailto:lizheng@mofcom.gov.cn" </w:instrText>
      </w:r>
      <w:r>
        <w:rPr>
          <w:rFonts w:hint="eastAsia" w:ascii="方正仿宋_GBK" w:hAnsi="方正仿宋_GBK" w:eastAsia="方正仿宋_GBK" w:cs="方正仿宋_GBK"/>
          <w:i w:val="0"/>
          <w:caps w:val="0"/>
          <w:color w:val="000000"/>
          <w:spacing w:val="0"/>
          <w:sz w:val="32"/>
          <w:szCs w:val="32"/>
          <w:u w:val="none"/>
        </w:rPr>
        <w:fldChar w:fldCharType="separate"/>
      </w:r>
      <w:r>
        <w:rPr>
          <w:rStyle w:val="6"/>
          <w:rFonts w:hint="eastAsia" w:ascii="方正仿宋_GBK" w:hAnsi="方正仿宋_GBK" w:eastAsia="方正仿宋_GBK" w:cs="方正仿宋_GBK"/>
          <w:i w:val="0"/>
          <w:caps w:val="0"/>
          <w:color w:val="000000"/>
          <w:spacing w:val="0"/>
          <w:sz w:val="32"/>
          <w:szCs w:val="32"/>
          <w:u w:val="none"/>
        </w:rPr>
        <w:t>lizheng@mofcom.gov.cn</w:t>
      </w:r>
      <w:r>
        <w:rPr>
          <w:rFonts w:hint="eastAsia" w:ascii="方正仿宋_GBK" w:hAnsi="方正仿宋_GBK" w:eastAsia="方正仿宋_GBK" w:cs="方正仿宋_GBK"/>
          <w:i w:val="0"/>
          <w:caps w:val="0"/>
          <w:color w:val="000000"/>
          <w:spacing w:val="0"/>
          <w:sz w:val="32"/>
          <w:szCs w:val="32"/>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1920" w:firstLineChars="600"/>
        <w:rPr>
          <w:rFonts w:hint="eastAsia" w:ascii="方正仿宋_GBK" w:hAnsi="方正仿宋_GBK" w:eastAsia="方正仿宋_GBK" w:cs="方正仿宋_GBK"/>
          <w:i w:val="0"/>
          <w:caps w:val="0"/>
          <w:color w:val="262626"/>
          <w:spacing w:val="0"/>
          <w:sz w:val="32"/>
          <w:szCs w:val="32"/>
        </w:rPr>
      </w:pPr>
      <w:r>
        <w:rPr>
          <w:rFonts w:hint="eastAsia" w:ascii="方正仿宋_GBK" w:hAnsi="方正仿宋_GBK" w:eastAsia="方正仿宋_GBK" w:cs="方正仿宋_GBK"/>
          <w:i w:val="0"/>
          <w:caps w:val="0"/>
          <w:color w:val="000000"/>
          <w:spacing w:val="0"/>
          <w:sz w:val="32"/>
          <w:szCs w:val="32"/>
          <w:u w:val="none"/>
        </w:rPr>
        <w:fldChar w:fldCharType="begin"/>
      </w:r>
      <w:r>
        <w:rPr>
          <w:rFonts w:hint="eastAsia" w:ascii="方正仿宋_GBK" w:hAnsi="方正仿宋_GBK" w:eastAsia="方正仿宋_GBK" w:cs="方正仿宋_GBK"/>
          <w:i w:val="0"/>
          <w:caps w:val="0"/>
          <w:color w:val="000000"/>
          <w:spacing w:val="0"/>
          <w:sz w:val="32"/>
          <w:szCs w:val="32"/>
          <w:u w:val="none"/>
        </w:rPr>
        <w:instrText xml:space="preserve"> HYPERLINK "mailto:zhouyilt@mofcom.gov.cn" </w:instrText>
      </w:r>
      <w:r>
        <w:rPr>
          <w:rFonts w:hint="eastAsia" w:ascii="方正仿宋_GBK" w:hAnsi="方正仿宋_GBK" w:eastAsia="方正仿宋_GBK" w:cs="方正仿宋_GBK"/>
          <w:i w:val="0"/>
          <w:caps w:val="0"/>
          <w:color w:val="000000"/>
          <w:spacing w:val="0"/>
          <w:sz w:val="32"/>
          <w:szCs w:val="32"/>
          <w:u w:val="none"/>
        </w:rPr>
        <w:fldChar w:fldCharType="separate"/>
      </w:r>
      <w:r>
        <w:rPr>
          <w:rStyle w:val="6"/>
          <w:rFonts w:hint="eastAsia" w:ascii="方正仿宋_GBK" w:hAnsi="方正仿宋_GBK" w:eastAsia="方正仿宋_GBK" w:cs="方正仿宋_GBK"/>
          <w:i w:val="0"/>
          <w:caps w:val="0"/>
          <w:color w:val="000000"/>
          <w:spacing w:val="0"/>
          <w:sz w:val="32"/>
          <w:szCs w:val="32"/>
          <w:u w:val="none"/>
        </w:rPr>
        <w:t>zhouyilt@mofcom.gov.cn</w:t>
      </w:r>
      <w:r>
        <w:rPr>
          <w:rFonts w:hint="eastAsia" w:ascii="方正仿宋_GBK" w:hAnsi="方正仿宋_GBK" w:eastAsia="方正仿宋_GBK" w:cs="方正仿宋_GBK"/>
          <w:i w:val="0"/>
          <w:caps w:val="0"/>
          <w:color w:val="000000"/>
          <w:spacing w:val="0"/>
          <w:sz w:val="32"/>
          <w:szCs w:val="32"/>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640" w:firstLineChars="200"/>
        <w:rPr>
          <w:rFonts w:hint="eastAsia" w:ascii="方正仿宋_GBK" w:hAnsi="方正仿宋_GBK" w:eastAsia="方正仿宋_GBK" w:cs="方正仿宋_GBK"/>
          <w:i w:val="0"/>
          <w:caps w:val="0"/>
          <w:color w:val="262626"/>
          <w:spacing w:val="0"/>
          <w:sz w:val="32"/>
          <w:szCs w:val="32"/>
        </w:rPr>
      </w:pPr>
      <w:r>
        <w:rPr>
          <w:rFonts w:hint="eastAsia" w:ascii="方正仿宋_GBK" w:hAnsi="方正仿宋_GBK" w:eastAsia="方正仿宋_GBK" w:cs="方正仿宋_GBK"/>
          <w:i w:val="0"/>
          <w:caps w:val="0"/>
          <w:color w:val="262626"/>
          <w:spacing w:val="0"/>
          <w:sz w:val="32"/>
          <w:szCs w:val="32"/>
        </w:rPr>
        <w:t>地 址：北京市东长安街2号商务部流通业发展司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640" w:firstLineChars="200"/>
        <w:rPr>
          <w:rFonts w:hint="eastAsia" w:ascii="方正仿宋_GBK" w:hAnsi="方正仿宋_GBK" w:eastAsia="方正仿宋_GBK" w:cs="方正仿宋_GBK"/>
          <w:i w:val="0"/>
          <w:caps w:val="0"/>
          <w:color w:val="262626"/>
          <w:spacing w:val="0"/>
          <w:sz w:val="32"/>
          <w:szCs w:val="32"/>
        </w:rPr>
      </w:pPr>
      <w:r>
        <w:rPr>
          <w:rFonts w:hint="eastAsia" w:ascii="方正仿宋_GBK" w:hAnsi="方正仿宋_GBK" w:eastAsia="方正仿宋_GBK" w:cs="方正仿宋_GBK"/>
          <w:i w:val="0"/>
          <w:caps w:val="0"/>
          <w:color w:val="262626"/>
          <w:spacing w:val="0"/>
          <w:sz w:val="32"/>
          <w:szCs w:val="32"/>
        </w:rPr>
        <w:t>邮 编：100731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rPr>
          <w:rFonts w:hint="eastAsia" w:ascii="方正仿宋_GBK" w:hAnsi="方正仿宋_GBK" w:eastAsia="方正仿宋_GBK" w:cs="方正仿宋_GBK"/>
          <w:i w:val="0"/>
          <w:caps w:val="0"/>
          <w:color w:val="262626"/>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640" w:firstLineChars="200"/>
        <w:rPr>
          <w:rFonts w:hint="eastAsia" w:ascii="方正仿宋_GBK" w:hAnsi="方正仿宋_GBK" w:eastAsia="方正仿宋_GBK" w:cs="方正仿宋_GBK"/>
          <w:i w:val="0"/>
          <w:caps w:val="0"/>
          <w:color w:val="262626"/>
          <w:spacing w:val="0"/>
          <w:sz w:val="32"/>
          <w:szCs w:val="32"/>
        </w:rPr>
      </w:pPr>
      <w:r>
        <w:rPr>
          <w:rFonts w:hint="eastAsia" w:ascii="方正仿宋_GBK" w:hAnsi="方正仿宋_GBK" w:eastAsia="方正仿宋_GBK" w:cs="方正仿宋_GBK"/>
          <w:i w:val="0"/>
          <w:caps w:val="0"/>
          <w:color w:val="262626"/>
          <w:spacing w:val="0"/>
          <w:sz w:val="32"/>
          <w:szCs w:val="32"/>
        </w:rPr>
        <w:t>附件：1.</w:t>
      </w:r>
      <w:r>
        <w:rPr>
          <w:rFonts w:hint="eastAsia" w:ascii="方正仿宋_GBK" w:hAnsi="方正仿宋_GBK" w:eastAsia="方正仿宋_GBK" w:cs="方正仿宋_GBK"/>
          <w:i w:val="0"/>
          <w:caps w:val="0"/>
          <w:color w:val="000000"/>
          <w:spacing w:val="0"/>
          <w:sz w:val="32"/>
          <w:szCs w:val="32"/>
          <w:u w:val="none"/>
        </w:rPr>
        <w:fldChar w:fldCharType="begin"/>
      </w:r>
      <w:r>
        <w:rPr>
          <w:rFonts w:hint="eastAsia" w:ascii="方正仿宋_GBK" w:hAnsi="方正仿宋_GBK" w:eastAsia="方正仿宋_GBK" w:cs="方正仿宋_GBK"/>
          <w:i w:val="0"/>
          <w:caps w:val="0"/>
          <w:color w:val="000000"/>
          <w:spacing w:val="0"/>
          <w:sz w:val="32"/>
          <w:szCs w:val="32"/>
          <w:u w:val="none"/>
        </w:rPr>
        <w:instrText xml:space="preserve"> HYPERLINK "http://images.mofcom.gov.cn/ltfzs/202304/20230414090800792.docx" \t "http://ltfzs.mofcom.gov.cn/article/smzx/202304/_blank" </w:instrText>
      </w:r>
      <w:r>
        <w:rPr>
          <w:rFonts w:hint="eastAsia" w:ascii="方正仿宋_GBK" w:hAnsi="方正仿宋_GBK" w:eastAsia="方正仿宋_GBK" w:cs="方正仿宋_GBK"/>
          <w:i w:val="0"/>
          <w:caps w:val="0"/>
          <w:color w:val="000000"/>
          <w:spacing w:val="0"/>
          <w:sz w:val="32"/>
          <w:szCs w:val="32"/>
          <w:u w:val="none"/>
        </w:rPr>
        <w:fldChar w:fldCharType="separate"/>
      </w:r>
      <w:r>
        <w:rPr>
          <w:rStyle w:val="6"/>
          <w:rFonts w:hint="eastAsia" w:ascii="方正仿宋_GBK" w:hAnsi="方正仿宋_GBK" w:eastAsia="方正仿宋_GBK" w:cs="方正仿宋_GBK"/>
          <w:i w:val="0"/>
          <w:caps w:val="0"/>
          <w:color w:val="000000"/>
          <w:spacing w:val="0"/>
          <w:sz w:val="32"/>
          <w:szCs w:val="32"/>
          <w:u w:val="none"/>
        </w:rPr>
        <w:t>商贸物流企业重点联系制度（试行）</w:t>
      </w:r>
      <w:r>
        <w:rPr>
          <w:rFonts w:hint="eastAsia" w:ascii="方正仿宋_GBK" w:hAnsi="方正仿宋_GBK" w:eastAsia="方正仿宋_GBK" w:cs="方正仿宋_GBK"/>
          <w:i w:val="0"/>
          <w:caps w:val="0"/>
          <w:color w:val="000000"/>
          <w:spacing w:val="0"/>
          <w:sz w:val="32"/>
          <w:szCs w:val="32"/>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1600" w:firstLineChars="500"/>
        <w:rPr>
          <w:rFonts w:hint="eastAsia" w:ascii="方正仿宋_GBK" w:hAnsi="方正仿宋_GBK" w:eastAsia="方正仿宋_GBK" w:cs="方正仿宋_GBK"/>
          <w:i w:val="0"/>
          <w:caps w:val="0"/>
          <w:color w:val="262626"/>
          <w:spacing w:val="0"/>
          <w:sz w:val="32"/>
          <w:szCs w:val="32"/>
        </w:rPr>
      </w:pPr>
      <w:r>
        <w:rPr>
          <w:rFonts w:hint="eastAsia" w:ascii="方正仿宋_GBK" w:hAnsi="方正仿宋_GBK" w:eastAsia="方正仿宋_GBK" w:cs="方正仿宋_GBK"/>
          <w:i w:val="0"/>
          <w:caps w:val="0"/>
          <w:color w:val="262626"/>
          <w:spacing w:val="0"/>
          <w:sz w:val="32"/>
          <w:szCs w:val="32"/>
        </w:rPr>
        <w:t>2.</w:t>
      </w:r>
      <w:r>
        <w:rPr>
          <w:rFonts w:hint="eastAsia" w:ascii="方正仿宋_GBK" w:hAnsi="方正仿宋_GBK" w:eastAsia="方正仿宋_GBK" w:cs="方正仿宋_GBK"/>
          <w:i w:val="0"/>
          <w:caps w:val="0"/>
          <w:color w:val="000000"/>
          <w:spacing w:val="0"/>
          <w:sz w:val="32"/>
          <w:szCs w:val="32"/>
          <w:u w:val="none"/>
        </w:rPr>
        <w:fldChar w:fldCharType="begin"/>
      </w:r>
      <w:r>
        <w:rPr>
          <w:rFonts w:hint="eastAsia" w:ascii="方正仿宋_GBK" w:hAnsi="方正仿宋_GBK" w:eastAsia="方正仿宋_GBK" w:cs="方正仿宋_GBK"/>
          <w:i w:val="0"/>
          <w:caps w:val="0"/>
          <w:color w:val="000000"/>
          <w:spacing w:val="0"/>
          <w:sz w:val="32"/>
          <w:szCs w:val="32"/>
          <w:u w:val="none"/>
        </w:rPr>
        <w:instrText xml:space="preserve"> HYPERLINK "http://images.mofcom.gov.cn/ltfzs/202304/20230414090819628.wps" \t "http://ltfzs.mofcom.gov.cn/article/smzx/202304/_blank" </w:instrText>
      </w:r>
      <w:r>
        <w:rPr>
          <w:rFonts w:hint="eastAsia" w:ascii="方正仿宋_GBK" w:hAnsi="方正仿宋_GBK" w:eastAsia="方正仿宋_GBK" w:cs="方正仿宋_GBK"/>
          <w:i w:val="0"/>
          <w:caps w:val="0"/>
          <w:color w:val="000000"/>
          <w:spacing w:val="0"/>
          <w:sz w:val="32"/>
          <w:szCs w:val="32"/>
          <w:u w:val="none"/>
        </w:rPr>
        <w:fldChar w:fldCharType="separate"/>
      </w:r>
      <w:r>
        <w:rPr>
          <w:rStyle w:val="6"/>
          <w:rFonts w:hint="eastAsia" w:ascii="方正仿宋_GBK" w:hAnsi="方正仿宋_GBK" w:eastAsia="方正仿宋_GBK" w:cs="方正仿宋_GBK"/>
          <w:i w:val="0"/>
          <w:caps w:val="0"/>
          <w:color w:val="000000"/>
          <w:spacing w:val="0"/>
          <w:sz w:val="32"/>
          <w:szCs w:val="32"/>
          <w:u w:val="none"/>
        </w:rPr>
        <w:t>2023年全国商贸物流重点联系企业推荐名单</w:t>
      </w:r>
      <w:r>
        <w:rPr>
          <w:rFonts w:hint="eastAsia" w:ascii="方正仿宋_GBK" w:hAnsi="方正仿宋_GBK" w:eastAsia="方正仿宋_GBK" w:cs="方正仿宋_GBK"/>
          <w:i w:val="0"/>
          <w:caps w:val="0"/>
          <w:color w:val="000000"/>
          <w:spacing w:val="0"/>
          <w:sz w:val="32"/>
          <w:szCs w:val="32"/>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right"/>
        <w:rPr>
          <w:rFonts w:hint="eastAsia" w:ascii="方正仿宋_GBK" w:hAnsi="方正仿宋_GBK" w:eastAsia="方正仿宋_GBK" w:cs="方正仿宋_GBK"/>
          <w:i w:val="0"/>
          <w:caps w:val="0"/>
          <w:color w:val="262626"/>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right"/>
        <w:rPr>
          <w:rFonts w:hint="eastAsia" w:ascii="方正仿宋_GBK" w:hAnsi="方正仿宋_GBK" w:eastAsia="方正仿宋_GBK" w:cs="方正仿宋_GBK"/>
          <w:i w:val="0"/>
          <w:caps w:val="0"/>
          <w:color w:val="262626"/>
          <w:spacing w:val="0"/>
          <w:sz w:val="32"/>
          <w:szCs w:val="32"/>
        </w:rPr>
      </w:pPr>
      <w:r>
        <w:rPr>
          <w:rFonts w:hint="eastAsia" w:ascii="方正仿宋_GBK" w:hAnsi="方正仿宋_GBK" w:eastAsia="方正仿宋_GBK" w:cs="方正仿宋_GBK"/>
          <w:i w:val="0"/>
          <w:caps w:val="0"/>
          <w:color w:val="262626"/>
          <w:spacing w:val="0"/>
          <w:sz w:val="32"/>
          <w:szCs w:val="32"/>
        </w:rPr>
        <w:t>商务部流通业发展司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right"/>
        <w:rPr>
          <w:rFonts w:hint="eastAsia" w:ascii="方正仿宋_GBK" w:hAnsi="方正仿宋_GBK" w:eastAsia="方正仿宋_GBK" w:cs="方正仿宋_GBK"/>
          <w:i w:val="0"/>
          <w:caps w:val="0"/>
          <w:color w:val="262626"/>
          <w:spacing w:val="0"/>
          <w:sz w:val="32"/>
          <w:szCs w:val="32"/>
        </w:rPr>
      </w:pPr>
      <w:r>
        <w:rPr>
          <w:rFonts w:hint="eastAsia" w:ascii="方正仿宋_GBK" w:hAnsi="方正仿宋_GBK" w:eastAsia="方正仿宋_GBK" w:cs="方正仿宋_GBK"/>
          <w:i w:val="0"/>
          <w:caps w:val="0"/>
          <w:color w:val="262626"/>
          <w:spacing w:val="0"/>
          <w:sz w:val="32"/>
          <w:szCs w:val="32"/>
        </w:rPr>
        <w:t>2023年4月13日</w:t>
      </w:r>
    </w:p>
    <w:p>
      <w:pPr>
        <w:jc w:val="both"/>
        <w:rPr>
          <w:rFonts w:hint="eastAsia" w:ascii="方正黑体_GBK" w:hAnsi="方正黑体_GBK" w:eastAsia="方正黑体_GBK" w:cs="方正黑体_GBK"/>
          <w:b w:val="0"/>
          <w:bCs w:val="0"/>
          <w:sz w:val="36"/>
          <w:szCs w:val="44"/>
          <w:lang w:val="en-US" w:eastAsia="zh-CN"/>
        </w:rPr>
      </w:pPr>
      <w:r>
        <w:rPr>
          <w:rFonts w:hint="eastAsia" w:ascii="方正黑体_GBK" w:hAnsi="方正黑体_GBK" w:eastAsia="方正黑体_GBK" w:cs="方正黑体_GBK"/>
          <w:b w:val="0"/>
          <w:bCs w:val="0"/>
          <w:sz w:val="32"/>
          <w:szCs w:val="32"/>
          <w:lang w:val="en" w:eastAsia="zh-CN"/>
        </w:rPr>
        <w:t>附件</w:t>
      </w:r>
      <w:r>
        <w:rPr>
          <w:rFonts w:hint="eastAsia" w:ascii="方正黑体_GBK" w:hAnsi="方正黑体_GBK" w:eastAsia="方正黑体_GBK" w:cs="方正黑体_GBK"/>
          <w:sz w:val="32"/>
          <w:szCs w:val="32"/>
          <w:lang w:val="en-US" w:eastAsia="zh-CN"/>
        </w:rPr>
        <w:t>1</w:t>
      </w:r>
    </w:p>
    <w:p>
      <w:pPr>
        <w:jc w:val="center"/>
        <w:rPr>
          <w:rFonts w:hint="default" w:ascii="Nimbus Roman No9 L" w:hAnsi="Nimbus Roman No9 L" w:eastAsia="黑体" w:cs="Nimbus Roman No9 L"/>
          <w:b w:val="0"/>
          <w:bCs w:val="0"/>
          <w:sz w:val="32"/>
          <w:szCs w:val="32"/>
          <w:lang w:val="en" w:eastAsia="zh-CN"/>
        </w:rPr>
      </w:pPr>
    </w:p>
    <w:p>
      <w:pPr>
        <w:jc w:val="center"/>
        <w:rPr>
          <w:rFonts w:hint="default" w:ascii="LinTimes" w:hAnsi="LinTimes" w:eastAsia="宋体" w:cs="LinTimes"/>
          <w:b/>
          <w:bCs/>
          <w:sz w:val="36"/>
          <w:szCs w:val="44"/>
          <w:lang w:val="en" w:eastAsia="zh-CN"/>
        </w:rPr>
      </w:pPr>
      <w:r>
        <w:rPr>
          <w:rFonts w:hint="default" w:ascii="LinTimes" w:hAnsi="LinTimes" w:eastAsia="黑体" w:cs="LinTimes"/>
          <w:b w:val="0"/>
          <w:bCs w:val="0"/>
          <w:sz w:val="36"/>
          <w:szCs w:val="44"/>
          <w:lang w:val="en" w:eastAsia="zh-CN"/>
        </w:rPr>
        <w:t>商贸物流企业重点联系制度（试行）</w:t>
      </w:r>
    </w:p>
    <w:p>
      <w:pPr>
        <w:keepNext w:val="0"/>
        <w:keepLines w:val="0"/>
        <w:pageBreakBefore w:val="0"/>
        <w:widowControl w:val="0"/>
        <w:kinsoku/>
        <w:wordWrap/>
        <w:overflowPunct/>
        <w:topLinePunct w:val="0"/>
        <w:autoSpaceDE/>
        <w:autoSpaceDN/>
        <w:bidi w:val="0"/>
        <w:spacing w:line="640" w:lineRule="exact"/>
        <w:textAlignment w:val="auto"/>
        <w:outlineLvl w:val="9"/>
        <w:rPr>
          <w:rFonts w:hint="default" w:ascii="LinTimes" w:hAnsi="LinTimes" w:cs="LinTimes"/>
          <w:sz w:val="32"/>
          <w:szCs w:val="32"/>
        </w:rPr>
      </w:pPr>
    </w:p>
    <w:p>
      <w:pPr>
        <w:keepNext w:val="0"/>
        <w:keepLines w:val="0"/>
        <w:pageBreakBefore w:val="0"/>
        <w:widowControl w:val="0"/>
        <w:kinsoku/>
        <w:wordWrap/>
        <w:overflowPunct/>
        <w:topLinePunct w:val="0"/>
        <w:autoSpaceDE/>
        <w:autoSpaceDN/>
        <w:bidi w:val="0"/>
        <w:spacing w:line="640" w:lineRule="exact"/>
        <w:jc w:val="center"/>
        <w:textAlignment w:val="auto"/>
        <w:outlineLvl w:val="9"/>
        <w:rPr>
          <w:rFonts w:hint="default" w:ascii="LinTimes" w:hAnsi="LinTimes" w:eastAsia="黑体" w:cs="LinTimes"/>
          <w:sz w:val="32"/>
          <w:szCs w:val="32"/>
          <w:lang w:eastAsia="zh-CN"/>
        </w:rPr>
      </w:pPr>
      <w:r>
        <w:rPr>
          <w:rFonts w:hint="default" w:ascii="LinTimes" w:hAnsi="LinTimes" w:eastAsia="黑体" w:cs="LinTimes"/>
          <w:sz w:val="32"/>
          <w:szCs w:val="32"/>
          <w:lang w:eastAsia="zh-CN"/>
        </w:rPr>
        <w:t>第一章</w:t>
      </w:r>
      <w:r>
        <w:rPr>
          <w:rFonts w:hint="default" w:ascii="LinTimes" w:hAnsi="LinTimes" w:eastAsia="黑体" w:cs="LinTimes"/>
          <w:sz w:val="32"/>
          <w:szCs w:val="32"/>
          <w:lang w:val="en-US" w:eastAsia="zh-CN"/>
        </w:rPr>
        <w:t xml:space="preserve"> </w:t>
      </w:r>
      <w:r>
        <w:rPr>
          <w:rFonts w:hint="default" w:ascii="LinTimes" w:hAnsi="LinTimes" w:eastAsia="黑体" w:cs="LinTimes"/>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both"/>
        <w:textAlignment w:val="auto"/>
        <w:outlineLvl w:val="9"/>
        <w:rPr>
          <w:rFonts w:hint="default" w:ascii="LinTimes" w:hAnsi="LinTimes" w:eastAsia="仿宋_GB2312" w:cs="LinTimes"/>
          <w:b w:val="0"/>
          <w:bCs w:val="0"/>
          <w:sz w:val="32"/>
          <w:szCs w:val="32"/>
          <w:lang w:val="en-US" w:eastAsia="zh-CN"/>
        </w:rPr>
      </w:pPr>
      <w:r>
        <w:rPr>
          <w:rFonts w:hint="default" w:ascii="LinTimes" w:hAnsi="LinTimes" w:eastAsia="楷体_GB2312" w:cs="LinTimes"/>
          <w:b/>
          <w:bCs/>
          <w:sz w:val="32"/>
          <w:szCs w:val="32"/>
          <w:lang w:eastAsia="zh-CN"/>
        </w:rPr>
        <w:t>第一条</w:t>
      </w:r>
      <w:r>
        <w:rPr>
          <w:rFonts w:hint="default" w:ascii="LinTimes" w:hAnsi="LinTimes" w:eastAsia="仿宋_GB2312" w:cs="LinTimes"/>
          <w:b/>
          <w:bCs/>
          <w:sz w:val="32"/>
          <w:szCs w:val="32"/>
          <w:lang w:val="en-US" w:eastAsia="zh-CN"/>
        </w:rPr>
        <w:t xml:space="preserve"> </w:t>
      </w:r>
      <w:r>
        <w:rPr>
          <w:rFonts w:hint="default" w:ascii="LinTimes" w:hAnsi="LinTimes" w:eastAsia="仿宋_GB2312" w:cs="LinTimes"/>
          <w:b w:val="0"/>
          <w:bCs w:val="0"/>
          <w:sz w:val="32"/>
          <w:szCs w:val="32"/>
          <w:lang w:val="en-US" w:eastAsia="zh-CN"/>
        </w:rPr>
        <w:t>为贯彻落实党中央、国务院关于畅通国民经济循环和建设现代流通体系的决策部署，加快培育商贸物流骨干企业，推动商贸物流高质量发展，制定商贸物流企业重点联系制度（以下简称联系制度）。</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both"/>
        <w:textAlignment w:val="auto"/>
        <w:outlineLvl w:val="9"/>
        <w:rPr>
          <w:rFonts w:hint="default" w:ascii="LinTimes" w:hAnsi="LinTimes" w:eastAsia="仿宋_GB2312" w:cs="LinTimes"/>
          <w:b w:val="0"/>
          <w:bCs w:val="0"/>
          <w:sz w:val="32"/>
          <w:szCs w:val="32"/>
          <w:lang w:val="en-US" w:eastAsia="zh-CN"/>
        </w:rPr>
      </w:pPr>
      <w:r>
        <w:rPr>
          <w:rFonts w:hint="default" w:ascii="LinTimes" w:hAnsi="LinTimes" w:eastAsia="楷体_GB2312" w:cs="LinTimes"/>
          <w:b/>
          <w:bCs/>
          <w:sz w:val="32"/>
          <w:szCs w:val="32"/>
          <w:lang w:val="en-US" w:eastAsia="zh-CN"/>
        </w:rPr>
        <w:t>第二条</w:t>
      </w:r>
      <w:r>
        <w:rPr>
          <w:rFonts w:hint="default" w:ascii="LinTimes" w:hAnsi="LinTimes" w:eastAsia="仿宋_GB2312" w:cs="LinTimes"/>
          <w:b w:val="0"/>
          <w:bCs w:val="0"/>
          <w:sz w:val="32"/>
          <w:szCs w:val="32"/>
          <w:lang w:val="en-US" w:eastAsia="zh-CN"/>
        </w:rPr>
        <w:t xml:space="preserve"> 联系制度按照“政府引导、企业自愿、分类分级、动态管理”原则，确定一批类型覆盖广、服务水平高、在全国或区域范围具有较强代表性的商贸物流重点联系企业（以下简称重点联系企业），建立健全通畅、稳定、高效的政企联系沟通机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LinTimes" w:hAnsi="LinTimes" w:eastAsia="仿宋_GB2312" w:cs="LinTimes"/>
          <w:b w:val="0"/>
          <w:bCs w:val="0"/>
          <w:sz w:val="32"/>
          <w:szCs w:val="32"/>
          <w:lang w:val="en-US" w:eastAsia="zh-CN"/>
        </w:rPr>
      </w:pPr>
    </w:p>
    <w:p>
      <w:pPr>
        <w:keepNext w:val="0"/>
        <w:keepLines w:val="0"/>
        <w:pageBreakBefore w:val="0"/>
        <w:widowControl w:val="0"/>
        <w:kinsoku/>
        <w:wordWrap/>
        <w:overflowPunct/>
        <w:topLinePunct w:val="0"/>
        <w:autoSpaceDE/>
        <w:autoSpaceDN/>
        <w:bidi w:val="0"/>
        <w:spacing w:line="640" w:lineRule="exact"/>
        <w:jc w:val="center"/>
        <w:textAlignment w:val="auto"/>
        <w:outlineLvl w:val="9"/>
        <w:rPr>
          <w:rFonts w:hint="default" w:ascii="LinTimes" w:hAnsi="LinTimes" w:eastAsia="黑体" w:cs="LinTimes"/>
          <w:sz w:val="32"/>
          <w:szCs w:val="32"/>
          <w:lang w:val="en-US" w:eastAsia="zh-CN"/>
        </w:rPr>
      </w:pPr>
      <w:r>
        <w:rPr>
          <w:rFonts w:hint="default" w:ascii="LinTimes" w:hAnsi="LinTimes" w:eastAsia="黑体" w:cs="LinTimes"/>
          <w:sz w:val="32"/>
          <w:szCs w:val="32"/>
          <w:lang w:eastAsia="zh-CN"/>
        </w:rPr>
        <w:t>第二章</w:t>
      </w:r>
      <w:r>
        <w:rPr>
          <w:rFonts w:hint="default" w:ascii="LinTimes" w:hAnsi="LinTimes" w:eastAsia="黑体" w:cs="LinTimes"/>
          <w:sz w:val="32"/>
          <w:szCs w:val="32"/>
          <w:lang w:val="en-US" w:eastAsia="zh-CN"/>
        </w:rPr>
        <w:t xml:space="preserve"> 申报条件</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jc w:val="both"/>
        <w:textAlignment w:val="auto"/>
        <w:outlineLvl w:val="9"/>
        <w:rPr>
          <w:rFonts w:hint="default" w:ascii="LinTimes" w:hAnsi="LinTimes" w:eastAsia="仿宋_GB2312" w:cs="LinTimes"/>
          <w:b w:val="0"/>
          <w:bCs w:val="0"/>
          <w:sz w:val="32"/>
          <w:szCs w:val="32"/>
          <w:lang w:val="en" w:eastAsia="zh-CN"/>
        </w:rPr>
      </w:pPr>
      <w:r>
        <w:rPr>
          <w:rFonts w:hint="default" w:ascii="LinTimes" w:hAnsi="LinTimes" w:eastAsia="楷体_GB2312" w:cs="LinTimes"/>
          <w:b/>
          <w:bCs/>
          <w:sz w:val="32"/>
          <w:szCs w:val="32"/>
          <w:lang w:val="en-US" w:eastAsia="zh-CN"/>
        </w:rPr>
        <w:t>第三条</w:t>
      </w:r>
      <w:r>
        <w:rPr>
          <w:rFonts w:hint="default" w:ascii="LinTimes" w:hAnsi="LinTimes" w:eastAsia="仿宋_GB2312" w:cs="LinTimes"/>
          <w:b w:val="0"/>
          <w:bCs w:val="0"/>
          <w:sz w:val="32"/>
          <w:szCs w:val="32"/>
          <w:lang w:val="en-US" w:eastAsia="zh-CN"/>
        </w:rPr>
        <w:t xml:space="preserve"> </w:t>
      </w:r>
      <w:r>
        <w:rPr>
          <w:rFonts w:hint="default" w:ascii="LinTimes" w:hAnsi="LinTimes" w:eastAsia="仿宋_GB2312" w:cs="LinTimes"/>
          <w:b w:val="0"/>
          <w:bCs w:val="0"/>
          <w:sz w:val="32"/>
          <w:szCs w:val="32"/>
          <w:lang w:val="en" w:eastAsia="zh-CN"/>
        </w:rPr>
        <w:t>重点联系企业主要包括以下类型：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LinTimes" w:hAnsi="LinTimes" w:eastAsia="仿宋_GB2312" w:cs="LinTimes"/>
          <w:b w:val="0"/>
          <w:bCs w:val="0"/>
          <w:sz w:val="32"/>
          <w:szCs w:val="32"/>
          <w:lang w:val="en" w:eastAsia="zh-CN"/>
        </w:rPr>
      </w:pPr>
      <w:r>
        <w:rPr>
          <w:rFonts w:hint="default" w:ascii="LinTimes" w:hAnsi="LinTimes" w:eastAsia="仿宋_GB2312" w:cs="LinTimes"/>
          <w:b w:val="0"/>
          <w:bCs w:val="0"/>
          <w:sz w:val="32"/>
          <w:szCs w:val="32"/>
          <w:lang w:val="en" w:eastAsia="zh-CN"/>
        </w:rPr>
        <w:t>（一）具有自营物流的批发、零售、住宿、餐饮、进出口、电子商务（含跨境电商）等商贸流通企业（以下简称商贸企业）。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LinTimes" w:hAnsi="LinTimes" w:eastAsia="仿宋_GB2312" w:cs="LinTimes"/>
          <w:b w:val="0"/>
          <w:bCs w:val="0"/>
          <w:sz w:val="32"/>
          <w:szCs w:val="32"/>
          <w:lang w:val="en" w:eastAsia="zh-CN"/>
        </w:rPr>
      </w:pPr>
      <w:r>
        <w:rPr>
          <w:rFonts w:hint="default" w:ascii="LinTimes" w:hAnsi="LinTimes" w:eastAsia="仿宋_GB2312" w:cs="LinTimes"/>
          <w:b w:val="0"/>
          <w:bCs w:val="0"/>
          <w:sz w:val="32"/>
          <w:szCs w:val="32"/>
          <w:lang w:val="en" w:eastAsia="zh-CN"/>
        </w:rPr>
        <w:t>（二）主要开展供应链服务、综合物流、干线运输、仓储配送、快运快递、即时配送、物流设施设备、物流信息平台等业务的第三方商贸物流企业（以下简称物流企业）。</w:t>
      </w: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default" w:ascii="LinTimes" w:hAnsi="LinTimes" w:eastAsia="仿宋_GB2312" w:cs="LinTimes"/>
          <w:sz w:val="32"/>
          <w:szCs w:val="32"/>
        </w:rPr>
      </w:pPr>
      <w:r>
        <w:rPr>
          <w:rFonts w:hint="default" w:ascii="LinTimes" w:hAnsi="LinTimes" w:eastAsia="楷体" w:cs="LinTimes"/>
          <w:b/>
          <w:bCs/>
          <w:sz w:val="32"/>
          <w:szCs w:val="32"/>
          <w:lang w:val="en-US" w:eastAsia="zh-CN"/>
        </w:rPr>
        <w:t xml:space="preserve">    </w:t>
      </w:r>
      <w:r>
        <w:rPr>
          <w:rFonts w:hint="default" w:ascii="LinTimes" w:hAnsi="LinTimes" w:eastAsia="楷体_GB2312" w:cs="LinTimes"/>
          <w:b/>
          <w:bCs/>
          <w:sz w:val="32"/>
          <w:szCs w:val="32"/>
          <w:lang w:val="en" w:eastAsia="zh-CN"/>
        </w:rPr>
        <w:t>第四条</w:t>
      </w:r>
      <w:r>
        <w:rPr>
          <w:rFonts w:hint="default" w:ascii="LinTimes" w:hAnsi="LinTimes" w:eastAsia="仿宋_GB2312" w:cs="LinTimes"/>
          <w:sz w:val="32"/>
          <w:szCs w:val="32"/>
          <w:lang w:val="en"/>
        </w:rPr>
        <w:t xml:space="preserve"> </w:t>
      </w:r>
      <w:r>
        <w:rPr>
          <w:rFonts w:hint="default" w:ascii="LinTimes" w:hAnsi="LinTimes" w:eastAsia="仿宋_GB2312" w:cs="LinTimes"/>
          <w:sz w:val="32"/>
          <w:szCs w:val="32"/>
          <w:lang w:val="en" w:eastAsia="zh-CN"/>
        </w:rPr>
        <w:t>申报</w:t>
      </w:r>
      <w:r>
        <w:rPr>
          <w:rFonts w:hint="default" w:ascii="LinTimes" w:hAnsi="LinTimes" w:eastAsia="仿宋_GB2312" w:cs="LinTimes"/>
          <w:sz w:val="32"/>
          <w:szCs w:val="32"/>
          <w:lang w:val="en"/>
        </w:rPr>
        <w:t>重点联系企业应符合以下基本条件：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LinTimes" w:hAnsi="LinTimes" w:eastAsia="仿宋_GB2312" w:cs="LinTimes"/>
          <w:sz w:val="32"/>
          <w:szCs w:val="32"/>
          <w:lang w:val="en-US" w:eastAsia="zh-CN"/>
        </w:rPr>
      </w:pPr>
      <w:r>
        <w:rPr>
          <w:rFonts w:hint="default" w:ascii="LinTimes" w:hAnsi="LinTimes" w:eastAsia="仿宋_GB2312" w:cs="LinTimes"/>
          <w:sz w:val="32"/>
          <w:szCs w:val="32"/>
          <w:lang w:val="en-US" w:eastAsia="zh-CN"/>
        </w:rPr>
        <w:t>（一）商贸企业年主营业务收入5亿元以上，物流企业年主营业务收入1亿元以上。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LinTimes" w:hAnsi="LinTimes" w:eastAsia="仿宋_GB2312" w:cs="LinTimes"/>
          <w:sz w:val="32"/>
          <w:szCs w:val="32"/>
          <w:lang w:val="en-US" w:eastAsia="zh-CN"/>
        </w:rPr>
      </w:pPr>
      <w:r>
        <w:rPr>
          <w:rFonts w:hint="default" w:ascii="LinTimes" w:hAnsi="LinTimes" w:eastAsia="仿宋_GB2312" w:cs="LinTimes"/>
          <w:sz w:val="32"/>
          <w:szCs w:val="32"/>
          <w:lang w:val="en-US" w:eastAsia="zh-CN"/>
        </w:rPr>
        <w:t>（二）具</w:t>
      </w:r>
      <w:r>
        <w:rPr>
          <w:rFonts w:hint="default" w:ascii="LinTimes" w:hAnsi="LinTimes" w:eastAsia="仿宋_GB2312" w:cs="LinTimes"/>
          <w:b w:val="0"/>
          <w:bCs w:val="0"/>
          <w:sz w:val="32"/>
          <w:szCs w:val="32"/>
          <w:lang w:val="en-US" w:eastAsia="zh-CN"/>
        </w:rPr>
        <w:t>有全国性或跨区域的</w:t>
      </w:r>
      <w:r>
        <w:rPr>
          <w:rFonts w:hint="default" w:ascii="LinTimes" w:hAnsi="LinTimes" w:eastAsia="仿宋_GB2312" w:cs="LinTimes"/>
          <w:sz w:val="32"/>
          <w:szCs w:val="32"/>
          <w:lang w:val="en-US" w:eastAsia="zh-CN"/>
        </w:rPr>
        <w:t>服务网络，在行业内有较强代表性和影响力。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LinTimes" w:hAnsi="LinTimes" w:eastAsia="仿宋_GB2312" w:cs="LinTimes"/>
          <w:sz w:val="32"/>
          <w:szCs w:val="32"/>
          <w:lang w:val="en-US" w:eastAsia="zh-CN"/>
        </w:rPr>
      </w:pPr>
      <w:r>
        <w:rPr>
          <w:rFonts w:hint="default" w:ascii="LinTimes" w:hAnsi="LinTimes" w:eastAsia="仿宋_GB2312" w:cs="LinTimes"/>
          <w:sz w:val="32"/>
          <w:szCs w:val="32"/>
          <w:lang w:val="en" w:eastAsia="zh-CN"/>
        </w:rPr>
        <w:t>（三）</w:t>
      </w:r>
      <w:r>
        <w:rPr>
          <w:rFonts w:hint="default" w:ascii="LinTimes" w:hAnsi="LinTimes" w:eastAsia="仿宋_GB2312" w:cs="LinTimes"/>
          <w:sz w:val="32"/>
          <w:szCs w:val="32"/>
          <w:lang w:val="en-US" w:eastAsia="zh-CN"/>
        </w:rPr>
        <w:t>组织结构完善，管理制度健全，依法依规经营，严格履行安全生产、疫情防控等主体责任。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LinTimes" w:hAnsi="LinTimes" w:eastAsia="仿宋_GB2312" w:cs="LinTimes"/>
          <w:sz w:val="32"/>
          <w:szCs w:val="32"/>
          <w:lang w:val="en-US" w:eastAsia="zh-CN"/>
        </w:rPr>
      </w:pPr>
      <w:r>
        <w:rPr>
          <w:rFonts w:hint="default" w:ascii="LinTimes" w:hAnsi="LinTimes" w:eastAsia="仿宋_GB2312" w:cs="LinTimes"/>
          <w:sz w:val="32"/>
          <w:szCs w:val="32"/>
          <w:lang w:val="en-US" w:eastAsia="zh-CN"/>
        </w:rPr>
        <w:t>（四）积极完善物流服务网络，推进物流标准化、智慧化、绿色化发展，推动物流降本增效。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LinTimes" w:hAnsi="LinTimes" w:eastAsia="仿宋_GB2312" w:cs="LinTimes"/>
          <w:sz w:val="32"/>
          <w:szCs w:val="32"/>
          <w:lang w:val="en-US" w:eastAsia="zh-CN"/>
        </w:rPr>
      </w:pPr>
      <w:r>
        <w:rPr>
          <w:rFonts w:hint="default" w:ascii="LinTimes" w:hAnsi="LinTimes" w:eastAsia="仿宋_GB2312" w:cs="LinTimes"/>
          <w:sz w:val="32"/>
          <w:szCs w:val="32"/>
          <w:lang w:val="en-US" w:eastAsia="zh-CN"/>
        </w:rPr>
        <w:t>（五）有意愿与商务主管部门加强联系沟通，能够按要求及时报送企业经营情况，反映行业发展的突出问题。</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outlineLvl w:val="9"/>
        <w:rPr>
          <w:rFonts w:hint="default" w:ascii="LinTimes" w:hAnsi="LinTimes" w:eastAsia="仿宋_GB2312" w:cs="LinTimes"/>
          <w:sz w:val="32"/>
          <w:szCs w:val="32"/>
          <w:lang w:val="en-US" w:eastAsia="zh-CN"/>
        </w:rPr>
      </w:pPr>
      <w:r>
        <w:rPr>
          <w:rFonts w:hint="default" w:ascii="LinTimes" w:hAnsi="LinTimes" w:eastAsia="楷体_GB2312" w:cs="LinTimes"/>
          <w:b/>
          <w:bCs/>
          <w:sz w:val="32"/>
          <w:szCs w:val="32"/>
          <w:lang w:val="en" w:eastAsia="zh-CN"/>
        </w:rPr>
        <w:t>第五条</w:t>
      </w:r>
      <w:r>
        <w:rPr>
          <w:rFonts w:hint="default" w:ascii="LinTimes" w:hAnsi="LinTimes" w:eastAsia="楷体_GB2312" w:cs="LinTimes"/>
          <w:b/>
          <w:bCs/>
          <w:sz w:val="32"/>
          <w:szCs w:val="32"/>
          <w:lang w:val="en-US" w:eastAsia="zh-CN"/>
        </w:rPr>
        <w:t xml:space="preserve"> </w:t>
      </w:r>
      <w:r>
        <w:rPr>
          <w:rFonts w:hint="default" w:ascii="LinTimes" w:hAnsi="LinTimes" w:eastAsia="仿宋_GB2312" w:cs="LinTimes"/>
          <w:b w:val="0"/>
          <w:bCs w:val="0"/>
          <w:sz w:val="32"/>
          <w:szCs w:val="32"/>
          <w:lang w:val="en-US" w:eastAsia="zh-CN"/>
        </w:rPr>
        <w:t>企业在全国多地设有分公司或分支机构的，原则上由企业总部申报重点联系企业。</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outlineLvl w:val="9"/>
        <w:rPr>
          <w:rFonts w:hint="default" w:ascii="LinTimes" w:hAnsi="LinTimes" w:eastAsia="楷体_GB2312" w:cs="LinTimes"/>
          <w:b/>
          <w:bCs/>
          <w:sz w:val="32"/>
          <w:szCs w:val="32"/>
          <w:lang w:val="en-US" w:eastAsia="zh-CN"/>
        </w:rPr>
      </w:pPr>
      <w:r>
        <w:rPr>
          <w:rFonts w:hint="default" w:ascii="LinTimes" w:hAnsi="LinTimes" w:eastAsia="楷体_GB2312" w:cs="LinTimes"/>
          <w:b/>
          <w:bCs/>
          <w:sz w:val="32"/>
          <w:szCs w:val="32"/>
          <w:lang w:val="en-US" w:eastAsia="zh-CN"/>
        </w:rPr>
        <w:t xml:space="preserve">第六条 </w:t>
      </w:r>
      <w:r>
        <w:rPr>
          <w:rFonts w:hint="default" w:ascii="LinTimes" w:hAnsi="LinTimes" w:eastAsia="仿宋_GB2312" w:cs="LinTimes"/>
          <w:b w:val="0"/>
          <w:bCs w:val="0"/>
          <w:sz w:val="32"/>
          <w:szCs w:val="32"/>
          <w:lang w:val="en-US" w:eastAsia="zh-CN"/>
        </w:rPr>
        <w:t>确定重点联系企业应充分考虑类型全面性和区域差异性，对代表性企业数量较少的类型、中西部等物流基础相对薄弱的地方，可适当放宽申报条件。</w:t>
      </w:r>
    </w:p>
    <w:p>
      <w:pPr>
        <w:keepNext w:val="0"/>
        <w:keepLines w:val="0"/>
        <w:pageBreakBefore w:val="0"/>
        <w:widowControl w:val="0"/>
        <w:kinsoku/>
        <w:wordWrap/>
        <w:overflowPunct/>
        <w:topLinePunct w:val="0"/>
        <w:autoSpaceDE/>
        <w:autoSpaceDN/>
        <w:bidi w:val="0"/>
        <w:spacing w:line="640" w:lineRule="exact"/>
        <w:ind w:firstLine="642" w:firstLineChars="200"/>
        <w:jc w:val="both"/>
        <w:textAlignment w:val="auto"/>
        <w:outlineLvl w:val="9"/>
        <w:rPr>
          <w:rFonts w:hint="default" w:ascii="LinTimes" w:hAnsi="LinTimes" w:eastAsia="黑体" w:cs="LinTimes"/>
          <w:sz w:val="32"/>
          <w:szCs w:val="32"/>
          <w:lang w:eastAsia="zh-CN"/>
        </w:rPr>
      </w:pPr>
      <w:r>
        <w:rPr>
          <w:rFonts w:hint="default" w:ascii="LinTimes" w:hAnsi="LinTimes" w:eastAsia="楷体_GB2312" w:cs="LinTimes"/>
          <w:b/>
          <w:bCs/>
          <w:sz w:val="32"/>
          <w:szCs w:val="32"/>
          <w:lang w:val="en-US" w:eastAsia="zh-CN"/>
        </w:rPr>
        <w:t xml:space="preserve">第七条 </w:t>
      </w:r>
      <w:r>
        <w:rPr>
          <w:rFonts w:hint="default" w:ascii="LinTimes" w:hAnsi="LinTimes" w:eastAsia="仿宋_GB2312" w:cs="LinTimes"/>
          <w:b w:val="0"/>
          <w:bCs w:val="0"/>
          <w:sz w:val="32"/>
          <w:szCs w:val="32"/>
          <w:lang w:val="en-US" w:eastAsia="zh-CN"/>
        </w:rPr>
        <w:t>积极应用新技术新模式的创新型企业，在物流标准化智慧化绿色化方面具有较强示范引领作用的企业，在抗疫救灾、应急保供等重大任务中作出重要贡献的企业，可适当放宽申报条件。</w:t>
      </w:r>
    </w:p>
    <w:p>
      <w:pPr>
        <w:keepNext w:val="0"/>
        <w:keepLines w:val="0"/>
        <w:pageBreakBefore w:val="0"/>
        <w:widowControl w:val="0"/>
        <w:kinsoku/>
        <w:wordWrap/>
        <w:overflowPunct/>
        <w:topLinePunct w:val="0"/>
        <w:autoSpaceDE/>
        <w:autoSpaceDN/>
        <w:bidi w:val="0"/>
        <w:spacing w:line="640" w:lineRule="exact"/>
        <w:jc w:val="center"/>
        <w:textAlignment w:val="auto"/>
        <w:outlineLvl w:val="9"/>
        <w:rPr>
          <w:rFonts w:hint="default" w:ascii="LinTimes" w:hAnsi="LinTimes" w:eastAsia="黑体" w:cs="LinTimes"/>
          <w:sz w:val="32"/>
          <w:szCs w:val="32"/>
          <w:lang w:eastAsia="zh-CN"/>
        </w:rPr>
      </w:pPr>
    </w:p>
    <w:p>
      <w:pPr>
        <w:keepNext w:val="0"/>
        <w:keepLines w:val="0"/>
        <w:pageBreakBefore w:val="0"/>
        <w:widowControl w:val="0"/>
        <w:kinsoku/>
        <w:wordWrap/>
        <w:overflowPunct/>
        <w:topLinePunct w:val="0"/>
        <w:autoSpaceDE/>
        <w:autoSpaceDN/>
        <w:bidi w:val="0"/>
        <w:spacing w:line="640" w:lineRule="exact"/>
        <w:jc w:val="center"/>
        <w:textAlignment w:val="auto"/>
        <w:outlineLvl w:val="9"/>
        <w:rPr>
          <w:rFonts w:hint="default" w:ascii="LinTimes" w:hAnsi="LinTimes" w:eastAsia="黑体" w:cs="LinTimes"/>
          <w:sz w:val="32"/>
          <w:szCs w:val="32"/>
          <w:lang w:eastAsia="zh-CN"/>
        </w:rPr>
      </w:pPr>
      <w:r>
        <w:rPr>
          <w:rFonts w:hint="default" w:ascii="LinTimes" w:hAnsi="LinTimes" w:eastAsia="黑体" w:cs="LinTimes"/>
          <w:sz w:val="32"/>
          <w:szCs w:val="32"/>
          <w:lang w:eastAsia="zh-CN"/>
        </w:rPr>
        <w:t>第三章</w:t>
      </w:r>
      <w:r>
        <w:rPr>
          <w:rFonts w:hint="default" w:ascii="LinTimes" w:hAnsi="LinTimes" w:eastAsia="黑体" w:cs="LinTimes"/>
          <w:sz w:val="32"/>
          <w:szCs w:val="32"/>
          <w:lang w:val="en-US" w:eastAsia="zh-CN"/>
        </w:rPr>
        <w:t xml:space="preserve"> </w:t>
      </w:r>
      <w:r>
        <w:rPr>
          <w:rFonts w:hint="default" w:ascii="LinTimes" w:hAnsi="LinTimes" w:eastAsia="黑体" w:cs="LinTimes"/>
          <w:sz w:val="32"/>
          <w:szCs w:val="32"/>
          <w:lang w:eastAsia="zh-CN"/>
        </w:rPr>
        <w:t>确认程序</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outlineLvl w:val="9"/>
        <w:rPr>
          <w:rFonts w:hint="default" w:ascii="LinTimes" w:hAnsi="LinTimes" w:eastAsia="仿宋_GB2312" w:cs="LinTimes"/>
          <w:b w:val="0"/>
          <w:bCs w:val="0"/>
          <w:sz w:val="32"/>
          <w:szCs w:val="32"/>
          <w:lang w:val="en-US" w:eastAsia="zh-CN"/>
        </w:rPr>
      </w:pPr>
      <w:r>
        <w:rPr>
          <w:rFonts w:hint="default" w:ascii="LinTimes" w:hAnsi="LinTimes" w:eastAsia="楷体_GB2312" w:cs="LinTimes"/>
          <w:b/>
          <w:bCs/>
          <w:sz w:val="32"/>
          <w:szCs w:val="32"/>
          <w:lang w:val="en-US" w:eastAsia="zh-CN"/>
        </w:rPr>
        <w:t>第八条</w:t>
      </w:r>
      <w:r>
        <w:rPr>
          <w:rFonts w:hint="default" w:ascii="LinTimes" w:hAnsi="LinTimes" w:eastAsia="仿宋_GB2312" w:cs="LinTimes"/>
          <w:b w:val="0"/>
          <w:bCs w:val="0"/>
          <w:sz w:val="32"/>
          <w:szCs w:val="32"/>
          <w:lang w:val="en-US" w:eastAsia="zh-CN"/>
        </w:rPr>
        <w:t xml:space="preserve"> 符合条件的企业按照自愿原则，于每年4月30日前向注册地省级商务主管部门提出申请，填写《</w:t>
      </w:r>
      <w:r>
        <w:rPr>
          <w:rFonts w:hint="default" w:ascii="LinTimes" w:hAnsi="LinTimes" w:eastAsia="仿宋_GB2312" w:cs="LinTimes"/>
          <w:color w:val="000000"/>
          <w:sz w:val="32"/>
          <w:szCs w:val="32"/>
        </w:rPr>
        <w:t>商贸物流重点联系企业</w:t>
      </w:r>
      <w:r>
        <w:rPr>
          <w:rFonts w:hint="default" w:ascii="LinTimes" w:hAnsi="LinTimes" w:eastAsia="仿宋_GB2312" w:cs="LinTimes"/>
          <w:color w:val="000000"/>
          <w:sz w:val="32"/>
          <w:szCs w:val="32"/>
          <w:lang w:eastAsia="zh-CN"/>
        </w:rPr>
        <w:t>申报</w:t>
      </w:r>
      <w:r>
        <w:rPr>
          <w:rFonts w:hint="default" w:ascii="LinTimes" w:hAnsi="LinTimes" w:eastAsia="仿宋_GB2312" w:cs="LinTimes"/>
          <w:color w:val="000000"/>
          <w:sz w:val="32"/>
          <w:szCs w:val="32"/>
        </w:rPr>
        <w:t>基本</w:t>
      </w:r>
      <w:r>
        <w:rPr>
          <w:rFonts w:hint="default" w:ascii="LinTimes" w:hAnsi="LinTimes" w:eastAsia="仿宋_GB2312" w:cs="LinTimes"/>
          <w:color w:val="000000"/>
          <w:sz w:val="32"/>
          <w:szCs w:val="32"/>
          <w:lang w:eastAsia="zh-CN"/>
        </w:rPr>
        <w:t>情况</w:t>
      </w:r>
      <w:r>
        <w:rPr>
          <w:rFonts w:hint="default" w:ascii="LinTimes" w:hAnsi="LinTimes" w:eastAsia="仿宋_GB2312" w:cs="LinTimes"/>
          <w:b w:val="0"/>
          <w:bCs w:val="0"/>
          <w:sz w:val="32"/>
          <w:szCs w:val="32"/>
          <w:lang w:val="en-US" w:eastAsia="zh-CN"/>
        </w:rPr>
        <w:t>》（附1）</w:t>
      </w:r>
      <w:r>
        <w:rPr>
          <w:rFonts w:hint="eastAsia" w:ascii="LinTimes" w:hAnsi="LinTimes" w:eastAsia="仿宋_GB2312" w:cs="LinTimes"/>
          <w:b w:val="0"/>
          <w:bCs w:val="0"/>
          <w:sz w:val="32"/>
          <w:szCs w:val="32"/>
          <w:lang w:val="en-US" w:eastAsia="zh-CN"/>
        </w:rPr>
        <w:t>，</w:t>
      </w:r>
      <w:r>
        <w:rPr>
          <w:rFonts w:hint="default" w:ascii="LinTimes" w:hAnsi="LinTimes" w:eastAsia="仿宋_GB2312" w:cs="LinTimes"/>
          <w:b w:val="0"/>
          <w:bCs w:val="0"/>
          <w:sz w:val="32"/>
          <w:szCs w:val="32"/>
          <w:lang w:val="en-US" w:eastAsia="zh-CN"/>
        </w:rPr>
        <w:t>提供营业执照、财务报表等有关证明材料</w:t>
      </w:r>
      <w:r>
        <w:rPr>
          <w:rFonts w:hint="default" w:ascii="LinTimes" w:hAnsi="LinTimes" w:eastAsia="仿宋_GB2312" w:cs="LinTimes"/>
          <w:sz w:val="32"/>
          <w:szCs w:val="32"/>
          <w:lang w:eastAsia="zh-CN"/>
        </w:rPr>
        <w:t>。</w:t>
      </w:r>
      <w:r>
        <w:rPr>
          <w:rFonts w:hint="default" w:ascii="LinTimes" w:hAnsi="LinTimes" w:eastAsia="仿宋_GB2312" w:cs="LinTimes"/>
          <w:b w:val="0"/>
          <w:bCs w:val="0"/>
          <w:sz w:val="32"/>
          <w:szCs w:val="32"/>
          <w:lang w:val="en-US" w:eastAsia="zh-CN"/>
        </w:rPr>
        <w:t>中央企业申报重点联系企业的，于每年4月30日前向商务部提出申请。</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outlineLvl w:val="9"/>
        <w:rPr>
          <w:rFonts w:hint="default" w:ascii="LinTimes" w:hAnsi="LinTimes" w:eastAsia="仿宋_GB2312" w:cs="LinTimes"/>
          <w:b w:val="0"/>
          <w:bCs w:val="0"/>
          <w:sz w:val="32"/>
          <w:szCs w:val="32"/>
          <w:lang w:val="en-US" w:eastAsia="zh-CN"/>
        </w:rPr>
      </w:pPr>
      <w:r>
        <w:rPr>
          <w:rFonts w:hint="default" w:ascii="LinTimes" w:hAnsi="LinTimes" w:eastAsia="楷体_GB2312" w:cs="LinTimes"/>
          <w:b/>
          <w:bCs/>
          <w:sz w:val="32"/>
          <w:szCs w:val="32"/>
          <w:lang w:val="en-US" w:eastAsia="zh-CN"/>
        </w:rPr>
        <w:t xml:space="preserve">第九条 </w:t>
      </w:r>
      <w:r>
        <w:rPr>
          <w:rFonts w:hint="default" w:ascii="LinTimes" w:hAnsi="LinTimes" w:eastAsia="仿宋_GB2312" w:cs="LinTimes"/>
          <w:b w:val="0"/>
          <w:bCs w:val="0"/>
          <w:sz w:val="32"/>
          <w:szCs w:val="32"/>
          <w:lang w:val="en-US" w:eastAsia="zh-CN"/>
        </w:rPr>
        <w:t>各省级商务主管部门可自行或会同当地物流行业协会，对企业申报材料进行审核，于每年5月15日前，向商务部报送推荐企业名单。</w:t>
      </w:r>
    </w:p>
    <w:p>
      <w:pPr>
        <w:keepNext w:val="0"/>
        <w:keepLines w:val="0"/>
        <w:pageBreakBefore w:val="0"/>
        <w:widowControl w:val="0"/>
        <w:kinsoku/>
        <w:wordWrap/>
        <w:overflowPunct/>
        <w:topLinePunct w:val="0"/>
        <w:autoSpaceDE/>
        <w:autoSpaceDN/>
        <w:bidi w:val="0"/>
        <w:adjustRightInd w:val="0"/>
        <w:snapToGrid w:val="0"/>
        <w:spacing w:line="640" w:lineRule="exact"/>
        <w:ind w:firstLine="642" w:firstLineChars="200"/>
        <w:textAlignment w:val="auto"/>
        <w:outlineLvl w:val="9"/>
        <w:rPr>
          <w:rFonts w:hint="default" w:ascii="LinTimes" w:hAnsi="LinTimes" w:eastAsia="仿宋_GB2312" w:cs="LinTimes"/>
          <w:b w:val="0"/>
          <w:bCs w:val="0"/>
          <w:sz w:val="32"/>
          <w:szCs w:val="32"/>
          <w:lang w:val="en-US" w:eastAsia="zh-CN"/>
        </w:rPr>
      </w:pPr>
      <w:r>
        <w:rPr>
          <w:rFonts w:hint="default" w:ascii="LinTimes" w:hAnsi="LinTimes" w:eastAsia="楷体_GB2312" w:cs="LinTimes"/>
          <w:b/>
          <w:bCs/>
          <w:sz w:val="32"/>
          <w:szCs w:val="32"/>
          <w:lang w:val="en-US" w:eastAsia="zh-CN"/>
        </w:rPr>
        <w:t xml:space="preserve">第十条 </w:t>
      </w:r>
      <w:r>
        <w:rPr>
          <w:rFonts w:hint="default" w:ascii="LinTimes" w:hAnsi="LinTimes" w:eastAsia="仿宋_GB2312" w:cs="LinTimes"/>
          <w:b w:val="0"/>
          <w:bCs w:val="0"/>
          <w:sz w:val="32"/>
          <w:szCs w:val="32"/>
          <w:lang w:val="en-US" w:eastAsia="zh-CN"/>
        </w:rPr>
        <w:t>商务部会同中国物流与采购联合会，对中央企业申报材料进行审核并对各地推荐的企业名单进行复核，经商务部网站公示</w:t>
      </w:r>
      <w:r>
        <w:rPr>
          <w:rFonts w:hint="eastAsia" w:ascii="LinTimes" w:hAnsi="LinTimes" w:eastAsia="仿宋_GB2312" w:cs="LinTimes"/>
          <w:b w:val="0"/>
          <w:bCs w:val="0"/>
          <w:sz w:val="32"/>
          <w:szCs w:val="32"/>
          <w:lang w:val="en-US" w:eastAsia="zh-CN"/>
        </w:rPr>
        <w:t>无异议</w:t>
      </w:r>
      <w:r>
        <w:rPr>
          <w:rFonts w:hint="default" w:ascii="LinTimes" w:hAnsi="LinTimes" w:eastAsia="仿宋_GB2312" w:cs="LinTimes"/>
          <w:b w:val="0"/>
          <w:bCs w:val="0"/>
          <w:sz w:val="32"/>
          <w:szCs w:val="32"/>
          <w:lang w:val="en-US" w:eastAsia="zh-CN"/>
        </w:rPr>
        <w:t>后，确定本年度重点联系企业名单。</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outlineLvl w:val="9"/>
        <w:rPr>
          <w:rFonts w:hint="default" w:ascii="LinTimes" w:hAnsi="LinTimes" w:eastAsia="仿宋_GB2312" w:cs="LinTimes"/>
          <w:b w:val="0"/>
          <w:bCs w:val="0"/>
          <w:sz w:val="32"/>
          <w:szCs w:val="32"/>
          <w:lang w:val="en-US" w:eastAsia="zh-CN"/>
        </w:rPr>
      </w:pPr>
      <w:r>
        <w:rPr>
          <w:rFonts w:hint="default" w:ascii="LinTimes" w:hAnsi="LinTimes" w:eastAsia="楷体_GB2312" w:cs="LinTimes"/>
          <w:b/>
          <w:bCs/>
          <w:sz w:val="32"/>
          <w:szCs w:val="32"/>
          <w:lang w:val="en-US" w:eastAsia="zh-CN"/>
        </w:rPr>
        <w:t xml:space="preserve">第十一条 </w:t>
      </w:r>
      <w:r>
        <w:rPr>
          <w:rFonts w:hint="default" w:ascii="LinTimes" w:hAnsi="LinTimes" w:eastAsia="仿宋_GB2312" w:cs="LinTimes"/>
          <w:b w:val="0"/>
          <w:bCs w:val="0"/>
          <w:sz w:val="32"/>
          <w:szCs w:val="32"/>
          <w:lang w:val="en-US" w:eastAsia="zh-CN"/>
        </w:rPr>
        <w:t>鼓励各省级商务主管部门建立健全本地区商贸物流企业重点联系制度，确定并公布本地区重点联系企业名单。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LinTimes" w:hAnsi="LinTimes" w:eastAsia="仿宋_GB2312" w:cs="LinTimes"/>
          <w:b w:val="0"/>
          <w:bCs w:val="0"/>
          <w:sz w:val="32"/>
          <w:szCs w:val="32"/>
          <w:lang w:val="en-US" w:eastAsia="zh-CN"/>
        </w:rPr>
      </w:pPr>
    </w:p>
    <w:p>
      <w:pPr>
        <w:keepNext w:val="0"/>
        <w:keepLines w:val="0"/>
        <w:pageBreakBefore w:val="0"/>
        <w:widowControl w:val="0"/>
        <w:kinsoku/>
        <w:wordWrap/>
        <w:overflowPunct/>
        <w:topLinePunct w:val="0"/>
        <w:autoSpaceDE/>
        <w:autoSpaceDN/>
        <w:bidi w:val="0"/>
        <w:spacing w:line="640" w:lineRule="exact"/>
        <w:jc w:val="center"/>
        <w:textAlignment w:val="auto"/>
        <w:outlineLvl w:val="9"/>
        <w:rPr>
          <w:rFonts w:hint="default" w:ascii="LinTimes" w:hAnsi="LinTimes" w:eastAsia="黑体" w:cs="LinTimes"/>
          <w:sz w:val="32"/>
          <w:szCs w:val="32"/>
          <w:lang w:val="en-US" w:eastAsia="zh-CN"/>
        </w:rPr>
      </w:pPr>
      <w:r>
        <w:rPr>
          <w:rFonts w:hint="default" w:ascii="LinTimes" w:hAnsi="LinTimes" w:eastAsia="黑体" w:cs="LinTimes"/>
          <w:sz w:val="32"/>
          <w:szCs w:val="32"/>
          <w:lang w:eastAsia="zh-CN"/>
        </w:rPr>
        <w:t>第四章</w:t>
      </w:r>
      <w:r>
        <w:rPr>
          <w:rFonts w:hint="default" w:ascii="LinTimes" w:hAnsi="LinTimes" w:eastAsia="黑体" w:cs="LinTimes"/>
          <w:sz w:val="32"/>
          <w:szCs w:val="32"/>
          <w:lang w:val="en-US" w:eastAsia="zh-CN"/>
        </w:rPr>
        <w:t xml:space="preserve"> 主要任务 </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outlineLvl w:val="9"/>
        <w:rPr>
          <w:rFonts w:hint="default" w:ascii="LinTimes" w:hAnsi="LinTimes" w:eastAsia="仿宋_GB2312" w:cs="LinTimes"/>
          <w:b w:val="0"/>
          <w:bCs w:val="0"/>
          <w:sz w:val="32"/>
          <w:szCs w:val="32"/>
          <w:lang w:val="en-US" w:eastAsia="zh-CN"/>
        </w:rPr>
      </w:pPr>
      <w:r>
        <w:rPr>
          <w:rFonts w:hint="default" w:ascii="LinTimes" w:hAnsi="LinTimes" w:eastAsia="楷体_GB2312" w:cs="LinTimes"/>
          <w:b/>
          <w:bCs/>
          <w:sz w:val="32"/>
          <w:szCs w:val="32"/>
          <w:lang w:val="en-US" w:eastAsia="zh-CN"/>
        </w:rPr>
        <w:t xml:space="preserve">第十二条 </w:t>
      </w:r>
      <w:r>
        <w:rPr>
          <w:rFonts w:hint="default" w:ascii="LinTimes" w:hAnsi="LinTimes" w:eastAsia="仿宋_GB2312" w:cs="LinTimes"/>
          <w:b w:val="0"/>
          <w:bCs w:val="0"/>
          <w:sz w:val="32"/>
          <w:szCs w:val="32"/>
          <w:lang w:val="en-US" w:eastAsia="zh-CN"/>
        </w:rPr>
        <w:t>商务部及各省级商务主管部门应畅通与重点联系企业沟通渠道，形式包括但不限于问卷调查、座谈、调研、培训等，及时了解行业发展的突出问题，研究出台政策措施，复制推广典型经验模式，促进行业健康、稳定发展。</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outlineLvl w:val="9"/>
        <w:rPr>
          <w:rFonts w:hint="default" w:ascii="LinTimes" w:hAnsi="LinTimes" w:eastAsia="仿宋_GB2312" w:cs="LinTimes"/>
          <w:b w:val="0"/>
          <w:bCs w:val="0"/>
          <w:sz w:val="32"/>
          <w:szCs w:val="32"/>
          <w:lang w:val="en-US" w:eastAsia="zh-CN"/>
        </w:rPr>
      </w:pPr>
      <w:r>
        <w:rPr>
          <w:rFonts w:hint="default" w:ascii="LinTimes" w:hAnsi="LinTimes" w:eastAsia="楷体_GB2312" w:cs="LinTimes"/>
          <w:b/>
          <w:bCs/>
          <w:sz w:val="32"/>
          <w:szCs w:val="32"/>
          <w:lang w:val="en-US" w:eastAsia="zh-CN"/>
        </w:rPr>
        <w:t>第十三条</w:t>
      </w:r>
      <w:r>
        <w:rPr>
          <w:rFonts w:hint="default" w:ascii="LinTimes" w:hAnsi="LinTimes" w:eastAsia="楷体" w:cs="LinTimes"/>
          <w:b/>
          <w:bCs/>
          <w:sz w:val="32"/>
          <w:szCs w:val="32"/>
          <w:lang w:val="en-US" w:eastAsia="zh-CN"/>
        </w:rPr>
        <w:t xml:space="preserve"> </w:t>
      </w:r>
      <w:r>
        <w:rPr>
          <w:rFonts w:hint="default" w:ascii="LinTimes" w:hAnsi="LinTimes" w:eastAsia="仿宋_GB2312" w:cs="LinTimes"/>
          <w:b w:val="0"/>
          <w:bCs w:val="0"/>
          <w:sz w:val="32"/>
          <w:szCs w:val="32"/>
          <w:lang w:val="en-US" w:eastAsia="zh-CN"/>
        </w:rPr>
        <w:t>商务部鼓励重点联系企业参加商贸物流高质量发展专项行动、县域商业体系建设、农产品供应链体系建设、一刻钟便民生活圈试点、商品市场优化升级、供应链创新与应用示范创建等工作，充分发挥示范引领作用。</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outlineLvl w:val="9"/>
        <w:rPr>
          <w:rFonts w:hint="default" w:ascii="LinTimes" w:hAnsi="LinTimes" w:eastAsia="楷体_GB2312" w:cs="LinTimes"/>
          <w:b/>
          <w:bCs/>
          <w:sz w:val="32"/>
          <w:szCs w:val="32"/>
          <w:lang w:val="en-US" w:eastAsia="zh-CN"/>
        </w:rPr>
      </w:pPr>
      <w:r>
        <w:rPr>
          <w:rFonts w:hint="default" w:ascii="LinTimes" w:hAnsi="LinTimes" w:eastAsia="楷体_GB2312" w:cs="LinTimes"/>
          <w:b/>
          <w:bCs/>
          <w:sz w:val="32"/>
          <w:szCs w:val="32"/>
          <w:lang w:val="en-US" w:eastAsia="zh-CN"/>
        </w:rPr>
        <w:t xml:space="preserve">第十四条 </w:t>
      </w:r>
      <w:r>
        <w:rPr>
          <w:rFonts w:hint="default" w:ascii="LinTimes" w:hAnsi="LinTimes" w:eastAsia="仿宋_GB2312" w:cs="LinTimes"/>
          <w:b w:val="0"/>
          <w:bCs w:val="0"/>
          <w:sz w:val="32"/>
          <w:szCs w:val="32"/>
          <w:lang w:val="en-US" w:eastAsia="zh-CN"/>
        </w:rPr>
        <w:t>重点联系企业应积极参加商务主管部门组织开展的问卷调查、座谈、调研、培训等活动，分别于每年</w:t>
      </w:r>
      <w:r>
        <w:rPr>
          <w:rFonts w:hint="eastAsia" w:ascii="LinTimes" w:hAnsi="LinTimes" w:eastAsia="仿宋_GB2312" w:cs="LinTimes"/>
          <w:b w:val="0"/>
          <w:bCs w:val="0"/>
          <w:sz w:val="32"/>
          <w:szCs w:val="32"/>
          <w:lang w:val="en-US" w:eastAsia="zh-CN"/>
        </w:rPr>
        <w:t>7</w:t>
      </w:r>
      <w:r>
        <w:rPr>
          <w:rFonts w:hint="default" w:ascii="LinTimes" w:hAnsi="LinTimes" w:eastAsia="仿宋_GB2312" w:cs="LinTimes"/>
          <w:b w:val="0"/>
          <w:bCs w:val="0"/>
          <w:sz w:val="32"/>
          <w:szCs w:val="32"/>
          <w:lang w:val="en-US" w:eastAsia="zh-CN"/>
        </w:rPr>
        <w:t>月</w:t>
      </w:r>
      <w:r>
        <w:rPr>
          <w:rFonts w:hint="eastAsia" w:ascii="LinTimes" w:hAnsi="LinTimes" w:eastAsia="仿宋_GB2312" w:cs="LinTimes"/>
          <w:b w:val="0"/>
          <w:bCs w:val="0"/>
          <w:sz w:val="32"/>
          <w:szCs w:val="32"/>
          <w:lang w:val="en-US" w:eastAsia="zh-CN"/>
        </w:rPr>
        <w:t>31</w:t>
      </w:r>
      <w:r>
        <w:rPr>
          <w:rFonts w:hint="default" w:ascii="LinTimes" w:hAnsi="LinTimes" w:eastAsia="仿宋_GB2312" w:cs="LinTimes"/>
          <w:b w:val="0"/>
          <w:bCs w:val="0"/>
          <w:sz w:val="32"/>
          <w:szCs w:val="32"/>
          <w:lang w:val="en-US" w:eastAsia="zh-CN"/>
        </w:rPr>
        <w:t>日前和次年</w:t>
      </w:r>
      <w:r>
        <w:rPr>
          <w:rFonts w:hint="eastAsia" w:ascii="LinTimes" w:hAnsi="LinTimes" w:eastAsia="仿宋_GB2312" w:cs="LinTimes"/>
          <w:b w:val="0"/>
          <w:bCs w:val="0"/>
          <w:sz w:val="32"/>
          <w:szCs w:val="32"/>
          <w:lang w:val="en-US" w:eastAsia="zh-CN"/>
        </w:rPr>
        <w:t>1</w:t>
      </w:r>
      <w:r>
        <w:rPr>
          <w:rFonts w:hint="default" w:ascii="LinTimes" w:hAnsi="LinTimes" w:eastAsia="仿宋_GB2312" w:cs="LinTimes"/>
          <w:b w:val="0"/>
          <w:bCs w:val="0"/>
          <w:sz w:val="32"/>
          <w:szCs w:val="32"/>
          <w:lang w:val="en-US" w:eastAsia="zh-CN"/>
        </w:rPr>
        <w:t>月</w:t>
      </w:r>
      <w:r>
        <w:rPr>
          <w:rFonts w:hint="eastAsia" w:ascii="LinTimes" w:hAnsi="LinTimes" w:eastAsia="仿宋_GB2312" w:cs="LinTimes"/>
          <w:b w:val="0"/>
          <w:bCs w:val="0"/>
          <w:sz w:val="32"/>
          <w:szCs w:val="32"/>
          <w:lang w:val="en-US" w:eastAsia="zh-CN"/>
        </w:rPr>
        <w:t>31</w:t>
      </w:r>
      <w:r>
        <w:rPr>
          <w:rFonts w:hint="default" w:ascii="LinTimes" w:hAnsi="LinTimes" w:eastAsia="仿宋_GB2312" w:cs="LinTimes"/>
          <w:b w:val="0"/>
          <w:bCs w:val="0"/>
          <w:sz w:val="32"/>
          <w:szCs w:val="32"/>
          <w:lang w:val="en-US" w:eastAsia="zh-CN"/>
        </w:rPr>
        <w:t>日前向注册地省级商务主管部门书面报告企业半年和全年物流发展情况（提纲模板</w:t>
      </w:r>
      <w:r>
        <w:rPr>
          <w:rFonts w:hint="default" w:ascii="LinTimes" w:hAnsi="LinTimes" w:eastAsia="仿宋_GB2312" w:cs="LinTimes"/>
          <w:b w:val="0"/>
          <w:bCs w:val="0"/>
          <w:sz w:val="32"/>
          <w:szCs w:val="32"/>
          <w:lang w:val="en" w:eastAsia="zh-CN"/>
        </w:rPr>
        <w:t>见附</w:t>
      </w:r>
      <w:r>
        <w:rPr>
          <w:rFonts w:hint="default" w:ascii="LinTimes" w:hAnsi="LinTimes" w:eastAsia="仿宋_GB2312" w:cs="LinTimes"/>
          <w:b w:val="0"/>
          <w:bCs w:val="0"/>
          <w:sz w:val="32"/>
          <w:szCs w:val="32"/>
          <w:lang w:val="en-US" w:eastAsia="zh-CN"/>
        </w:rPr>
        <w:t>2）。省级商务主管部门汇总后报商务部。</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outlineLvl w:val="9"/>
        <w:rPr>
          <w:rFonts w:hint="default" w:ascii="LinTimes" w:hAnsi="LinTimes" w:eastAsia="仿宋_GB2312" w:cs="LinTimes"/>
          <w:b w:val="0"/>
          <w:bCs w:val="0"/>
          <w:sz w:val="32"/>
          <w:szCs w:val="32"/>
          <w:lang w:val="en-US" w:eastAsia="zh-CN"/>
        </w:rPr>
      </w:pPr>
      <w:r>
        <w:rPr>
          <w:rFonts w:hint="default" w:ascii="LinTimes" w:hAnsi="LinTimes" w:eastAsia="楷体_GB2312" w:cs="LinTimes"/>
          <w:b/>
          <w:bCs/>
          <w:sz w:val="32"/>
          <w:szCs w:val="32"/>
          <w:lang w:val="en-US" w:eastAsia="zh-CN"/>
        </w:rPr>
        <w:t>第十五条</w:t>
      </w:r>
      <w:r>
        <w:rPr>
          <w:rFonts w:hint="default" w:ascii="LinTimes" w:hAnsi="LinTimes" w:eastAsia="仿宋_GB2312" w:cs="LinTimes"/>
          <w:b w:val="0"/>
          <w:bCs w:val="0"/>
          <w:sz w:val="32"/>
          <w:szCs w:val="32"/>
          <w:lang w:val="en-US" w:eastAsia="zh-CN"/>
        </w:rPr>
        <w:t xml:space="preserve"> 有关商务主管部门、行业协会应妥善保管获得的企业信息和数据，不得泄漏企业商业秘密。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LinTimes" w:hAnsi="LinTimes" w:eastAsia="仿宋_GB2312" w:cs="LinTimes"/>
          <w:b w:val="0"/>
          <w:bCs w:val="0"/>
          <w:sz w:val="32"/>
          <w:szCs w:val="32"/>
          <w:lang w:val="en-US" w:eastAsia="zh-CN"/>
        </w:rPr>
      </w:pPr>
    </w:p>
    <w:p>
      <w:pPr>
        <w:keepNext w:val="0"/>
        <w:keepLines w:val="0"/>
        <w:pageBreakBefore w:val="0"/>
        <w:widowControl w:val="0"/>
        <w:kinsoku/>
        <w:wordWrap/>
        <w:overflowPunct/>
        <w:topLinePunct w:val="0"/>
        <w:autoSpaceDE/>
        <w:autoSpaceDN/>
        <w:bidi w:val="0"/>
        <w:spacing w:line="640" w:lineRule="exact"/>
        <w:jc w:val="center"/>
        <w:textAlignment w:val="auto"/>
        <w:outlineLvl w:val="9"/>
        <w:rPr>
          <w:rFonts w:hint="default" w:ascii="LinTimes" w:hAnsi="LinTimes" w:eastAsia="仿宋_GB2312" w:cs="LinTimes"/>
          <w:b w:val="0"/>
          <w:bCs w:val="0"/>
          <w:sz w:val="32"/>
          <w:szCs w:val="32"/>
          <w:lang w:val="en-US" w:eastAsia="zh-CN"/>
        </w:rPr>
      </w:pPr>
      <w:r>
        <w:rPr>
          <w:rFonts w:hint="default" w:ascii="LinTimes" w:hAnsi="LinTimes" w:eastAsia="黑体" w:cs="LinTimes"/>
          <w:sz w:val="32"/>
          <w:szCs w:val="32"/>
          <w:lang w:eastAsia="zh-CN"/>
        </w:rPr>
        <w:t>第五章</w:t>
      </w:r>
      <w:r>
        <w:rPr>
          <w:rFonts w:hint="default" w:ascii="LinTimes" w:hAnsi="LinTimes" w:eastAsia="黑体" w:cs="LinTimes"/>
          <w:sz w:val="32"/>
          <w:szCs w:val="32"/>
          <w:lang w:val="en-US" w:eastAsia="zh-CN"/>
        </w:rPr>
        <w:t xml:space="preserve"> </w:t>
      </w:r>
      <w:r>
        <w:rPr>
          <w:rFonts w:hint="default" w:ascii="LinTimes" w:hAnsi="LinTimes" w:eastAsia="黑体" w:cs="LinTimes"/>
          <w:sz w:val="32"/>
          <w:szCs w:val="32"/>
          <w:lang w:eastAsia="zh-CN"/>
        </w:rPr>
        <w:t>动态管理</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outlineLvl w:val="9"/>
        <w:rPr>
          <w:rFonts w:hint="default" w:ascii="LinTimes" w:hAnsi="LinTimes" w:eastAsia="楷体_GB2312" w:cs="LinTimes"/>
          <w:b/>
          <w:bCs/>
          <w:sz w:val="32"/>
          <w:szCs w:val="32"/>
          <w:lang w:val="en-US" w:eastAsia="zh-CN"/>
        </w:rPr>
      </w:pPr>
      <w:r>
        <w:rPr>
          <w:rFonts w:hint="default" w:ascii="LinTimes" w:hAnsi="LinTimes" w:eastAsia="楷体_GB2312" w:cs="LinTimes"/>
          <w:b/>
          <w:bCs/>
          <w:sz w:val="32"/>
          <w:szCs w:val="32"/>
          <w:lang w:val="en-US" w:eastAsia="zh-CN"/>
        </w:rPr>
        <w:t xml:space="preserve">第十六条 </w:t>
      </w:r>
      <w:r>
        <w:rPr>
          <w:rFonts w:hint="default" w:ascii="LinTimes" w:hAnsi="LinTimes" w:eastAsia="仿宋_GB2312" w:cs="LinTimes"/>
          <w:b w:val="0"/>
          <w:bCs w:val="0"/>
          <w:sz w:val="32"/>
          <w:szCs w:val="32"/>
          <w:lang w:val="en-US" w:eastAsia="zh-CN"/>
        </w:rPr>
        <w:t>重点联系企业被合并或注销、报送材料中存在虚假信息、发生重大违法违规事项或重大安全责任事故、严重失信被纳入联合惩戒名单、与商务主管部门联系沟通及报送信息不积极的，应及时调出重点联系企业名单。</w:t>
      </w: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outlineLvl w:val="9"/>
        <w:rPr>
          <w:rFonts w:hint="default" w:ascii="LinTimes" w:hAnsi="LinTimes" w:eastAsia="仿宋_GB2312" w:cs="LinTimes"/>
          <w:b w:val="0"/>
          <w:bCs w:val="0"/>
          <w:sz w:val="32"/>
          <w:szCs w:val="32"/>
          <w:lang w:val="en-US" w:eastAsia="zh-CN"/>
        </w:rPr>
      </w:pPr>
      <w:r>
        <w:rPr>
          <w:rFonts w:hint="default" w:ascii="LinTimes" w:hAnsi="LinTimes" w:eastAsia="楷体_GB2312" w:cs="LinTimes"/>
          <w:b/>
          <w:bCs/>
          <w:sz w:val="32"/>
          <w:szCs w:val="32"/>
          <w:lang w:val="en-US" w:eastAsia="zh-CN"/>
        </w:rPr>
        <w:t xml:space="preserve">第十七条 </w:t>
      </w:r>
      <w:r>
        <w:rPr>
          <w:rFonts w:hint="default" w:ascii="LinTimes" w:hAnsi="LinTimes" w:eastAsia="仿宋_GB2312" w:cs="LinTimes"/>
          <w:b w:val="0"/>
          <w:bCs w:val="0"/>
          <w:sz w:val="32"/>
          <w:szCs w:val="32"/>
          <w:lang w:val="en-US" w:eastAsia="zh-CN"/>
        </w:rPr>
        <w:t>重点联系企业有上述情形或者其他不适合继续重点联系的情形，由省级商务主管部门报请商务部同意，或者由商务部研究决定，调出重点联系企业名单。</w:t>
      </w:r>
    </w:p>
    <w:p>
      <w:pPr>
        <w:keepNext w:val="0"/>
        <w:keepLines w:val="0"/>
        <w:pageBreakBefore w:val="0"/>
        <w:widowControl w:val="0"/>
        <w:kinsoku/>
        <w:wordWrap/>
        <w:overflowPunct/>
        <w:topLinePunct w:val="0"/>
        <w:autoSpaceDE/>
        <w:autoSpaceDN/>
        <w:bidi w:val="0"/>
        <w:adjustRightInd/>
        <w:snapToGrid/>
        <w:spacing w:line="640" w:lineRule="exact"/>
        <w:ind w:firstLine="641"/>
        <w:textAlignment w:val="auto"/>
        <w:outlineLvl w:val="9"/>
        <w:rPr>
          <w:rFonts w:hint="default" w:ascii="LinTimes" w:hAnsi="LinTimes" w:eastAsia="楷体_GB2312" w:cs="LinTimes"/>
          <w:b/>
          <w:bCs/>
          <w:sz w:val="32"/>
          <w:szCs w:val="32"/>
          <w:lang w:val="en-US" w:eastAsia="zh-CN"/>
        </w:rPr>
      </w:pPr>
      <w:r>
        <w:rPr>
          <w:rFonts w:hint="default" w:ascii="LinTimes" w:hAnsi="LinTimes" w:eastAsia="楷体_GB2312" w:cs="LinTimes"/>
          <w:b/>
          <w:bCs/>
          <w:sz w:val="32"/>
          <w:szCs w:val="32"/>
          <w:lang w:val="en-US" w:eastAsia="zh-CN"/>
        </w:rPr>
        <w:t xml:space="preserve">第十八条 </w:t>
      </w:r>
      <w:r>
        <w:rPr>
          <w:rFonts w:hint="default" w:ascii="LinTimes" w:hAnsi="LinTimes" w:eastAsia="仿宋_GB2312" w:cs="LinTimes"/>
          <w:b w:val="0"/>
          <w:bCs w:val="0"/>
          <w:sz w:val="32"/>
          <w:szCs w:val="32"/>
          <w:lang w:val="en-US" w:eastAsia="zh-CN"/>
        </w:rPr>
        <w:t>被调出重点联系企业名单的企业，两年内不得重新申报。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LinTimes" w:hAnsi="LinTimes" w:eastAsia="仿宋_GB2312" w:cs="LinTimes"/>
          <w:b w:val="0"/>
          <w:bCs w:val="0"/>
          <w:sz w:val="32"/>
          <w:szCs w:val="32"/>
          <w:lang w:val="en-US" w:eastAsia="zh-CN"/>
        </w:rPr>
      </w:pPr>
    </w:p>
    <w:p>
      <w:pPr>
        <w:keepNext w:val="0"/>
        <w:keepLines w:val="0"/>
        <w:pageBreakBefore w:val="0"/>
        <w:widowControl w:val="0"/>
        <w:kinsoku/>
        <w:wordWrap/>
        <w:overflowPunct/>
        <w:topLinePunct w:val="0"/>
        <w:autoSpaceDE/>
        <w:autoSpaceDN/>
        <w:bidi w:val="0"/>
        <w:spacing w:line="640" w:lineRule="exact"/>
        <w:jc w:val="center"/>
        <w:textAlignment w:val="auto"/>
        <w:outlineLvl w:val="9"/>
        <w:rPr>
          <w:rFonts w:hint="default" w:ascii="LinTimes" w:hAnsi="LinTimes" w:eastAsia="黑体" w:cs="LinTimes"/>
          <w:sz w:val="32"/>
          <w:szCs w:val="32"/>
          <w:lang w:eastAsia="zh-CN"/>
        </w:rPr>
      </w:pPr>
      <w:r>
        <w:rPr>
          <w:rFonts w:hint="default" w:ascii="LinTimes" w:hAnsi="LinTimes" w:eastAsia="黑体" w:cs="LinTimes"/>
          <w:sz w:val="32"/>
          <w:szCs w:val="32"/>
          <w:lang w:eastAsia="zh-CN"/>
        </w:rPr>
        <w:t>第六章</w:t>
      </w:r>
      <w:r>
        <w:rPr>
          <w:rFonts w:hint="default" w:ascii="LinTimes" w:hAnsi="LinTimes" w:eastAsia="黑体" w:cs="LinTimes"/>
          <w:sz w:val="32"/>
          <w:szCs w:val="32"/>
          <w:lang w:val="en-US" w:eastAsia="zh-CN"/>
        </w:rPr>
        <w:t xml:space="preserve"> </w:t>
      </w:r>
      <w:r>
        <w:rPr>
          <w:rFonts w:hint="default" w:ascii="LinTimes" w:hAnsi="LinTimes" w:eastAsia="黑体" w:cs="LinTimes"/>
          <w:sz w:val="32"/>
          <w:szCs w:val="32"/>
          <w:lang w:eastAsia="zh-CN"/>
        </w:rPr>
        <w:t>附则</w:t>
      </w:r>
    </w:p>
    <w:p>
      <w:pPr>
        <w:keepNext w:val="0"/>
        <w:keepLines w:val="0"/>
        <w:pageBreakBefore w:val="0"/>
        <w:widowControl w:val="0"/>
        <w:kinsoku/>
        <w:wordWrap/>
        <w:overflowPunct/>
        <w:topLinePunct w:val="0"/>
        <w:autoSpaceDE/>
        <w:autoSpaceDN/>
        <w:bidi w:val="0"/>
        <w:adjustRightInd w:val="0"/>
        <w:snapToGrid w:val="0"/>
        <w:spacing w:line="640" w:lineRule="exact"/>
        <w:ind w:firstLine="642" w:firstLineChars="200"/>
        <w:textAlignment w:val="auto"/>
        <w:outlineLvl w:val="9"/>
        <w:rPr>
          <w:rFonts w:hint="default" w:ascii="LinTimes" w:hAnsi="LinTimes" w:eastAsia="仿宋_GB2312" w:cs="LinTimes"/>
          <w:sz w:val="32"/>
          <w:szCs w:val="32"/>
        </w:rPr>
      </w:pPr>
      <w:r>
        <w:rPr>
          <w:rFonts w:hint="default" w:ascii="LinTimes" w:hAnsi="LinTimes" w:eastAsia="楷体" w:cs="LinTimes"/>
          <w:b/>
          <w:bCs/>
          <w:sz w:val="32"/>
          <w:szCs w:val="32"/>
        </w:rPr>
        <w:t>第</w:t>
      </w:r>
      <w:r>
        <w:rPr>
          <w:rFonts w:hint="default" w:ascii="LinTimes" w:hAnsi="LinTimes" w:eastAsia="楷体" w:cs="LinTimes"/>
          <w:b/>
          <w:bCs/>
          <w:sz w:val="32"/>
          <w:szCs w:val="32"/>
          <w:lang w:eastAsia="zh-CN"/>
        </w:rPr>
        <w:t>十九</w:t>
      </w:r>
      <w:r>
        <w:rPr>
          <w:rFonts w:hint="default" w:ascii="LinTimes" w:hAnsi="LinTimes" w:eastAsia="楷体" w:cs="LinTimes"/>
          <w:b/>
          <w:bCs/>
          <w:sz w:val="32"/>
          <w:szCs w:val="32"/>
        </w:rPr>
        <w:t>条</w:t>
      </w:r>
      <w:r>
        <w:rPr>
          <w:rFonts w:hint="default" w:ascii="LinTimes" w:hAnsi="LinTimes" w:eastAsia="仿宋_GB2312" w:cs="LinTimes"/>
          <w:sz w:val="32"/>
          <w:szCs w:val="32"/>
        </w:rPr>
        <w:t xml:space="preserve"> 本</w:t>
      </w:r>
      <w:r>
        <w:rPr>
          <w:rFonts w:hint="default" w:ascii="LinTimes" w:hAnsi="LinTimes" w:eastAsia="仿宋_GB2312" w:cs="LinTimes"/>
          <w:sz w:val="32"/>
          <w:szCs w:val="32"/>
          <w:lang w:eastAsia="zh-CN"/>
        </w:rPr>
        <w:t>制度</w:t>
      </w:r>
      <w:r>
        <w:rPr>
          <w:rFonts w:hint="default" w:ascii="LinTimes" w:hAnsi="LinTimes" w:eastAsia="仿宋_GB2312" w:cs="LinTimes"/>
          <w:sz w:val="32"/>
          <w:szCs w:val="32"/>
        </w:rPr>
        <w:t>由商务部负责解释。</w:t>
      </w:r>
    </w:p>
    <w:p>
      <w:pPr>
        <w:keepNext w:val="0"/>
        <w:keepLines w:val="0"/>
        <w:pageBreakBefore w:val="0"/>
        <w:widowControl w:val="0"/>
        <w:kinsoku/>
        <w:wordWrap/>
        <w:overflowPunct/>
        <w:topLinePunct w:val="0"/>
        <w:autoSpaceDE/>
        <w:autoSpaceDN/>
        <w:bidi w:val="0"/>
        <w:adjustRightInd w:val="0"/>
        <w:snapToGrid w:val="0"/>
        <w:spacing w:line="640" w:lineRule="exact"/>
        <w:ind w:firstLine="642" w:firstLineChars="200"/>
        <w:textAlignment w:val="auto"/>
        <w:outlineLvl w:val="9"/>
        <w:rPr>
          <w:rFonts w:hint="default" w:ascii="LinTimes" w:hAnsi="LinTimes" w:eastAsia="仿宋_GB2312" w:cs="LinTimes"/>
          <w:sz w:val="32"/>
          <w:szCs w:val="32"/>
        </w:rPr>
      </w:pPr>
      <w:r>
        <w:rPr>
          <w:rFonts w:hint="default" w:ascii="LinTimes" w:hAnsi="LinTimes" w:eastAsia="楷体" w:cs="LinTimes"/>
          <w:b/>
          <w:bCs/>
          <w:sz w:val="32"/>
          <w:szCs w:val="32"/>
        </w:rPr>
        <w:t>第</w:t>
      </w:r>
      <w:r>
        <w:rPr>
          <w:rFonts w:hint="default" w:ascii="LinTimes" w:hAnsi="LinTimes" w:eastAsia="楷体" w:cs="LinTimes"/>
          <w:b/>
          <w:bCs/>
          <w:sz w:val="32"/>
          <w:szCs w:val="32"/>
          <w:lang w:eastAsia="zh-CN"/>
        </w:rPr>
        <w:t>二十</w:t>
      </w:r>
      <w:r>
        <w:rPr>
          <w:rFonts w:hint="default" w:ascii="LinTimes" w:hAnsi="LinTimes" w:eastAsia="楷体" w:cs="LinTimes"/>
          <w:b/>
          <w:bCs/>
          <w:sz w:val="32"/>
          <w:szCs w:val="32"/>
        </w:rPr>
        <w:t>条</w:t>
      </w:r>
      <w:r>
        <w:rPr>
          <w:rFonts w:hint="default" w:ascii="LinTimes" w:hAnsi="LinTimes" w:eastAsia="仿宋_GB2312" w:cs="LinTimes"/>
          <w:sz w:val="32"/>
          <w:szCs w:val="32"/>
        </w:rPr>
        <w:t xml:space="preserve"> 本</w:t>
      </w:r>
      <w:r>
        <w:rPr>
          <w:rFonts w:hint="default" w:ascii="LinTimes" w:hAnsi="LinTimes" w:eastAsia="仿宋_GB2312" w:cs="LinTimes"/>
          <w:sz w:val="32"/>
          <w:szCs w:val="32"/>
          <w:lang w:eastAsia="zh-CN"/>
        </w:rPr>
        <w:t>制度</w:t>
      </w:r>
      <w:r>
        <w:rPr>
          <w:rFonts w:hint="default" w:ascii="LinTimes" w:hAnsi="LinTimes" w:eastAsia="仿宋_GB2312" w:cs="LinTimes"/>
          <w:sz w:val="32"/>
          <w:szCs w:val="32"/>
        </w:rPr>
        <w:t>自发布之日起</w:t>
      </w:r>
      <w:r>
        <w:rPr>
          <w:rFonts w:hint="default" w:ascii="LinTimes" w:hAnsi="LinTimes" w:eastAsia="仿宋_GB2312" w:cs="LinTimes"/>
          <w:sz w:val="32"/>
          <w:szCs w:val="32"/>
          <w:lang w:eastAsia="zh-CN"/>
        </w:rPr>
        <w:t>试</w:t>
      </w:r>
      <w:r>
        <w:rPr>
          <w:rFonts w:hint="default" w:ascii="LinTimes" w:hAnsi="LinTimes" w:eastAsia="仿宋_GB2312" w:cs="LinTimes"/>
          <w:sz w:val="32"/>
          <w:szCs w:val="32"/>
        </w:rPr>
        <w:t>行</w:t>
      </w:r>
      <w:r>
        <w:rPr>
          <w:rFonts w:hint="default" w:ascii="LinTimes" w:hAnsi="LinTimes" w:eastAsia="仿宋_GB2312" w:cs="LinTimes"/>
          <w:sz w:val="32"/>
          <w:szCs w:val="32"/>
          <w:lang w:eastAsia="zh-CN"/>
        </w:rPr>
        <w:t>，后续将根据实施情况进行修改完善，形成正式制度</w:t>
      </w:r>
      <w:r>
        <w:rPr>
          <w:rFonts w:hint="default" w:ascii="LinTimes" w:hAnsi="LinTimes" w:eastAsia="仿宋_GB2312" w:cs="LinTimes"/>
          <w:sz w:val="32"/>
          <w:szCs w:val="32"/>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outlineLvl w:val="9"/>
        <w:rPr>
          <w:rFonts w:hint="default" w:ascii="LinTimes" w:hAnsi="LinTimes" w:eastAsia="仿宋_GB2312" w:cs="LinTimes"/>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outlineLvl w:val="9"/>
        <w:rPr>
          <w:rFonts w:hint="default" w:ascii="LinTimes" w:hAnsi="LinTimes" w:eastAsia="仿宋_GB2312" w:cs="LinTimes"/>
          <w:sz w:val="32"/>
          <w:szCs w:val="32"/>
          <w:lang w:val="en-US" w:eastAsia="zh-CN"/>
        </w:rPr>
      </w:pPr>
      <w:r>
        <w:rPr>
          <w:rFonts w:hint="default" w:ascii="LinTimes" w:hAnsi="LinTimes" w:eastAsia="仿宋_GB2312" w:cs="LinTimes"/>
          <w:sz w:val="32"/>
          <w:szCs w:val="32"/>
          <w:lang w:eastAsia="zh-CN"/>
        </w:rPr>
        <w:t>附：</w:t>
      </w:r>
      <w:r>
        <w:rPr>
          <w:rFonts w:hint="default" w:ascii="LinTimes" w:hAnsi="LinTimes" w:eastAsia="仿宋_GB2312" w:cs="LinTimes"/>
          <w:sz w:val="32"/>
          <w:szCs w:val="32"/>
          <w:lang w:val="en-US" w:eastAsia="zh-CN"/>
        </w:rPr>
        <w:t>1.商贸物流重点联系企业申报基本情况</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outlineLvl w:val="9"/>
        <w:rPr>
          <w:rFonts w:hint="default" w:ascii="LinTimes" w:hAnsi="LinTimes" w:eastAsia="仿宋_GB2312" w:cs="LinTimes"/>
          <w:sz w:val="32"/>
          <w:szCs w:val="32"/>
          <w:lang w:val="en-US" w:eastAsia="zh-CN"/>
        </w:rPr>
      </w:pPr>
      <w:r>
        <w:rPr>
          <w:rFonts w:hint="default" w:ascii="LinTimes" w:hAnsi="LinTimes" w:eastAsia="仿宋_GB2312" w:cs="LinTimes"/>
          <w:sz w:val="32"/>
          <w:szCs w:val="32"/>
          <w:lang w:val="en-US" w:eastAsia="zh-CN"/>
        </w:rPr>
        <w:t xml:space="preserve">    2.商贸物流重点联系企业物流发展情况报告（提纲</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outlineLvl w:val="9"/>
        <w:rPr>
          <w:rFonts w:hint="default" w:ascii="LinTimes" w:hAnsi="LinTimes" w:eastAsia="仿宋_GB2312" w:cs="LinTimes"/>
          <w:sz w:val="32"/>
          <w:szCs w:val="32"/>
          <w:lang w:val="en-US" w:eastAsia="zh-CN"/>
        </w:rPr>
      </w:pPr>
      <w:r>
        <w:rPr>
          <w:rFonts w:hint="default" w:ascii="LinTimes" w:hAnsi="LinTimes" w:eastAsia="仿宋_GB2312" w:cs="LinTimes"/>
          <w:sz w:val="32"/>
          <w:szCs w:val="32"/>
          <w:lang w:val="en-US" w:eastAsia="zh-CN"/>
        </w:rPr>
        <w:t xml:space="preserve">     </w:t>
      </w:r>
      <w:r>
        <w:rPr>
          <w:rFonts w:hint="default" w:ascii="LinTimes" w:hAnsi="LinTimes" w:eastAsia="仿宋_GB2312" w:cs="LinTimes"/>
          <w:sz w:val="21"/>
          <w:szCs w:val="21"/>
          <w:lang w:val="en-US" w:eastAsia="zh-CN"/>
        </w:rPr>
        <w:t xml:space="preserve"> </w:t>
      </w:r>
      <w:r>
        <w:rPr>
          <w:rFonts w:hint="default" w:ascii="LinTimes" w:hAnsi="LinTimes" w:eastAsia="仿宋_GB2312" w:cs="LinTimes"/>
          <w:sz w:val="32"/>
          <w:szCs w:val="32"/>
          <w:lang w:val="en-US" w:eastAsia="zh-CN"/>
        </w:rPr>
        <w:t>模板）</w:t>
      </w:r>
    </w:p>
    <w:p>
      <w:pPr>
        <w:rPr>
          <w:rFonts w:hint="default" w:ascii="LinTimes" w:hAnsi="LinTimes" w:eastAsia="仿宋_GB2312" w:cs="LinTimes"/>
          <w:sz w:val="32"/>
          <w:szCs w:val="32"/>
        </w:rPr>
      </w:pPr>
      <w:r>
        <w:rPr>
          <w:rFonts w:hint="default" w:ascii="LinTimes" w:hAnsi="LinTimes" w:eastAsia="仿宋_GB2312" w:cs="LinTimes"/>
          <w:sz w:val="32"/>
          <w:szCs w:val="32"/>
        </w:rPr>
        <w:br w:type="page"/>
      </w:r>
    </w:p>
    <w:p>
      <w:pPr>
        <w:rPr>
          <w:rFonts w:hint="eastAsia" w:ascii="方正黑体_GBK" w:hAnsi="方正黑体_GBK" w:eastAsia="方正黑体_GBK" w:cs="方正黑体_GBK"/>
          <w:b/>
          <w:bCs/>
          <w:color w:val="000000"/>
          <w:sz w:val="36"/>
          <w:szCs w:val="36"/>
        </w:rPr>
      </w:pPr>
      <w:r>
        <w:rPr>
          <w:rFonts w:hint="eastAsia" w:ascii="方正黑体_GBK" w:hAnsi="方正黑体_GBK" w:eastAsia="方正黑体_GBK" w:cs="方正黑体_GBK"/>
          <w:color w:val="000000"/>
          <w:sz w:val="32"/>
          <w:szCs w:val="32"/>
          <w:lang w:eastAsia="zh-CN"/>
        </w:rPr>
        <w:t>附</w:t>
      </w:r>
      <w:r>
        <w:rPr>
          <w:rFonts w:hint="eastAsia" w:ascii="方正黑体_GBK" w:hAnsi="方正黑体_GBK" w:eastAsia="方正黑体_GBK" w:cs="方正黑体_GBK"/>
          <w:color w:val="000000"/>
          <w:sz w:val="32"/>
          <w:szCs w:val="32"/>
          <w:lang w:val="en-US" w:eastAsia="zh-CN"/>
        </w:rPr>
        <w:t>1</w:t>
      </w:r>
    </w:p>
    <w:p>
      <w:pPr>
        <w:spacing w:line="360" w:lineRule="auto"/>
        <w:jc w:val="center"/>
        <w:rPr>
          <w:rFonts w:hint="eastAsia"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rPr>
        <w:t>商贸物流重点联系企业</w:t>
      </w:r>
      <w:r>
        <w:rPr>
          <w:rFonts w:hint="eastAsia" w:asciiTheme="majorEastAsia" w:hAnsiTheme="majorEastAsia" w:eastAsiaTheme="majorEastAsia" w:cstheme="majorEastAsia"/>
          <w:b/>
          <w:bCs/>
          <w:color w:val="000000"/>
          <w:sz w:val="36"/>
          <w:szCs w:val="36"/>
          <w:lang w:eastAsia="zh-CN"/>
        </w:rPr>
        <w:t>申报</w:t>
      </w:r>
      <w:r>
        <w:rPr>
          <w:rFonts w:hint="eastAsia" w:asciiTheme="majorEastAsia" w:hAnsiTheme="majorEastAsia" w:eastAsiaTheme="majorEastAsia" w:cstheme="majorEastAsia"/>
          <w:b/>
          <w:bCs/>
          <w:color w:val="000000"/>
          <w:sz w:val="36"/>
          <w:szCs w:val="36"/>
        </w:rPr>
        <w:t>基本</w:t>
      </w:r>
      <w:r>
        <w:rPr>
          <w:rFonts w:hint="eastAsia" w:asciiTheme="majorEastAsia" w:hAnsiTheme="majorEastAsia" w:eastAsiaTheme="majorEastAsia" w:cstheme="majorEastAsia"/>
          <w:b/>
          <w:bCs/>
          <w:color w:val="000000"/>
          <w:sz w:val="36"/>
          <w:szCs w:val="36"/>
          <w:lang w:eastAsia="zh-CN"/>
        </w:rPr>
        <w:t>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eastAsia="zh-CN"/>
        </w:rPr>
        <w:t>一、基本信息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000000"/>
          <w:kern w:val="0"/>
          <w:sz w:val="32"/>
          <w:szCs w:val="32"/>
          <w:lang w:eastAsia="zh-CN"/>
        </w:rPr>
      </w:pPr>
      <w:r>
        <w:rPr>
          <w:rFonts w:hint="eastAsia" w:ascii="仿宋_GB2312" w:hAnsi="仿宋_GB2312" w:eastAsia="仿宋_GB2312" w:cs="仿宋_GB2312"/>
          <w:b w:val="0"/>
          <w:bCs/>
          <w:color w:val="000000"/>
          <w:kern w:val="0"/>
          <w:sz w:val="32"/>
          <w:szCs w:val="32"/>
          <w:lang w:eastAsia="zh-CN"/>
        </w:rPr>
        <w:t>包括企业名称、注册地址、联系人及联系方式、企业类型、主营业务、服务网络覆盖范围、主要流通商品品类等情况。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eastAsia="zh-CN"/>
        </w:rPr>
        <w:t>二、业务规模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000000"/>
          <w:kern w:val="0"/>
          <w:sz w:val="32"/>
          <w:szCs w:val="32"/>
          <w:lang w:eastAsia="zh-CN"/>
        </w:rPr>
      </w:pPr>
      <w:r>
        <w:rPr>
          <w:rFonts w:hint="eastAsia" w:ascii="仿宋_GB2312" w:hAnsi="仿宋_GB2312" w:eastAsia="仿宋_GB2312" w:cs="仿宋_GB2312"/>
          <w:b w:val="0"/>
          <w:bCs/>
          <w:color w:val="000000"/>
          <w:kern w:val="0"/>
          <w:sz w:val="32"/>
          <w:szCs w:val="32"/>
          <w:lang w:eastAsia="zh-CN"/>
        </w:rPr>
        <w:t>包括资产总计、主营业务收入、物流总费用/总成本、物流从业人员人数、物流配送节点数量、末端配送网点数量等情况。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eastAsia="zh-CN"/>
        </w:rPr>
        <w:t>三、仓储能力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000000"/>
          <w:kern w:val="0"/>
          <w:sz w:val="32"/>
          <w:szCs w:val="32"/>
          <w:lang w:eastAsia="zh-CN"/>
        </w:rPr>
      </w:pPr>
      <w:r>
        <w:rPr>
          <w:rFonts w:hint="eastAsia" w:ascii="仿宋_GB2312" w:hAnsi="仿宋_GB2312" w:eastAsia="仿宋_GB2312" w:cs="仿宋_GB2312"/>
          <w:b w:val="0"/>
          <w:bCs/>
          <w:color w:val="000000"/>
          <w:kern w:val="0"/>
          <w:sz w:val="32"/>
          <w:szCs w:val="32"/>
          <w:lang w:eastAsia="zh-CN"/>
        </w:rPr>
        <w:t>包括仓储设施（平面仓库、立体仓库、高标准仓库、绿色仓库、海外仓等）数量和面积、冷冻冷藏库数量和容积等情况。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eastAsia="zh-CN"/>
        </w:rPr>
        <w:t>四、运输能力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000000"/>
          <w:kern w:val="0"/>
          <w:sz w:val="32"/>
          <w:szCs w:val="32"/>
          <w:lang w:eastAsia="zh-CN"/>
        </w:rPr>
      </w:pPr>
      <w:r>
        <w:rPr>
          <w:rFonts w:hint="eastAsia" w:ascii="仿宋_GB2312" w:hAnsi="仿宋_GB2312" w:eastAsia="仿宋_GB2312" w:cs="仿宋_GB2312"/>
          <w:b w:val="0"/>
          <w:bCs/>
          <w:color w:val="000000"/>
          <w:kern w:val="0"/>
          <w:sz w:val="32"/>
          <w:szCs w:val="32"/>
          <w:lang w:eastAsia="zh-CN"/>
        </w:rPr>
        <w:t>包括货运配送车辆（含新能源货车、冷藏车等）数量和运力、航空运力吨位数、海运运力标箱数等情况。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eastAsia="zh-CN"/>
        </w:rPr>
        <w:t>五、标准载具应用水平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000000"/>
          <w:kern w:val="0"/>
          <w:sz w:val="32"/>
          <w:szCs w:val="32"/>
          <w:lang w:eastAsia="zh-CN"/>
        </w:rPr>
      </w:pPr>
      <w:r>
        <w:rPr>
          <w:rFonts w:hint="eastAsia" w:ascii="仿宋_GB2312" w:hAnsi="仿宋_GB2312" w:eastAsia="仿宋_GB2312" w:cs="仿宋_GB2312"/>
          <w:b w:val="0"/>
          <w:bCs/>
          <w:color w:val="000000"/>
          <w:kern w:val="0"/>
          <w:sz w:val="32"/>
          <w:szCs w:val="32"/>
          <w:lang w:eastAsia="zh-CN"/>
        </w:rPr>
        <w:t>包括标准托盘数量（自有托盘数量、租赁托盘数量）、标准物流周转箱（筐）数量（自有物流周转箱（筐）数量、租赁物流周转箱（筐）数量）等内容。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bCs w:val="0"/>
          <w:color w:val="000000"/>
          <w:kern w:val="0"/>
          <w:sz w:val="24"/>
          <w:szCs w:val="24"/>
        </w:rPr>
      </w:pPr>
      <w:r>
        <w:rPr>
          <w:rFonts w:hint="default" w:ascii="LinTimes" w:hAnsi="LinTimes" w:eastAsia="仿宋_GB2312" w:cs="LinTimes"/>
          <w:b/>
          <w:bCs w:val="0"/>
          <w:color w:val="000000"/>
          <w:kern w:val="0"/>
          <w:sz w:val="24"/>
          <w:szCs w:val="24"/>
          <w:lang w:eastAsia="zh-CN"/>
        </w:rPr>
        <w:t>注</w:t>
      </w:r>
      <w:r>
        <w:rPr>
          <w:rFonts w:hint="default" w:ascii="LinTimes" w:hAnsi="LinTimes" w:eastAsia="仿宋_GB2312" w:cs="LinTimes"/>
          <w:b/>
          <w:bCs w:val="0"/>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val="0"/>
          <w:bCs w:val="0"/>
          <w:sz w:val="24"/>
          <w:szCs w:val="24"/>
          <w:lang w:val="en-US" w:eastAsia="zh-CN"/>
        </w:rPr>
      </w:pPr>
      <w:r>
        <w:rPr>
          <w:rFonts w:hint="default" w:ascii="LinTimes" w:hAnsi="LinTimes" w:eastAsia="仿宋_GB2312" w:cs="LinTimes"/>
          <w:b/>
          <w:bCs/>
          <w:sz w:val="24"/>
          <w:szCs w:val="24"/>
          <w:lang w:val="en-US" w:eastAsia="zh-CN"/>
        </w:rPr>
        <w:t>企业类型</w:t>
      </w:r>
      <w:r>
        <w:rPr>
          <w:rFonts w:hint="default" w:ascii="LinTimes" w:hAnsi="LinTimes" w:eastAsia="仿宋_GB2312" w:cs="LinTimes"/>
          <w:b w:val="0"/>
          <w:bCs w:val="0"/>
          <w:sz w:val="24"/>
          <w:szCs w:val="24"/>
          <w:lang w:val="en-US" w:eastAsia="zh-CN"/>
        </w:rPr>
        <w:t>：根据企业主营业务划分，包括商贸流通企业（商贸企业）和第三方物流企业（物流企业），其中，商贸流通企业兼具商流与物流服务功能，第三方物流企业主要提供物流及相关辅助服务。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val="0"/>
          <w:bCs w:val="0"/>
          <w:sz w:val="24"/>
          <w:szCs w:val="24"/>
          <w:lang w:val="en-US" w:eastAsia="zh-CN"/>
        </w:rPr>
      </w:pPr>
      <w:r>
        <w:rPr>
          <w:rFonts w:hint="default" w:ascii="LinTimes" w:hAnsi="LinTimes" w:eastAsia="仿宋_GB2312" w:cs="LinTimes"/>
          <w:b/>
          <w:bCs/>
          <w:sz w:val="24"/>
          <w:szCs w:val="24"/>
          <w:lang w:val="en-US" w:eastAsia="zh-CN"/>
        </w:rPr>
        <w:t>商贸企业主营业务：</w:t>
      </w:r>
      <w:r>
        <w:rPr>
          <w:rFonts w:hint="default" w:ascii="LinTimes" w:hAnsi="LinTimes" w:eastAsia="仿宋_GB2312" w:cs="LinTimes"/>
          <w:b w:val="0"/>
          <w:bCs w:val="0"/>
          <w:sz w:val="24"/>
          <w:szCs w:val="24"/>
          <w:lang w:val="en-US" w:eastAsia="zh-CN"/>
        </w:rPr>
        <w:t>商贸流通企业为实现其经营目标开展主要经营活动，包括批发、零售、住宿、餐饮、进出口、电子商务（含跨境电商）以及其他。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val="0"/>
          <w:bCs w:val="0"/>
          <w:sz w:val="24"/>
          <w:szCs w:val="24"/>
          <w:lang w:val="en-US" w:eastAsia="zh-CN"/>
        </w:rPr>
      </w:pPr>
      <w:r>
        <w:rPr>
          <w:rFonts w:hint="default" w:ascii="LinTimes" w:hAnsi="LinTimes" w:eastAsia="仿宋_GB2312" w:cs="LinTimes"/>
          <w:b/>
          <w:bCs/>
          <w:sz w:val="24"/>
          <w:szCs w:val="24"/>
          <w:lang w:val="en-US" w:eastAsia="zh-CN"/>
        </w:rPr>
        <w:t>物流企业主营业务：</w:t>
      </w:r>
      <w:r>
        <w:rPr>
          <w:rFonts w:hint="default" w:ascii="LinTimes" w:hAnsi="LinTimes" w:eastAsia="仿宋_GB2312" w:cs="LinTimes"/>
          <w:b w:val="0"/>
          <w:bCs w:val="0"/>
          <w:sz w:val="24"/>
          <w:szCs w:val="24"/>
          <w:lang w:val="en-US" w:eastAsia="zh-CN"/>
        </w:rPr>
        <w:t>第三方物流企业为实现其经营目标开展主要经营活动，包括供应链服务、综合物流、干线运输、仓储配送、快递快运、即时配送、物流设施设备、物流信息平台以及其他。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val="0"/>
          <w:bCs w:val="0"/>
          <w:sz w:val="24"/>
          <w:szCs w:val="24"/>
          <w:lang w:val="en-US" w:eastAsia="zh-CN"/>
        </w:rPr>
      </w:pPr>
      <w:r>
        <w:rPr>
          <w:rFonts w:hint="default" w:ascii="LinTimes" w:hAnsi="LinTimes" w:eastAsia="仿宋_GB2312" w:cs="LinTimes"/>
          <w:b/>
          <w:bCs/>
          <w:sz w:val="24"/>
          <w:szCs w:val="24"/>
          <w:lang w:val="en-US" w:eastAsia="zh-CN"/>
        </w:rPr>
        <w:t>主要流通商品品类：</w:t>
      </w:r>
      <w:r>
        <w:rPr>
          <w:rFonts w:hint="default" w:ascii="LinTimes" w:hAnsi="LinTimes" w:eastAsia="仿宋_GB2312" w:cs="LinTimes"/>
          <w:b w:val="0"/>
          <w:bCs w:val="0"/>
          <w:sz w:val="24"/>
          <w:szCs w:val="24"/>
          <w:lang w:val="en-US" w:eastAsia="zh-CN"/>
        </w:rPr>
        <w:t>企业采购、销售、运输、存储、配送等商贸和物流活动涉及的主要商品品类，包括快速消费品、农产品和食品、家居建材、家电、汽车、医药、大宗商品、再生资源以及其他。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bCs/>
          <w:sz w:val="24"/>
          <w:szCs w:val="24"/>
          <w:lang w:val="en-US" w:eastAsia="zh-CN"/>
        </w:rPr>
      </w:pPr>
      <w:r>
        <w:rPr>
          <w:rFonts w:hint="default" w:ascii="LinTimes" w:hAnsi="LinTimes" w:eastAsia="仿宋_GB2312" w:cs="LinTimes"/>
          <w:b/>
          <w:bCs/>
          <w:sz w:val="24"/>
          <w:szCs w:val="24"/>
          <w:lang w:eastAsia="zh-CN"/>
        </w:rPr>
        <w:t>物流总费用</w:t>
      </w:r>
      <w:r>
        <w:rPr>
          <w:rFonts w:hint="default" w:ascii="LinTimes" w:hAnsi="LinTimes" w:eastAsia="仿宋_GB2312" w:cs="LinTimes"/>
          <w:b/>
          <w:bCs/>
          <w:sz w:val="24"/>
          <w:szCs w:val="24"/>
          <w:lang w:val="en-US" w:eastAsia="zh-CN"/>
        </w:rPr>
        <w:t>/总成本：</w:t>
      </w:r>
      <w:r>
        <w:rPr>
          <w:rFonts w:hint="default" w:ascii="LinTimes" w:hAnsi="LinTimes" w:eastAsia="仿宋_GB2312" w:cs="LinTimes"/>
          <w:b w:val="0"/>
          <w:bCs w:val="0"/>
          <w:sz w:val="24"/>
          <w:szCs w:val="24"/>
          <w:lang w:val="en-US" w:eastAsia="zh-CN"/>
        </w:rPr>
        <w:t>企业在生产经营中产生的仓储、运输和物流管理等各种物流费用的总和。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val="0"/>
          <w:bCs w:val="0"/>
          <w:sz w:val="24"/>
          <w:szCs w:val="24"/>
          <w:lang w:val="en-US" w:eastAsia="zh-CN"/>
        </w:rPr>
      </w:pPr>
      <w:r>
        <w:rPr>
          <w:rFonts w:hint="default" w:ascii="LinTimes" w:hAnsi="LinTimes" w:eastAsia="仿宋_GB2312" w:cs="LinTimes"/>
          <w:b/>
          <w:bCs/>
          <w:sz w:val="24"/>
          <w:szCs w:val="24"/>
          <w:lang w:val="en-US" w:eastAsia="zh-CN"/>
        </w:rPr>
        <w:t>物流配送节点数量</w:t>
      </w:r>
      <w:r>
        <w:rPr>
          <w:rFonts w:hint="default" w:ascii="LinTimes" w:hAnsi="LinTimes" w:eastAsia="仿宋_GB2312" w:cs="LinTimes"/>
          <w:b w:val="0"/>
          <w:bCs w:val="0"/>
          <w:sz w:val="24"/>
          <w:szCs w:val="24"/>
          <w:lang w:val="en-US" w:eastAsia="zh-CN"/>
        </w:rPr>
        <w:t>：企业运营的具有一定规模、物流设施及信息网络完善、物流功能健全、集聚辐射范围大、存储吞吐能力强的，主要向其他物流节点网点配送货物的专业化物流服务场所的数量，包括配送中心、区域配送中心、转运分拨中心、电商大仓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val="0"/>
          <w:bCs w:val="0"/>
          <w:sz w:val="24"/>
          <w:szCs w:val="24"/>
          <w:lang w:val="en-US" w:eastAsia="zh-CN"/>
        </w:rPr>
      </w:pPr>
      <w:r>
        <w:rPr>
          <w:rFonts w:hint="default" w:ascii="LinTimes" w:hAnsi="LinTimes" w:eastAsia="仿宋_GB2312" w:cs="LinTimes"/>
          <w:b/>
          <w:bCs/>
          <w:sz w:val="24"/>
          <w:szCs w:val="24"/>
          <w:lang w:val="en-US" w:eastAsia="zh-CN"/>
        </w:rPr>
        <w:t>末端配送网点数量：</w:t>
      </w:r>
      <w:r>
        <w:rPr>
          <w:rFonts w:hint="default" w:ascii="LinTimes" w:hAnsi="LinTimes" w:eastAsia="仿宋_GB2312" w:cs="LinTimes"/>
          <w:b w:val="0"/>
          <w:bCs w:val="0"/>
          <w:sz w:val="24"/>
          <w:szCs w:val="24"/>
          <w:lang w:val="en-US" w:eastAsia="zh-CN"/>
        </w:rPr>
        <w:t>企业运营的直接为居民提供“最后一公里”“最后一百米”末端配送服务的商业和物流网点数量，包括商超门店、餐饮门店、电商前置仓、快递站点等。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val="0"/>
          <w:bCs w:val="0"/>
          <w:sz w:val="24"/>
          <w:szCs w:val="24"/>
          <w:lang w:val="en-US" w:eastAsia="zh-CN"/>
        </w:rPr>
      </w:pPr>
      <w:r>
        <w:rPr>
          <w:rFonts w:hint="default" w:ascii="LinTimes" w:hAnsi="LinTimes" w:eastAsia="仿宋_GB2312" w:cs="LinTimes"/>
          <w:b/>
          <w:bCs/>
          <w:sz w:val="24"/>
          <w:szCs w:val="24"/>
          <w:lang w:val="en-US" w:eastAsia="zh-CN"/>
        </w:rPr>
        <w:t>仓储面积：</w:t>
      </w:r>
      <w:r>
        <w:rPr>
          <w:rFonts w:hint="default" w:ascii="LinTimes" w:hAnsi="LinTimes" w:eastAsia="仿宋_GB2312" w:cs="LinTimes"/>
          <w:b w:val="0"/>
          <w:bCs w:val="0"/>
          <w:sz w:val="24"/>
          <w:szCs w:val="24"/>
          <w:lang w:val="en-US" w:eastAsia="zh-CN"/>
        </w:rPr>
        <w:t>企业运营的各类仓库的建筑面积总和。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val="0"/>
          <w:bCs w:val="0"/>
          <w:sz w:val="24"/>
          <w:szCs w:val="24"/>
          <w:lang w:val="en-US" w:eastAsia="zh-CN"/>
        </w:rPr>
      </w:pPr>
      <w:r>
        <w:rPr>
          <w:rFonts w:hint="default" w:ascii="LinTimes" w:hAnsi="LinTimes" w:eastAsia="仿宋_GB2312" w:cs="LinTimes"/>
          <w:b/>
          <w:bCs/>
          <w:sz w:val="24"/>
          <w:szCs w:val="24"/>
          <w:lang w:val="en-US" w:eastAsia="zh-CN"/>
        </w:rPr>
        <w:t>平面仓库</w:t>
      </w:r>
      <w:r>
        <w:rPr>
          <w:rFonts w:hint="default" w:ascii="LinTimes" w:hAnsi="LinTimes" w:eastAsia="仿宋_GB2312" w:cs="LinTimes"/>
          <w:b w:val="0"/>
          <w:bCs w:val="0"/>
          <w:sz w:val="24"/>
          <w:szCs w:val="24"/>
          <w:lang w:val="en-US" w:eastAsia="zh-CN"/>
        </w:rPr>
        <w:t>：又称平库</w:t>
      </w:r>
      <w:r>
        <w:rPr>
          <w:rFonts w:hint="default" w:ascii="LinTimes" w:hAnsi="LinTimes" w:eastAsia="仿宋_GB2312" w:cs="LinTimes"/>
          <w:b/>
          <w:bCs/>
          <w:sz w:val="24"/>
          <w:szCs w:val="24"/>
          <w:lang w:val="en-US" w:eastAsia="zh-CN"/>
        </w:rPr>
        <w:t>，</w:t>
      </w:r>
      <w:r>
        <w:rPr>
          <w:rFonts w:hint="default" w:ascii="LinTimes" w:hAnsi="LinTimes" w:eastAsia="仿宋_GB2312" w:cs="LinTimes"/>
          <w:b w:val="0"/>
          <w:bCs w:val="0"/>
          <w:sz w:val="24"/>
          <w:szCs w:val="24"/>
          <w:lang w:val="en-US" w:eastAsia="zh-CN"/>
        </w:rPr>
        <w:t>指以平面布局、自然码放、无高层货架的普通仓库。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val="0"/>
          <w:bCs w:val="0"/>
          <w:sz w:val="24"/>
          <w:szCs w:val="24"/>
          <w:lang w:val="en-US" w:eastAsia="zh-CN"/>
        </w:rPr>
      </w:pPr>
      <w:r>
        <w:rPr>
          <w:rFonts w:hint="default" w:ascii="LinTimes" w:hAnsi="LinTimes" w:eastAsia="仿宋_GB2312" w:cs="LinTimes"/>
          <w:b/>
          <w:bCs/>
          <w:sz w:val="24"/>
          <w:szCs w:val="24"/>
          <w:lang w:val="en-US" w:eastAsia="zh-CN"/>
        </w:rPr>
        <w:t>立体仓库：</w:t>
      </w:r>
      <w:r>
        <w:rPr>
          <w:rFonts w:hint="default" w:ascii="LinTimes" w:hAnsi="LinTimes" w:eastAsia="仿宋_GB2312" w:cs="LinTimes"/>
          <w:b w:val="0"/>
          <w:bCs w:val="0"/>
          <w:sz w:val="24"/>
          <w:szCs w:val="24"/>
          <w:lang w:val="en-US" w:eastAsia="zh-CN"/>
        </w:rPr>
        <w:t>采用高层货架，可借助机械化或自动化等手段立体存储物品的仓库。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val="0"/>
          <w:bCs w:val="0"/>
          <w:sz w:val="24"/>
          <w:szCs w:val="24"/>
          <w:lang w:val="en-US" w:eastAsia="zh-CN"/>
        </w:rPr>
      </w:pPr>
      <w:r>
        <w:rPr>
          <w:rFonts w:hint="default" w:ascii="LinTimes" w:hAnsi="LinTimes" w:eastAsia="仿宋_GB2312" w:cs="LinTimes"/>
          <w:b/>
          <w:bCs/>
          <w:sz w:val="24"/>
          <w:szCs w:val="24"/>
          <w:lang w:val="en-US" w:eastAsia="zh-CN"/>
        </w:rPr>
        <w:t>高标准仓库：</w:t>
      </w:r>
      <w:r>
        <w:rPr>
          <w:rFonts w:hint="default" w:ascii="LinTimes" w:hAnsi="LinTimes" w:eastAsia="仿宋_GB2312" w:cs="LinTimes"/>
          <w:b w:val="0"/>
          <w:bCs w:val="0"/>
          <w:sz w:val="24"/>
          <w:szCs w:val="24"/>
          <w:lang w:val="en-US" w:eastAsia="zh-CN"/>
        </w:rPr>
        <w:t>达到国家标准《通用仓库等级》（GB/T 21072-2021）四星或五星标准的仓库。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bCs/>
          <w:sz w:val="24"/>
          <w:szCs w:val="24"/>
          <w:lang w:val="en-US" w:eastAsia="zh-CN"/>
        </w:rPr>
      </w:pPr>
      <w:r>
        <w:rPr>
          <w:rFonts w:hint="default" w:ascii="LinTimes" w:hAnsi="LinTimes" w:eastAsia="仿宋_GB2312" w:cs="LinTimes"/>
          <w:b/>
          <w:bCs/>
          <w:sz w:val="24"/>
          <w:szCs w:val="24"/>
          <w:lang w:val="en-US" w:eastAsia="zh-CN"/>
        </w:rPr>
        <w:t>绿色仓库：</w:t>
      </w:r>
      <w:r>
        <w:rPr>
          <w:rFonts w:hint="default" w:ascii="LinTimes" w:hAnsi="LinTimes" w:eastAsia="仿宋_GB2312" w:cs="LinTimes"/>
          <w:b w:val="0"/>
          <w:bCs w:val="0"/>
          <w:sz w:val="24"/>
          <w:szCs w:val="24"/>
          <w:lang w:val="en-US" w:eastAsia="zh-CN"/>
        </w:rPr>
        <w:t>最大限度地节约资源（节能、节地、节水、节材）、保护环境和减少污染，提供健康、适用和高效的使用空间，并与自然和谐共生的仓库建筑，可参考行业标准《绿色仓库要求与评价》（SB/T11164-2016)。</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val="0"/>
          <w:bCs w:val="0"/>
          <w:sz w:val="24"/>
          <w:szCs w:val="24"/>
          <w:lang w:val="en-US" w:eastAsia="zh-CN"/>
        </w:rPr>
      </w:pPr>
      <w:r>
        <w:rPr>
          <w:rFonts w:hint="default" w:ascii="LinTimes" w:hAnsi="LinTimes" w:eastAsia="仿宋_GB2312" w:cs="LinTimes"/>
          <w:b/>
          <w:bCs/>
          <w:sz w:val="24"/>
          <w:szCs w:val="24"/>
          <w:lang w:val="en-US" w:eastAsia="zh-CN"/>
        </w:rPr>
        <w:t>海外仓：</w:t>
      </w:r>
      <w:r>
        <w:rPr>
          <w:rFonts w:hint="default" w:ascii="LinTimes" w:hAnsi="LinTimes" w:eastAsia="仿宋_GB2312" w:cs="LinTimes"/>
          <w:b w:val="0"/>
          <w:bCs w:val="0"/>
          <w:sz w:val="24"/>
          <w:szCs w:val="24"/>
          <w:lang w:val="en-US" w:eastAsia="zh-CN"/>
        </w:rPr>
        <w:t>境内外贸企业、跨境电商企业、物流企业等，通过自建、合建、租赁等方式在境外设立运营的，为进出口商品提供存储、配送、流通加工及其他增值服务的仓储设施。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bCs/>
          <w:sz w:val="24"/>
          <w:szCs w:val="24"/>
          <w:lang w:val="en-US" w:eastAsia="zh-CN"/>
        </w:rPr>
      </w:pPr>
      <w:r>
        <w:rPr>
          <w:rFonts w:hint="default" w:ascii="LinTimes" w:hAnsi="LinTimes" w:eastAsia="仿宋_GB2312" w:cs="LinTimes"/>
          <w:b/>
          <w:bCs/>
          <w:sz w:val="24"/>
          <w:szCs w:val="24"/>
          <w:lang w:val="en-US" w:eastAsia="zh-CN"/>
        </w:rPr>
        <w:t>航空运力：</w:t>
      </w:r>
      <w:r>
        <w:rPr>
          <w:rFonts w:hint="default" w:ascii="LinTimes" w:hAnsi="LinTimes" w:eastAsia="仿宋_GB2312" w:cs="LinTimes"/>
          <w:b w:val="0"/>
          <w:bCs w:val="0"/>
          <w:sz w:val="24"/>
          <w:szCs w:val="24"/>
          <w:lang w:val="en-US" w:eastAsia="zh-CN"/>
        </w:rPr>
        <w:t>企业自主可控的航空货运运力。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bCs/>
          <w:sz w:val="24"/>
          <w:szCs w:val="24"/>
          <w:lang w:val="en-US" w:eastAsia="zh-CN"/>
        </w:rPr>
      </w:pPr>
      <w:r>
        <w:rPr>
          <w:rFonts w:hint="default" w:ascii="LinTimes" w:hAnsi="LinTimes" w:eastAsia="仿宋_GB2312" w:cs="LinTimes"/>
          <w:b/>
          <w:bCs/>
          <w:sz w:val="24"/>
          <w:szCs w:val="24"/>
          <w:lang w:val="en-US" w:eastAsia="zh-CN"/>
        </w:rPr>
        <w:t>海运运力：</w:t>
      </w:r>
      <w:r>
        <w:rPr>
          <w:rFonts w:hint="default" w:ascii="LinTimes" w:hAnsi="LinTimes" w:eastAsia="仿宋_GB2312" w:cs="LinTimes"/>
          <w:b w:val="0"/>
          <w:bCs w:val="0"/>
          <w:sz w:val="24"/>
          <w:szCs w:val="24"/>
          <w:lang w:val="en-US" w:eastAsia="zh-CN"/>
        </w:rPr>
        <w:t>企业自主可控的的海运运力。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val="0"/>
          <w:bCs w:val="0"/>
          <w:sz w:val="24"/>
          <w:szCs w:val="24"/>
          <w:lang w:val="en-US" w:eastAsia="zh-CN"/>
        </w:rPr>
      </w:pPr>
      <w:r>
        <w:rPr>
          <w:rFonts w:hint="default" w:ascii="LinTimes" w:hAnsi="LinTimes" w:eastAsia="仿宋_GB2312" w:cs="LinTimes"/>
          <w:b/>
          <w:bCs/>
          <w:sz w:val="24"/>
          <w:szCs w:val="24"/>
          <w:lang w:val="en-US" w:eastAsia="zh-CN"/>
        </w:rPr>
        <w:t>标准托盘数量：</w:t>
      </w:r>
      <w:r>
        <w:rPr>
          <w:rFonts w:hint="default" w:ascii="LinTimes" w:hAnsi="LinTimes" w:eastAsia="仿宋_GB2312" w:cs="LinTimes"/>
          <w:b w:val="0"/>
          <w:bCs w:val="0"/>
          <w:sz w:val="24"/>
          <w:szCs w:val="24"/>
          <w:lang w:val="en-US" w:eastAsia="zh-CN"/>
        </w:rPr>
        <w:t>企业使用的符合国家标准《联运通用平托盘主要尺寸及公差》（GB/T 2934-2007）、平面尺寸为1200mm×1000mm的托盘数量。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LinTimes" w:hAnsi="LinTimes" w:eastAsia="仿宋_GB2312" w:cs="LinTimes"/>
          <w:b/>
          <w:bCs/>
          <w:sz w:val="24"/>
          <w:szCs w:val="24"/>
          <w:lang w:eastAsia="zh-CN"/>
        </w:rPr>
      </w:pPr>
      <w:r>
        <w:rPr>
          <w:rFonts w:hint="default" w:ascii="LinTimes" w:hAnsi="LinTimes" w:eastAsia="仿宋_GB2312" w:cs="LinTimes"/>
          <w:b/>
          <w:bCs/>
          <w:sz w:val="24"/>
          <w:szCs w:val="24"/>
        </w:rPr>
        <w:t>标准物流周转箱</w:t>
      </w:r>
      <w:r>
        <w:rPr>
          <w:rFonts w:hint="default" w:ascii="LinTimes" w:hAnsi="LinTimes" w:eastAsia="仿宋_GB2312" w:cs="LinTimes"/>
          <w:b/>
          <w:bCs/>
          <w:sz w:val="24"/>
          <w:szCs w:val="24"/>
          <w:lang w:eastAsia="zh-CN"/>
        </w:rPr>
        <w:t>（</w:t>
      </w:r>
      <w:r>
        <w:rPr>
          <w:rFonts w:hint="default" w:ascii="LinTimes" w:hAnsi="LinTimes" w:eastAsia="仿宋_GB2312" w:cs="LinTimes"/>
          <w:b/>
          <w:bCs/>
          <w:sz w:val="24"/>
          <w:szCs w:val="24"/>
        </w:rPr>
        <w:t>筐</w:t>
      </w:r>
      <w:r>
        <w:rPr>
          <w:rFonts w:hint="default" w:ascii="LinTimes" w:hAnsi="LinTimes" w:eastAsia="仿宋_GB2312" w:cs="LinTimes"/>
          <w:b/>
          <w:bCs/>
          <w:sz w:val="24"/>
          <w:szCs w:val="24"/>
          <w:lang w:eastAsia="zh-CN"/>
        </w:rPr>
        <w:t>）</w:t>
      </w:r>
      <w:r>
        <w:rPr>
          <w:rFonts w:hint="default" w:ascii="LinTimes" w:hAnsi="LinTimes" w:eastAsia="仿宋_GB2312" w:cs="LinTimes"/>
          <w:b/>
          <w:bCs/>
          <w:sz w:val="24"/>
          <w:szCs w:val="24"/>
        </w:rPr>
        <w:t>数量</w:t>
      </w:r>
      <w:r>
        <w:rPr>
          <w:rFonts w:hint="default" w:ascii="LinTimes" w:hAnsi="LinTimes" w:eastAsia="仿宋_GB2312" w:cs="LinTimes"/>
          <w:b/>
          <w:bCs/>
          <w:sz w:val="24"/>
          <w:szCs w:val="24"/>
          <w:lang w:eastAsia="zh-CN"/>
        </w:rPr>
        <w:t>：</w:t>
      </w:r>
      <w:r>
        <w:rPr>
          <w:rFonts w:hint="default" w:ascii="LinTimes" w:hAnsi="LinTimes" w:eastAsia="仿宋_GB2312" w:cs="LinTimes"/>
          <w:b w:val="0"/>
          <w:bCs w:val="0"/>
          <w:sz w:val="24"/>
          <w:szCs w:val="24"/>
          <w:lang w:val="en-US" w:eastAsia="zh-CN"/>
        </w:rPr>
        <w:t>企业使用的符合国家标准《果蔬类周转箱尺寸系列及技术要求》、平面尺寸600mm×400mm的周转箱（筐）数量。</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LinTimes" w:hAnsi="LinTimes" w:eastAsia="仿宋_GB2312" w:cs="LinTimes"/>
          <w:b/>
          <w:bCs/>
          <w:sz w:val="36"/>
          <w:szCs w:val="36"/>
          <w:lang w:val="en" w:eastAsia="zh-CN"/>
        </w:rPr>
      </w:pPr>
      <w:r>
        <w:rPr>
          <w:rFonts w:hint="default" w:ascii="LinTimes" w:hAnsi="LinTimes" w:eastAsia="仿宋_GB2312" w:cs="LinTimes"/>
          <w:b/>
          <w:bCs/>
          <w:sz w:val="36"/>
          <w:szCs w:val="36"/>
          <w:lang w:val="en" w:eastAsia="zh-CN"/>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附</w:t>
      </w:r>
      <w:r>
        <w:rPr>
          <w:rFonts w:hint="eastAsia" w:ascii="方正黑体_GBK" w:hAnsi="方正黑体_GBK" w:eastAsia="方正黑体_GBK" w:cs="方正黑体_GBK"/>
          <w:b w:val="0"/>
          <w:bCs w:val="0"/>
          <w:sz w:val="32"/>
          <w:szCs w:val="32"/>
          <w:lang w:val="en-US" w:eastAsia="zh-CN"/>
        </w:rPr>
        <w:t>2</w:t>
      </w:r>
    </w:p>
    <w:p>
      <w:pPr>
        <w:jc w:val="both"/>
        <w:rPr>
          <w:rFonts w:hint="default" w:ascii="LinTimes" w:hAnsi="LinTimes" w:eastAsia="仿宋_GB2312" w:cs="LinTimes"/>
          <w:b w:val="0"/>
          <w:bCs w:val="0"/>
          <w:sz w:val="32"/>
          <w:szCs w:val="32"/>
          <w:lang w:val="en-US" w:eastAsia="zh-CN"/>
        </w:rPr>
      </w:pPr>
    </w:p>
    <w:p>
      <w:pPr>
        <w:jc w:val="center"/>
        <w:rPr>
          <w:rFonts w:hint="default" w:ascii="LinTimes" w:hAnsi="LinTimes" w:eastAsia="宋体" w:cs="LinTimes"/>
          <w:b/>
          <w:bCs/>
          <w:sz w:val="36"/>
          <w:szCs w:val="36"/>
          <w:lang w:eastAsia="zh-CN"/>
        </w:rPr>
      </w:pPr>
      <w:r>
        <w:rPr>
          <w:rFonts w:hint="default" w:ascii="LinTimes" w:hAnsi="LinTimes" w:eastAsia="宋体" w:cs="LinTimes"/>
          <w:b/>
          <w:bCs/>
          <w:sz w:val="36"/>
          <w:szCs w:val="36"/>
          <w:lang w:eastAsia="zh-CN"/>
        </w:rPr>
        <w:t>商贸物流重点联系企业物流发展情况报告</w:t>
      </w:r>
    </w:p>
    <w:p>
      <w:pPr>
        <w:jc w:val="center"/>
        <w:rPr>
          <w:rFonts w:hint="default" w:ascii="LinTimes" w:hAnsi="LinTimes" w:eastAsia="仿宋_GB2312" w:cs="LinTimes"/>
          <w:b w:val="0"/>
          <w:bCs w:val="0"/>
          <w:sz w:val="32"/>
          <w:szCs w:val="32"/>
          <w:lang w:eastAsia="zh-CN"/>
        </w:rPr>
      </w:pPr>
      <w:r>
        <w:rPr>
          <w:rFonts w:hint="default" w:ascii="LinTimes" w:hAnsi="LinTimes" w:eastAsia="仿宋_GB2312" w:cs="LinTimes"/>
          <w:b w:val="0"/>
          <w:bCs w:val="0"/>
          <w:sz w:val="32"/>
          <w:szCs w:val="32"/>
          <w:lang w:eastAsia="zh-CN"/>
        </w:rPr>
        <w:t>（提纲模板）</w:t>
      </w:r>
    </w:p>
    <w:p>
      <w:pPr>
        <w:jc w:val="center"/>
        <w:rPr>
          <w:rFonts w:hint="default" w:ascii="LinTimes" w:hAnsi="LinTimes" w:eastAsia="仿宋_GB2312" w:cs="LinTimes"/>
          <w:b w:val="0"/>
          <w:bCs w:val="0"/>
          <w:sz w:val="32"/>
          <w:szCs w:val="32"/>
          <w:lang w:eastAsia="zh-CN"/>
        </w:rPr>
      </w:pPr>
    </w:p>
    <w:p>
      <w:pPr>
        <w:jc w:val="both"/>
        <w:rPr>
          <w:rFonts w:hint="default" w:ascii="LinTimes" w:hAnsi="LinTimes" w:eastAsia="仿宋_GB2312" w:cs="LinTimes"/>
          <w:b w:val="0"/>
          <w:bCs w:val="0"/>
          <w:sz w:val="32"/>
          <w:szCs w:val="32"/>
          <w:lang w:val="en-US" w:eastAsia="zh-CN"/>
        </w:rPr>
      </w:pPr>
      <w:r>
        <w:rPr>
          <w:rFonts w:hint="default" w:ascii="LinTimes" w:hAnsi="LinTimes" w:eastAsia="仿宋_GB2312" w:cs="LinTimes"/>
          <w:b w:val="0"/>
          <w:bCs w:val="0"/>
          <w:sz w:val="32"/>
          <w:szCs w:val="32"/>
          <w:lang w:val="en-US" w:eastAsia="zh-CN"/>
        </w:rPr>
        <w:t xml:space="preserve">    建立商贸物流企业重点联系制度、确定重点联系企业是贯彻实施商贸物流高质量发展专项行动的重要举措。为及时了解行业动态和发展趋势，完善行业政策措施，推</w:t>
      </w:r>
      <w:r>
        <w:rPr>
          <w:rFonts w:hint="default" w:ascii="LinTimes" w:hAnsi="LinTimes" w:eastAsia="仿宋_GB2312" w:cs="LinTimes"/>
          <w:b w:val="0"/>
          <w:bCs w:val="0"/>
          <w:sz w:val="32"/>
          <w:szCs w:val="32"/>
          <w:lang w:val="en" w:eastAsia="zh-CN"/>
        </w:rPr>
        <w:t>动商贸</w:t>
      </w:r>
      <w:r>
        <w:rPr>
          <w:rFonts w:hint="default" w:ascii="LinTimes" w:hAnsi="LinTimes" w:eastAsia="仿宋_GB2312" w:cs="LinTimes"/>
          <w:b w:val="0"/>
          <w:bCs w:val="0"/>
          <w:sz w:val="32"/>
          <w:szCs w:val="32"/>
          <w:lang w:val="en-US" w:eastAsia="zh-CN"/>
        </w:rPr>
        <w:t>物流提质降本增效，请有关企业向注册地省级商务主管部门书面报告半年和全年物流发展情况，建议提纲模板如下：</w:t>
      </w:r>
    </w:p>
    <w:p>
      <w:pPr>
        <w:numPr>
          <w:ilvl w:val="0"/>
          <w:numId w:val="1"/>
        </w:numPr>
        <w:ind w:left="640" w:leftChars="0" w:firstLine="0" w:firstLineChars="0"/>
        <w:jc w:val="both"/>
        <w:rPr>
          <w:rFonts w:hint="default" w:ascii="LinTimes" w:hAnsi="LinTimes" w:eastAsia="黑体" w:cs="LinTimes"/>
          <w:b w:val="0"/>
          <w:bCs w:val="0"/>
          <w:sz w:val="32"/>
          <w:szCs w:val="32"/>
          <w:lang w:val="en-US" w:eastAsia="zh-CN"/>
        </w:rPr>
      </w:pPr>
      <w:r>
        <w:rPr>
          <w:rFonts w:hint="default" w:ascii="LinTimes" w:hAnsi="LinTimes" w:eastAsia="黑体" w:cs="LinTimes"/>
          <w:b w:val="0"/>
          <w:bCs w:val="0"/>
          <w:sz w:val="32"/>
          <w:szCs w:val="32"/>
          <w:lang w:val="en-US" w:eastAsia="zh-CN"/>
        </w:rPr>
        <w:t>总体运营情况</w:t>
      </w:r>
    </w:p>
    <w:p>
      <w:pPr>
        <w:numPr>
          <w:ilvl w:val="0"/>
          <w:numId w:val="0"/>
        </w:numPr>
        <w:ind w:firstLine="640"/>
        <w:jc w:val="both"/>
        <w:rPr>
          <w:rFonts w:hint="default" w:ascii="LinTimes" w:hAnsi="LinTimes" w:eastAsia="仿宋_GB2312" w:cs="LinTimes"/>
          <w:b w:val="0"/>
          <w:bCs w:val="0"/>
          <w:sz w:val="32"/>
          <w:szCs w:val="32"/>
          <w:lang w:val="en-US" w:eastAsia="zh-CN"/>
        </w:rPr>
      </w:pPr>
      <w:r>
        <w:rPr>
          <w:rFonts w:hint="default" w:ascii="LinTimes" w:hAnsi="LinTimes" w:eastAsia="仿宋_GB2312" w:cs="LinTimes"/>
          <w:b w:val="0"/>
          <w:bCs w:val="0"/>
          <w:sz w:val="32"/>
          <w:szCs w:val="32"/>
          <w:lang w:val="en-US" w:eastAsia="zh-CN"/>
        </w:rPr>
        <w:t>包括但不限于主营业务收入、物流费用（成本）、物流费用率(物流费用/主营业务收入）、库存周转、货物吞吐量等变化情况。</w:t>
      </w:r>
    </w:p>
    <w:p>
      <w:pPr>
        <w:numPr>
          <w:ilvl w:val="0"/>
          <w:numId w:val="1"/>
        </w:numPr>
        <w:ind w:left="640" w:leftChars="0" w:firstLine="0" w:firstLineChars="0"/>
        <w:jc w:val="both"/>
        <w:rPr>
          <w:rFonts w:hint="default" w:ascii="LinTimes" w:hAnsi="LinTimes" w:eastAsia="黑体" w:cs="LinTimes"/>
          <w:b w:val="0"/>
          <w:bCs w:val="0"/>
          <w:sz w:val="32"/>
          <w:szCs w:val="32"/>
          <w:lang w:val="en-US" w:eastAsia="zh-CN"/>
        </w:rPr>
      </w:pPr>
      <w:r>
        <w:rPr>
          <w:rFonts w:hint="default" w:ascii="LinTimes" w:hAnsi="LinTimes" w:eastAsia="黑体" w:cs="LinTimes"/>
          <w:b w:val="0"/>
          <w:bCs w:val="0"/>
          <w:sz w:val="32"/>
          <w:szCs w:val="32"/>
          <w:lang w:val="en-US" w:eastAsia="zh-CN"/>
        </w:rPr>
        <w:t>物流网络建设情况</w:t>
      </w:r>
    </w:p>
    <w:p>
      <w:pPr>
        <w:numPr>
          <w:ilvl w:val="0"/>
          <w:numId w:val="0"/>
        </w:numPr>
        <w:ind w:firstLine="640"/>
        <w:jc w:val="both"/>
        <w:rPr>
          <w:rFonts w:hint="default" w:ascii="LinTimes" w:hAnsi="LinTimes" w:eastAsia="仿宋_GB2312" w:cs="LinTimes"/>
          <w:b w:val="0"/>
          <w:bCs w:val="0"/>
          <w:sz w:val="32"/>
          <w:szCs w:val="32"/>
          <w:lang w:val="en-US" w:eastAsia="zh-CN"/>
        </w:rPr>
      </w:pPr>
      <w:r>
        <w:rPr>
          <w:rFonts w:hint="default" w:ascii="LinTimes" w:hAnsi="LinTimes" w:eastAsia="仿宋_GB2312" w:cs="LinTimes"/>
          <w:b w:val="0"/>
          <w:bCs w:val="0"/>
          <w:sz w:val="32"/>
          <w:szCs w:val="32"/>
          <w:lang w:val="en-US" w:eastAsia="zh-CN"/>
        </w:rPr>
        <w:t>包括但不限于建设改造转运分拨中心、仓储配送中心、末端配送（快递）网点、末端零售门店、</w:t>
      </w:r>
      <w:r>
        <w:rPr>
          <w:rFonts w:hint="eastAsia" w:ascii="LinTimes" w:hAnsi="LinTimes" w:eastAsia="仿宋_GB2312" w:cs="LinTimes"/>
          <w:b w:val="0"/>
          <w:bCs w:val="0"/>
          <w:sz w:val="32"/>
          <w:szCs w:val="32"/>
          <w:lang w:val="en-US" w:eastAsia="zh-CN"/>
        </w:rPr>
        <w:t>前置仓、</w:t>
      </w:r>
      <w:r>
        <w:rPr>
          <w:rFonts w:hint="default" w:ascii="LinTimes" w:hAnsi="LinTimes" w:eastAsia="仿宋_GB2312" w:cs="LinTimes"/>
          <w:b w:val="0"/>
          <w:bCs w:val="0"/>
          <w:sz w:val="32"/>
          <w:szCs w:val="32"/>
          <w:lang w:val="en-US" w:eastAsia="zh-CN"/>
        </w:rPr>
        <w:t>海外仓等物流配送设施的数量、面积和资金投入等情况。</w:t>
      </w:r>
    </w:p>
    <w:p>
      <w:pPr>
        <w:numPr>
          <w:ilvl w:val="0"/>
          <w:numId w:val="1"/>
        </w:numPr>
        <w:ind w:left="640" w:leftChars="0" w:firstLine="0" w:firstLineChars="0"/>
        <w:jc w:val="both"/>
        <w:rPr>
          <w:rFonts w:hint="default" w:ascii="LinTimes" w:hAnsi="LinTimes" w:eastAsia="黑体" w:cs="LinTimes"/>
          <w:b w:val="0"/>
          <w:bCs w:val="0"/>
          <w:sz w:val="32"/>
          <w:szCs w:val="32"/>
          <w:lang w:val="en-US" w:eastAsia="zh-CN"/>
        </w:rPr>
      </w:pPr>
      <w:r>
        <w:rPr>
          <w:rFonts w:hint="default" w:ascii="LinTimes" w:hAnsi="LinTimes" w:eastAsia="黑体" w:cs="LinTimes"/>
          <w:b w:val="0"/>
          <w:bCs w:val="0"/>
          <w:sz w:val="32"/>
          <w:szCs w:val="32"/>
          <w:lang w:val="en-US" w:eastAsia="zh-CN"/>
        </w:rPr>
        <w:t>物流标准化建设情况</w:t>
      </w:r>
    </w:p>
    <w:p>
      <w:pPr>
        <w:numPr>
          <w:ilvl w:val="0"/>
          <w:numId w:val="0"/>
        </w:numPr>
        <w:ind w:firstLine="640"/>
        <w:jc w:val="both"/>
        <w:rPr>
          <w:rFonts w:hint="default" w:ascii="LinTimes" w:hAnsi="LinTimes" w:eastAsia="仿宋_GB2312" w:cs="LinTimes"/>
          <w:b w:val="0"/>
          <w:bCs w:val="0"/>
          <w:sz w:val="32"/>
          <w:szCs w:val="32"/>
          <w:lang w:val="en-US" w:eastAsia="zh-CN"/>
        </w:rPr>
      </w:pPr>
      <w:r>
        <w:rPr>
          <w:rFonts w:hint="default" w:ascii="LinTimes" w:hAnsi="LinTimes" w:eastAsia="仿宋_GB2312" w:cs="LinTimes"/>
          <w:b w:val="0"/>
          <w:bCs w:val="0"/>
          <w:sz w:val="32"/>
          <w:szCs w:val="32"/>
          <w:lang w:val="en-US" w:eastAsia="zh-CN"/>
        </w:rPr>
        <w:t>包括但不限于使用国家标准托盘及周转箱（筐）、使用循环共用（租赁）标准托盘及周转箱（筐）、相关物流设施标准化改造、带托运输、与上下游企业标准化衔接等情况。</w:t>
      </w:r>
    </w:p>
    <w:p>
      <w:pPr>
        <w:numPr>
          <w:ilvl w:val="0"/>
          <w:numId w:val="1"/>
        </w:numPr>
        <w:ind w:left="640" w:leftChars="0" w:firstLine="0" w:firstLineChars="0"/>
        <w:jc w:val="both"/>
        <w:rPr>
          <w:rFonts w:hint="default" w:ascii="LinTimes" w:hAnsi="LinTimes" w:eastAsia="黑体" w:cs="LinTimes"/>
          <w:b w:val="0"/>
          <w:bCs w:val="0"/>
          <w:sz w:val="32"/>
          <w:szCs w:val="32"/>
          <w:lang w:val="en-US" w:eastAsia="zh-CN"/>
        </w:rPr>
      </w:pPr>
      <w:r>
        <w:rPr>
          <w:rFonts w:hint="default" w:ascii="LinTimes" w:hAnsi="LinTimes" w:eastAsia="黑体" w:cs="LinTimes"/>
          <w:b w:val="0"/>
          <w:bCs w:val="0"/>
          <w:sz w:val="32"/>
          <w:szCs w:val="32"/>
          <w:lang w:val="en-US" w:eastAsia="zh-CN"/>
        </w:rPr>
        <w:t>智慧物流发展情况</w:t>
      </w:r>
    </w:p>
    <w:p>
      <w:pPr>
        <w:numPr>
          <w:ilvl w:val="0"/>
          <w:numId w:val="0"/>
        </w:numPr>
        <w:ind w:firstLine="640"/>
        <w:jc w:val="both"/>
        <w:rPr>
          <w:rFonts w:hint="default" w:ascii="LinTimes" w:hAnsi="LinTimes" w:eastAsia="仿宋_GB2312" w:cs="LinTimes"/>
          <w:b w:val="0"/>
          <w:bCs w:val="0"/>
          <w:sz w:val="32"/>
          <w:szCs w:val="32"/>
          <w:lang w:val="en-US" w:eastAsia="zh-CN"/>
        </w:rPr>
      </w:pPr>
      <w:r>
        <w:rPr>
          <w:rFonts w:hint="default" w:ascii="LinTimes" w:hAnsi="LinTimes" w:eastAsia="仿宋_GB2312" w:cs="LinTimes"/>
          <w:b w:val="0"/>
          <w:bCs w:val="0"/>
          <w:sz w:val="32"/>
          <w:szCs w:val="32"/>
          <w:lang w:val="en-US" w:eastAsia="zh-CN"/>
        </w:rPr>
        <w:t>包括但不限于应用物联网、5G、大数据、云计算等现代信息技术及先进物流设备，建设升级物流信息系统，建设改造智能高标仓（可参考国家标准GB/T 21072-2021《通用仓库等级》四星和五星标准），与上下游企业信息互联互通，物流全程可视化等情况。</w:t>
      </w:r>
    </w:p>
    <w:p>
      <w:pPr>
        <w:numPr>
          <w:ilvl w:val="0"/>
          <w:numId w:val="1"/>
        </w:numPr>
        <w:ind w:left="640" w:leftChars="0" w:firstLine="0" w:firstLineChars="0"/>
        <w:jc w:val="both"/>
        <w:rPr>
          <w:rFonts w:hint="default" w:ascii="LinTimes" w:hAnsi="LinTimes" w:eastAsia="黑体" w:cs="LinTimes"/>
          <w:b w:val="0"/>
          <w:bCs w:val="0"/>
          <w:sz w:val="32"/>
          <w:szCs w:val="32"/>
          <w:lang w:val="en-US" w:eastAsia="zh-CN"/>
        </w:rPr>
      </w:pPr>
      <w:r>
        <w:rPr>
          <w:rFonts w:hint="default" w:ascii="LinTimes" w:hAnsi="LinTimes" w:eastAsia="黑体" w:cs="LinTimes"/>
          <w:b w:val="0"/>
          <w:bCs w:val="0"/>
          <w:sz w:val="32"/>
          <w:szCs w:val="32"/>
          <w:lang w:val="en-US" w:eastAsia="zh-CN"/>
        </w:rPr>
        <w:t>绿色物流发展情况</w:t>
      </w:r>
    </w:p>
    <w:p>
      <w:pPr>
        <w:numPr>
          <w:ilvl w:val="0"/>
          <w:numId w:val="0"/>
        </w:numPr>
        <w:ind w:firstLine="640"/>
        <w:jc w:val="both"/>
        <w:rPr>
          <w:rFonts w:hint="default" w:ascii="LinTimes" w:hAnsi="LinTimes" w:eastAsia="仿宋_GB2312" w:cs="LinTimes"/>
          <w:b w:val="0"/>
          <w:bCs w:val="0"/>
          <w:sz w:val="32"/>
          <w:szCs w:val="32"/>
          <w:lang w:val="en-US" w:eastAsia="zh-CN"/>
        </w:rPr>
      </w:pPr>
      <w:r>
        <w:rPr>
          <w:rFonts w:hint="default" w:ascii="LinTimes" w:hAnsi="LinTimes" w:eastAsia="仿宋_GB2312" w:cs="LinTimes"/>
          <w:b w:val="0"/>
          <w:bCs w:val="0"/>
          <w:sz w:val="32"/>
          <w:szCs w:val="32"/>
          <w:lang w:val="en-US" w:eastAsia="zh-CN"/>
        </w:rPr>
        <w:t>包括但不限于使用绿色包装（包装减量、可循环包装、可降解包装等）、建设改造绿色仓库（可参考行业标准SB/T 11164-20</w:t>
      </w:r>
      <w:r>
        <w:rPr>
          <w:rFonts w:hint="eastAsia" w:ascii="LinTimes" w:hAnsi="LinTimes" w:eastAsia="仿宋_GB2312" w:cs="LinTimes"/>
          <w:b w:val="0"/>
          <w:bCs w:val="0"/>
          <w:sz w:val="32"/>
          <w:szCs w:val="32"/>
          <w:lang w:val="en-US" w:eastAsia="zh-CN"/>
        </w:rPr>
        <w:t>16</w:t>
      </w:r>
      <w:r>
        <w:rPr>
          <w:rFonts w:hint="default" w:ascii="LinTimes" w:hAnsi="LinTimes" w:eastAsia="仿宋_GB2312" w:cs="LinTimes"/>
          <w:b w:val="0"/>
          <w:bCs w:val="0"/>
          <w:sz w:val="32"/>
          <w:szCs w:val="32"/>
          <w:lang w:val="en-US" w:eastAsia="zh-CN"/>
        </w:rPr>
        <w:t>《绿色仓库要求与评价》）、应用新能源货运配送车辆、发展集约化配送（统一配送、共同配送）等情况。</w:t>
      </w:r>
    </w:p>
    <w:p>
      <w:pPr>
        <w:numPr>
          <w:ilvl w:val="0"/>
          <w:numId w:val="0"/>
        </w:numPr>
        <w:ind w:firstLine="640"/>
        <w:jc w:val="both"/>
        <w:rPr>
          <w:rFonts w:hint="default" w:ascii="LinTimes" w:hAnsi="LinTimes" w:eastAsia="黑体" w:cs="LinTimes"/>
          <w:b w:val="0"/>
          <w:bCs w:val="0"/>
          <w:sz w:val="32"/>
          <w:szCs w:val="32"/>
          <w:lang w:val="en-US" w:eastAsia="zh-CN"/>
        </w:rPr>
      </w:pPr>
      <w:r>
        <w:rPr>
          <w:rFonts w:hint="default" w:ascii="LinTimes" w:hAnsi="LinTimes" w:eastAsia="黑体" w:cs="LinTimes"/>
          <w:b w:val="0"/>
          <w:bCs w:val="0"/>
          <w:sz w:val="32"/>
          <w:szCs w:val="32"/>
          <w:lang w:val="en-US" w:eastAsia="zh-CN"/>
        </w:rPr>
        <w:t>六、物流安全建设情况</w:t>
      </w:r>
    </w:p>
    <w:p>
      <w:pPr>
        <w:numPr>
          <w:ilvl w:val="0"/>
          <w:numId w:val="0"/>
        </w:numPr>
        <w:ind w:firstLine="640"/>
        <w:jc w:val="both"/>
        <w:rPr>
          <w:rFonts w:hint="default" w:ascii="LinTimes" w:hAnsi="LinTimes" w:eastAsia="仿宋_GB2312" w:cs="LinTimes"/>
          <w:b w:val="0"/>
          <w:bCs w:val="0"/>
          <w:sz w:val="32"/>
          <w:szCs w:val="32"/>
          <w:lang w:val="en-US" w:eastAsia="zh-CN"/>
        </w:rPr>
      </w:pPr>
      <w:r>
        <w:rPr>
          <w:rFonts w:hint="default" w:ascii="LinTimes" w:hAnsi="LinTimes" w:eastAsia="仿宋_GB2312" w:cs="LinTimes"/>
          <w:b w:val="0"/>
          <w:bCs w:val="0"/>
          <w:sz w:val="32"/>
          <w:szCs w:val="32"/>
          <w:lang w:val="en-US" w:eastAsia="zh-CN"/>
        </w:rPr>
        <w:t>包括但不限于在提高物流安全性方面开展的制度建设、设施改造、人员培训、应急演练等工作情况。</w:t>
      </w:r>
    </w:p>
    <w:p>
      <w:pPr>
        <w:numPr>
          <w:ilvl w:val="0"/>
          <w:numId w:val="0"/>
        </w:numPr>
        <w:ind w:left="640" w:leftChars="0"/>
        <w:jc w:val="both"/>
        <w:rPr>
          <w:rFonts w:hint="default" w:ascii="LinTimes" w:hAnsi="LinTimes" w:eastAsia="黑体" w:cs="LinTimes"/>
          <w:b w:val="0"/>
          <w:bCs w:val="0"/>
          <w:sz w:val="32"/>
          <w:szCs w:val="32"/>
          <w:lang w:val="en-US" w:eastAsia="zh-CN"/>
        </w:rPr>
      </w:pPr>
      <w:r>
        <w:rPr>
          <w:rFonts w:hint="default" w:ascii="LinTimes" w:hAnsi="LinTimes" w:eastAsia="黑体" w:cs="LinTimes"/>
          <w:b w:val="0"/>
          <w:bCs w:val="0"/>
          <w:sz w:val="32"/>
          <w:szCs w:val="32"/>
          <w:lang w:val="en-US" w:eastAsia="zh-CN"/>
        </w:rPr>
        <w:t>七、物流提质降本增效存在的突出问题和意见建议</w:t>
      </w:r>
    </w:p>
    <w:p>
      <w:pPr>
        <w:numPr>
          <w:ilvl w:val="0"/>
          <w:numId w:val="0"/>
        </w:numPr>
        <w:ind w:firstLine="640"/>
        <w:jc w:val="both"/>
        <w:rPr>
          <w:rFonts w:hint="default" w:ascii="LinTimes" w:hAnsi="LinTimes" w:eastAsia="仿宋_GB2312" w:cs="LinTimes"/>
          <w:b w:val="0"/>
          <w:bCs w:val="0"/>
          <w:sz w:val="32"/>
          <w:szCs w:val="32"/>
          <w:lang w:val="en-US" w:eastAsia="zh-CN"/>
        </w:rPr>
      </w:pPr>
      <w:r>
        <w:rPr>
          <w:rFonts w:hint="default" w:ascii="LinTimes" w:hAnsi="LinTimes" w:eastAsia="仿宋_GB2312" w:cs="LinTimes"/>
          <w:b w:val="0"/>
          <w:bCs w:val="0"/>
          <w:sz w:val="32"/>
          <w:szCs w:val="32"/>
          <w:lang w:val="en-US" w:eastAsia="zh-CN"/>
        </w:rPr>
        <w:t>包括但不限于物流成本、运输效率、仓储周转、末端配送、物流设施设备等方面</w:t>
      </w:r>
      <w:r>
        <w:rPr>
          <w:rFonts w:hint="default" w:ascii="LinTimes" w:hAnsi="LinTimes" w:eastAsia="仿宋_GB2312" w:cs="LinTimes"/>
          <w:b w:val="0"/>
          <w:bCs w:val="0"/>
          <w:sz w:val="32"/>
          <w:szCs w:val="32"/>
          <w:lang w:val="en" w:eastAsia="zh-CN"/>
        </w:rPr>
        <w:t>的</w:t>
      </w:r>
      <w:r>
        <w:rPr>
          <w:rFonts w:hint="default" w:ascii="LinTimes" w:hAnsi="LinTimes" w:eastAsia="仿宋_GB2312" w:cs="LinTimes"/>
          <w:b w:val="0"/>
          <w:bCs w:val="0"/>
          <w:sz w:val="32"/>
          <w:szCs w:val="32"/>
          <w:lang w:val="en-US" w:eastAsia="zh-CN"/>
        </w:rPr>
        <w:t>突出问题和有关意见建议等。</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rPr>
          <w:rFonts w:hint="default" w:ascii="LinTimes" w:hAnsi="LinTimes" w:eastAsia="仿宋_GB2312" w:cs="LinTimes"/>
          <w:sz w:val="32"/>
          <w:szCs w:val="32"/>
        </w:rPr>
      </w:pPr>
    </w:p>
    <w:p>
      <w:pPr>
        <w:jc w:val="center"/>
        <w:rPr>
          <w:rFonts w:hint="default" w:ascii="LinTimes" w:hAnsi="LinTimes" w:eastAsia="仿宋_GB2312" w:cs="LinTimes"/>
          <w:sz w:val="32"/>
          <w:szCs w:val="32"/>
        </w:rPr>
      </w:pPr>
      <w:r>
        <w:rPr>
          <w:rFonts w:hint="default" w:ascii="LinTimes" w:hAnsi="LinTimes" w:eastAsia="宋体" w:cs="LinTimes"/>
          <w:b/>
          <w:bCs/>
          <w:sz w:val="36"/>
          <w:szCs w:val="36"/>
        </w:rPr>
        <w:t>2023年全国商贸物流重点联系企业推荐名单</w:t>
      </w:r>
    </w:p>
    <w:p>
      <w:pPr>
        <w:rPr>
          <w:rFonts w:hint="default" w:ascii="LinTimes" w:hAnsi="LinTimes" w:eastAsia="仿宋_GB2312" w:cs="LinTimes"/>
          <w:sz w:val="24"/>
          <w:szCs w:val="24"/>
        </w:rPr>
      </w:pPr>
    </w:p>
    <w:p>
      <w:pPr>
        <w:rPr>
          <w:rFonts w:hint="default" w:ascii="LinTimes" w:hAnsi="LinTimes" w:eastAsia="仿宋_GB2312" w:cs="LinTimes"/>
          <w:sz w:val="24"/>
          <w:szCs w:val="24"/>
        </w:rPr>
      </w:pPr>
      <w:r>
        <w:rPr>
          <w:rFonts w:hint="default" w:ascii="LinTimes" w:hAnsi="LinTimes" w:eastAsia="仿宋_GB2312" w:cs="LinTimes"/>
          <w:sz w:val="24"/>
          <w:szCs w:val="24"/>
        </w:rPr>
        <w:t>报送单位</w:t>
      </w:r>
      <w:r>
        <w:rPr>
          <w:rFonts w:hint="eastAsia" w:ascii="LinTimes" w:hAnsi="LinTimes" w:eastAsia="仿宋_GB2312" w:cs="LinTimes"/>
          <w:sz w:val="24"/>
          <w:szCs w:val="24"/>
          <w:lang w:eastAsia="zh-CN"/>
        </w:rPr>
        <w:t>：（</w:t>
      </w:r>
      <w:r>
        <w:rPr>
          <w:rFonts w:hint="default" w:ascii="LinTimes" w:hAnsi="LinTimes" w:eastAsia="仿宋_GB2312" w:cs="LinTimes"/>
          <w:sz w:val="24"/>
          <w:szCs w:val="24"/>
        </w:rPr>
        <w:t>加盖公章）</w:t>
      </w:r>
      <w:r>
        <w:rPr>
          <w:rFonts w:hint="eastAsia" w:ascii="LinTimes" w:hAnsi="LinTimes" w:eastAsia="仿宋_GB2312" w:cs="LinTimes"/>
          <w:sz w:val="24"/>
          <w:szCs w:val="24"/>
          <w:lang w:val="en-US" w:eastAsia="zh-CN"/>
        </w:rPr>
        <w:t xml:space="preserve">             </w:t>
      </w:r>
      <w:r>
        <w:rPr>
          <w:rFonts w:hint="default" w:ascii="LinTimes" w:hAnsi="LinTimes" w:eastAsia="仿宋_GB2312" w:cs="LinTimes"/>
          <w:sz w:val="24"/>
          <w:szCs w:val="24"/>
        </w:rPr>
        <w:t xml:space="preserve">联系人：   </w:t>
      </w:r>
      <w:r>
        <w:rPr>
          <w:rFonts w:hint="eastAsia" w:ascii="LinTimes" w:hAnsi="LinTimes" w:eastAsia="仿宋_GB2312" w:cs="LinTimes"/>
          <w:sz w:val="24"/>
          <w:szCs w:val="24"/>
          <w:lang w:val="en-US" w:eastAsia="zh-CN"/>
        </w:rPr>
        <w:t xml:space="preserve"> </w:t>
      </w:r>
      <w:r>
        <w:rPr>
          <w:rFonts w:hint="default" w:ascii="LinTimes" w:hAnsi="LinTimes" w:eastAsia="仿宋_GB2312" w:cs="LinTimes"/>
          <w:sz w:val="24"/>
          <w:szCs w:val="24"/>
        </w:rPr>
        <w:t xml:space="preserve"> </w:t>
      </w:r>
      <w:r>
        <w:rPr>
          <w:rFonts w:hint="eastAsia" w:ascii="LinTimes" w:hAnsi="LinTimes" w:eastAsia="仿宋_GB2312" w:cs="LinTimes"/>
          <w:sz w:val="24"/>
          <w:szCs w:val="24"/>
          <w:lang w:val="en-US" w:eastAsia="zh-CN"/>
        </w:rPr>
        <w:t xml:space="preserve">      </w:t>
      </w:r>
      <w:r>
        <w:rPr>
          <w:rFonts w:hint="default" w:ascii="LinTimes" w:hAnsi="LinTimes" w:eastAsia="仿宋_GB2312" w:cs="LinTimes"/>
          <w:sz w:val="24"/>
          <w:szCs w:val="24"/>
        </w:rPr>
        <w:t>电话：</w:t>
      </w:r>
    </w:p>
    <w:tbl>
      <w:tblPr>
        <w:tblStyle w:val="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69"/>
        <w:gridCol w:w="2255"/>
        <w:gridCol w:w="210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56"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1269"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企业</w:t>
            </w:r>
          </w:p>
          <w:p>
            <w:pPr>
              <w:jc w:val="center"/>
              <w:rPr>
                <w:rFonts w:hint="eastAsia" w:ascii="黑体" w:hAnsi="黑体" w:eastAsia="黑体" w:cs="黑体"/>
                <w:sz w:val="24"/>
                <w:szCs w:val="24"/>
              </w:rPr>
            </w:pPr>
            <w:r>
              <w:rPr>
                <w:rFonts w:hint="eastAsia" w:ascii="黑体" w:hAnsi="黑体" w:eastAsia="黑体" w:cs="黑体"/>
                <w:sz w:val="24"/>
                <w:szCs w:val="24"/>
              </w:rPr>
              <w:t>名称</w:t>
            </w:r>
          </w:p>
        </w:tc>
        <w:tc>
          <w:tcPr>
            <w:tcW w:w="2255"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企业类型（商贸企业、物流企业）</w:t>
            </w:r>
          </w:p>
        </w:tc>
        <w:tc>
          <w:tcPr>
            <w:tcW w:w="2105"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服务网络范围（全国、跨省份、本地）</w:t>
            </w:r>
          </w:p>
        </w:tc>
        <w:tc>
          <w:tcPr>
            <w:tcW w:w="1911"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2022年度</w:t>
            </w:r>
          </w:p>
          <w:p>
            <w:pPr>
              <w:jc w:val="center"/>
              <w:rPr>
                <w:rFonts w:hint="eastAsia" w:ascii="黑体" w:hAnsi="黑体" w:eastAsia="黑体" w:cs="黑体"/>
                <w:sz w:val="24"/>
                <w:szCs w:val="24"/>
              </w:rPr>
            </w:pPr>
            <w:r>
              <w:rPr>
                <w:rFonts w:hint="eastAsia" w:ascii="黑体" w:hAnsi="黑体" w:eastAsia="黑体" w:cs="黑体"/>
                <w:sz w:val="24"/>
                <w:szCs w:val="24"/>
                <w:lang w:eastAsia="zh-CN"/>
              </w:rPr>
              <w:t>主营业务</w:t>
            </w:r>
            <w:r>
              <w:rPr>
                <w:rFonts w:hint="eastAsia" w:ascii="黑体" w:hAnsi="黑体" w:eastAsia="黑体" w:cs="黑体"/>
                <w:sz w:val="24"/>
                <w:szCs w:val="24"/>
              </w:rPr>
              <w:t>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jc w:val="center"/>
              <w:rPr>
                <w:rFonts w:hint="eastAsia" w:ascii="LinTimes" w:hAnsi="LinTimes" w:eastAsia="仿宋_GB2312" w:cs="LinTimes"/>
                <w:sz w:val="24"/>
                <w:szCs w:val="24"/>
                <w:lang w:val="en-US" w:eastAsia="zh-CN"/>
              </w:rPr>
            </w:pPr>
            <w:r>
              <w:rPr>
                <w:rFonts w:hint="eastAsia" w:ascii="LinTimes" w:hAnsi="LinTimes" w:eastAsia="仿宋_GB2312" w:cs="LinTimes"/>
                <w:sz w:val="24"/>
                <w:szCs w:val="24"/>
                <w:lang w:val="en-US" w:eastAsia="zh-CN"/>
              </w:rPr>
              <w:t>1</w:t>
            </w:r>
          </w:p>
        </w:tc>
        <w:tc>
          <w:tcPr>
            <w:tcW w:w="1269" w:type="dxa"/>
            <w:vAlign w:val="top"/>
          </w:tcPr>
          <w:p>
            <w:pPr>
              <w:rPr>
                <w:rFonts w:hint="default" w:ascii="LinTimes" w:hAnsi="LinTimes" w:eastAsia="仿宋_GB2312" w:cs="LinTimes"/>
                <w:sz w:val="32"/>
                <w:szCs w:val="32"/>
              </w:rPr>
            </w:pPr>
          </w:p>
        </w:tc>
        <w:tc>
          <w:tcPr>
            <w:tcW w:w="2255" w:type="dxa"/>
            <w:vAlign w:val="top"/>
          </w:tcPr>
          <w:p>
            <w:pPr>
              <w:rPr>
                <w:rFonts w:hint="default" w:ascii="LinTimes" w:hAnsi="LinTimes" w:eastAsia="仿宋_GB2312" w:cs="LinTimes"/>
                <w:sz w:val="32"/>
                <w:szCs w:val="32"/>
              </w:rPr>
            </w:pPr>
          </w:p>
        </w:tc>
        <w:tc>
          <w:tcPr>
            <w:tcW w:w="2105" w:type="dxa"/>
            <w:vAlign w:val="top"/>
          </w:tcPr>
          <w:p>
            <w:pPr>
              <w:rPr>
                <w:rFonts w:hint="default" w:ascii="LinTimes" w:hAnsi="LinTimes" w:eastAsia="仿宋_GB2312" w:cs="LinTimes"/>
                <w:sz w:val="32"/>
                <w:szCs w:val="32"/>
              </w:rPr>
            </w:pPr>
          </w:p>
        </w:tc>
        <w:tc>
          <w:tcPr>
            <w:tcW w:w="1911" w:type="dxa"/>
            <w:vAlign w:val="top"/>
          </w:tcPr>
          <w:p>
            <w:pPr>
              <w:rPr>
                <w:rFonts w:hint="default" w:ascii="LinTimes" w:hAnsi="LinTimes" w:eastAsia="仿宋_GB2312" w:cs="LinTime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jc w:val="center"/>
              <w:rPr>
                <w:rFonts w:hint="eastAsia" w:ascii="LinTimes" w:hAnsi="LinTimes" w:eastAsia="仿宋_GB2312" w:cs="LinTimes"/>
                <w:sz w:val="24"/>
                <w:szCs w:val="24"/>
                <w:lang w:val="en-US" w:eastAsia="zh-CN"/>
              </w:rPr>
            </w:pPr>
            <w:r>
              <w:rPr>
                <w:rFonts w:hint="eastAsia" w:ascii="LinTimes" w:hAnsi="LinTimes" w:eastAsia="仿宋_GB2312" w:cs="LinTimes"/>
                <w:sz w:val="24"/>
                <w:szCs w:val="24"/>
                <w:lang w:val="en-US" w:eastAsia="zh-CN"/>
              </w:rPr>
              <w:t>2</w:t>
            </w:r>
          </w:p>
        </w:tc>
        <w:tc>
          <w:tcPr>
            <w:tcW w:w="1269" w:type="dxa"/>
            <w:vAlign w:val="top"/>
          </w:tcPr>
          <w:p>
            <w:pPr>
              <w:rPr>
                <w:rFonts w:hint="default" w:ascii="LinTimes" w:hAnsi="LinTimes" w:eastAsia="仿宋_GB2312" w:cs="LinTimes"/>
                <w:sz w:val="32"/>
                <w:szCs w:val="32"/>
              </w:rPr>
            </w:pPr>
          </w:p>
        </w:tc>
        <w:tc>
          <w:tcPr>
            <w:tcW w:w="2255" w:type="dxa"/>
            <w:vAlign w:val="top"/>
          </w:tcPr>
          <w:p>
            <w:pPr>
              <w:rPr>
                <w:rFonts w:hint="default" w:ascii="LinTimes" w:hAnsi="LinTimes" w:eastAsia="仿宋_GB2312" w:cs="LinTimes"/>
                <w:sz w:val="32"/>
                <w:szCs w:val="32"/>
              </w:rPr>
            </w:pPr>
          </w:p>
        </w:tc>
        <w:tc>
          <w:tcPr>
            <w:tcW w:w="2105" w:type="dxa"/>
            <w:vAlign w:val="top"/>
          </w:tcPr>
          <w:p>
            <w:pPr>
              <w:rPr>
                <w:rFonts w:hint="default" w:ascii="LinTimes" w:hAnsi="LinTimes" w:eastAsia="仿宋_GB2312" w:cs="LinTimes"/>
                <w:sz w:val="32"/>
                <w:szCs w:val="32"/>
              </w:rPr>
            </w:pPr>
          </w:p>
        </w:tc>
        <w:tc>
          <w:tcPr>
            <w:tcW w:w="1911" w:type="dxa"/>
            <w:vAlign w:val="top"/>
          </w:tcPr>
          <w:p>
            <w:pPr>
              <w:rPr>
                <w:rFonts w:hint="default" w:ascii="LinTimes" w:hAnsi="LinTimes" w:eastAsia="仿宋_GB2312" w:cs="LinTime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jc w:val="center"/>
              <w:rPr>
                <w:rFonts w:hint="eastAsia" w:ascii="LinTimes" w:hAnsi="LinTimes" w:eastAsia="仿宋_GB2312" w:cs="LinTimes"/>
                <w:sz w:val="24"/>
                <w:szCs w:val="24"/>
                <w:lang w:val="en-US" w:eastAsia="zh-CN"/>
              </w:rPr>
            </w:pPr>
            <w:r>
              <w:rPr>
                <w:rFonts w:hint="eastAsia" w:ascii="LinTimes" w:hAnsi="LinTimes" w:eastAsia="仿宋_GB2312" w:cs="LinTimes"/>
                <w:sz w:val="24"/>
                <w:szCs w:val="24"/>
                <w:lang w:val="en-US" w:eastAsia="zh-CN"/>
              </w:rPr>
              <w:t>3</w:t>
            </w:r>
          </w:p>
        </w:tc>
        <w:tc>
          <w:tcPr>
            <w:tcW w:w="1269" w:type="dxa"/>
            <w:vAlign w:val="top"/>
          </w:tcPr>
          <w:p>
            <w:pPr>
              <w:rPr>
                <w:rFonts w:hint="default" w:ascii="LinTimes" w:hAnsi="LinTimes" w:eastAsia="仿宋_GB2312" w:cs="LinTimes"/>
                <w:sz w:val="32"/>
                <w:szCs w:val="32"/>
              </w:rPr>
            </w:pPr>
          </w:p>
        </w:tc>
        <w:tc>
          <w:tcPr>
            <w:tcW w:w="2255" w:type="dxa"/>
            <w:vAlign w:val="top"/>
          </w:tcPr>
          <w:p>
            <w:pPr>
              <w:rPr>
                <w:rFonts w:hint="default" w:ascii="LinTimes" w:hAnsi="LinTimes" w:eastAsia="仿宋_GB2312" w:cs="LinTimes"/>
                <w:sz w:val="32"/>
                <w:szCs w:val="32"/>
              </w:rPr>
            </w:pPr>
          </w:p>
        </w:tc>
        <w:tc>
          <w:tcPr>
            <w:tcW w:w="2105" w:type="dxa"/>
            <w:vAlign w:val="top"/>
          </w:tcPr>
          <w:p>
            <w:pPr>
              <w:rPr>
                <w:rFonts w:hint="default" w:ascii="LinTimes" w:hAnsi="LinTimes" w:eastAsia="仿宋_GB2312" w:cs="LinTimes"/>
                <w:sz w:val="32"/>
                <w:szCs w:val="32"/>
              </w:rPr>
            </w:pPr>
          </w:p>
        </w:tc>
        <w:tc>
          <w:tcPr>
            <w:tcW w:w="1911" w:type="dxa"/>
            <w:vAlign w:val="top"/>
          </w:tcPr>
          <w:p>
            <w:pPr>
              <w:rPr>
                <w:rFonts w:hint="default" w:ascii="LinTimes" w:hAnsi="LinTimes" w:eastAsia="仿宋_GB2312" w:cs="LinTime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jc w:val="center"/>
              <w:rPr>
                <w:rFonts w:hint="eastAsia" w:ascii="LinTimes" w:hAnsi="LinTimes" w:eastAsia="仿宋_GB2312" w:cs="LinTimes"/>
                <w:sz w:val="24"/>
                <w:szCs w:val="24"/>
                <w:lang w:val="en-US" w:eastAsia="zh-CN"/>
              </w:rPr>
            </w:pPr>
            <w:r>
              <w:rPr>
                <w:rFonts w:hint="eastAsia" w:ascii="LinTimes" w:hAnsi="LinTimes" w:eastAsia="仿宋_GB2312" w:cs="LinTimes"/>
                <w:sz w:val="24"/>
                <w:szCs w:val="24"/>
                <w:lang w:val="en-US" w:eastAsia="zh-CN"/>
              </w:rPr>
              <w:t>4</w:t>
            </w:r>
          </w:p>
        </w:tc>
        <w:tc>
          <w:tcPr>
            <w:tcW w:w="1269" w:type="dxa"/>
            <w:vAlign w:val="top"/>
          </w:tcPr>
          <w:p>
            <w:pPr>
              <w:rPr>
                <w:rFonts w:hint="default" w:ascii="LinTimes" w:hAnsi="LinTimes" w:eastAsia="仿宋_GB2312" w:cs="LinTimes"/>
                <w:sz w:val="32"/>
                <w:szCs w:val="32"/>
              </w:rPr>
            </w:pPr>
          </w:p>
        </w:tc>
        <w:tc>
          <w:tcPr>
            <w:tcW w:w="2255" w:type="dxa"/>
            <w:vAlign w:val="top"/>
          </w:tcPr>
          <w:p>
            <w:pPr>
              <w:rPr>
                <w:rFonts w:hint="default" w:ascii="LinTimes" w:hAnsi="LinTimes" w:eastAsia="仿宋_GB2312" w:cs="LinTimes"/>
                <w:sz w:val="32"/>
                <w:szCs w:val="32"/>
              </w:rPr>
            </w:pPr>
          </w:p>
        </w:tc>
        <w:tc>
          <w:tcPr>
            <w:tcW w:w="2105" w:type="dxa"/>
            <w:vAlign w:val="top"/>
          </w:tcPr>
          <w:p>
            <w:pPr>
              <w:rPr>
                <w:rFonts w:hint="default" w:ascii="LinTimes" w:hAnsi="LinTimes" w:eastAsia="仿宋_GB2312" w:cs="LinTimes"/>
                <w:sz w:val="32"/>
                <w:szCs w:val="32"/>
              </w:rPr>
            </w:pPr>
          </w:p>
        </w:tc>
        <w:tc>
          <w:tcPr>
            <w:tcW w:w="1911" w:type="dxa"/>
            <w:vAlign w:val="top"/>
          </w:tcPr>
          <w:p>
            <w:pPr>
              <w:rPr>
                <w:rFonts w:hint="default" w:ascii="LinTimes" w:hAnsi="LinTimes" w:eastAsia="仿宋_GB2312" w:cs="LinTime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jc w:val="center"/>
              <w:rPr>
                <w:rFonts w:hint="eastAsia" w:ascii="LinTimes" w:hAnsi="LinTimes" w:eastAsia="仿宋_GB2312" w:cs="LinTimes"/>
                <w:sz w:val="24"/>
                <w:szCs w:val="24"/>
                <w:lang w:val="en-US" w:eastAsia="zh-CN"/>
              </w:rPr>
            </w:pPr>
            <w:r>
              <w:rPr>
                <w:rFonts w:hint="eastAsia" w:ascii="LinTimes" w:hAnsi="LinTimes" w:eastAsia="仿宋_GB2312" w:cs="LinTimes"/>
                <w:sz w:val="24"/>
                <w:szCs w:val="24"/>
                <w:lang w:val="en-US" w:eastAsia="zh-CN"/>
              </w:rPr>
              <w:t>5</w:t>
            </w:r>
          </w:p>
        </w:tc>
        <w:tc>
          <w:tcPr>
            <w:tcW w:w="1269" w:type="dxa"/>
            <w:vAlign w:val="top"/>
          </w:tcPr>
          <w:p>
            <w:pPr>
              <w:rPr>
                <w:rFonts w:hint="default" w:ascii="LinTimes" w:hAnsi="LinTimes" w:eastAsia="仿宋_GB2312" w:cs="LinTimes"/>
                <w:sz w:val="32"/>
                <w:szCs w:val="32"/>
              </w:rPr>
            </w:pPr>
          </w:p>
        </w:tc>
        <w:tc>
          <w:tcPr>
            <w:tcW w:w="2255" w:type="dxa"/>
            <w:vAlign w:val="top"/>
          </w:tcPr>
          <w:p>
            <w:pPr>
              <w:rPr>
                <w:rFonts w:hint="default" w:ascii="LinTimes" w:hAnsi="LinTimes" w:eastAsia="仿宋_GB2312" w:cs="LinTimes"/>
                <w:sz w:val="32"/>
                <w:szCs w:val="32"/>
              </w:rPr>
            </w:pPr>
          </w:p>
        </w:tc>
        <w:tc>
          <w:tcPr>
            <w:tcW w:w="2105" w:type="dxa"/>
            <w:vAlign w:val="top"/>
          </w:tcPr>
          <w:p>
            <w:pPr>
              <w:rPr>
                <w:rFonts w:hint="default" w:ascii="LinTimes" w:hAnsi="LinTimes" w:eastAsia="仿宋_GB2312" w:cs="LinTimes"/>
                <w:sz w:val="32"/>
                <w:szCs w:val="32"/>
              </w:rPr>
            </w:pPr>
          </w:p>
        </w:tc>
        <w:tc>
          <w:tcPr>
            <w:tcW w:w="1911" w:type="dxa"/>
            <w:vAlign w:val="top"/>
          </w:tcPr>
          <w:p>
            <w:pPr>
              <w:rPr>
                <w:rFonts w:hint="default" w:ascii="LinTimes" w:hAnsi="LinTimes" w:eastAsia="仿宋_GB2312" w:cs="LinTime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jc w:val="center"/>
              <w:rPr>
                <w:rFonts w:hint="eastAsia" w:ascii="LinTimes" w:hAnsi="LinTimes" w:eastAsia="仿宋_GB2312" w:cs="LinTimes"/>
                <w:sz w:val="24"/>
                <w:szCs w:val="24"/>
                <w:lang w:val="en-US" w:eastAsia="zh-CN"/>
              </w:rPr>
            </w:pPr>
            <w:r>
              <w:rPr>
                <w:rFonts w:hint="eastAsia" w:ascii="LinTimes" w:hAnsi="LinTimes" w:eastAsia="仿宋_GB2312" w:cs="LinTimes"/>
                <w:sz w:val="24"/>
                <w:szCs w:val="24"/>
                <w:lang w:val="en-US" w:eastAsia="zh-CN"/>
              </w:rPr>
              <w:t>6</w:t>
            </w:r>
          </w:p>
        </w:tc>
        <w:tc>
          <w:tcPr>
            <w:tcW w:w="1269" w:type="dxa"/>
            <w:vAlign w:val="top"/>
          </w:tcPr>
          <w:p>
            <w:pPr>
              <w:rPr>
                <w:rFonts w:hint="default" w:ascii="LinTimes" w:hAnsi="LinTimes" w:eastAsia="仿宋_GB2312" w:cs="LinTimes"/>
                <w:sz w:val="32"/>
                <w:szCs w:val="32"/>
              </w:rPr>
            </w:pPr>
          </w:p>
        </w:tc>
        <w:tc>
          <w:tcPr>
            <w:tcW w:w="2255" w:type="dxa"/>
            <w:vAlign w:val="top"/>
          </w:tcPr>
          <w:p>
            <w:pPr>
              <w:rPr>
                <w:rFonts w:hint="default" w:ascii="LinTimes" w:hAnsi="LinTimes" w:eastAsia="仿宋_GB2312" w:cs="LinTimes"/>
                <w:sz w:val="32"/>
                <w:szCs w:val="32"/>
              </w:rPr>
            </w:pPr>
          </w:p>
        </w:tc>
        <w:tc>
          <w:tcPr>
            <w:tcW w:w="2105" w:type="dxa"/>
            <w:vAlign w:val="top"/>
          </w:tcPr>
          <w:p>
            <w:pPr>
              <w:rPr>
                <w:rFonts w:hint="default" w:ascii="LinTimes" w:hAnsi="LinTimes" w:eastAsia="仿宋_GB2312" w:cs="LinTimes"/>
                <w:sz w:val="32"/>
                <w:szCs w:val="32"/>
              </w:rPr>
            </w:pPr>
          </w:p>
        </w:tc>
        <w:tc>
          <w:tcPr>
            <w:tcW w:w="1911" w:type="dxa"/>
            <w:vAlign w:val="top"/>
          </w:tcPr>
          <w:p>
            <w:pPr>
              <w:rPr>
                <w:rFonts w:hint="default" w:ascii="LinTimes" w:hAnsi="LinTimes" w:eastAsia="仿宋_GB2312" w:cs="LinTime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jc w:val="center"/>
              <w:rPr>
                <w:rFonts w:hint="eastAsia" w:ascii="LinTimes" w:hAnsi="LinTimes" w:eastAsia="仿宋_GB2312" w:cs="LinTimes"/>
                <w:sz w:val="24"/>
                <w:szCs w:val="24"/>
                <w:lang w:val="en-US" w:eastAsia="zh-CN"/>
              </w:rPr>
            </w:pPr>
            <w:r>
              <w:rPr>
                <w:rFonts w:hint="eastAsia" w:ascii="LinTimes" w:hAnsi="LinTimes" w:eastAsia="仿宋_GB2312" w:cs="LinTimes"/>
                <w:sz w:val="24"/>
                <w:szCs w:val="24"/>
                <w:lang w:val="en-US" w:eastAsia="zh-CN"/>
              </w:rPr>
              <w:t>7</w:t>
            </w:r>
          </w:p>
        </w:tc>
        <w:tc>
          <w:tcPr>
            <w:tcW w:w="1269" w:type="dxa"/>
            <w:vAlign w:val="top"/>
          </w:tcPr>
          <w:p>
            <w:pPr>
              <w:rPr>
                <w:rFonts w:hint="default" w:ascii="LinTimes" w:hAnsi="LinTimes" w:eastAsia="仿宋_GB2312" w:cs="LinTimes"/>
                <w:sz w:val="32"/>
                <w:szCs w:val="32"/>
              </w:rPr>
            </w:pPr>
          </w:p>
        </w:tc>
        <w:tc>
          <w:tcPr>
            <w:tcW w:w="2255" w:type="dxa"/>
            <w:vAlign w:val="top"/>
          </w:tcPr>
          <w:p>
            <w:pPr>
              <w:rPr>
                <w:rFonts w:hint="default" w:ascii="LinTimes" w:hAnsi="LinTimes" w:eastAsia="仿宋_GB2312" w:cs="LinTimes"/>
                <w:sz w:val="32"/>
                <w:szCs w:val="32"/>
              </w:rPr>
            </w:pPr>
          </w:p>
        </w:tc>
        <w:tc>
          <w:tcPr>
            <w:tcW w:w="2105" w:type="dxa"/>
            <w:vAlign w:val="top"/>
          </w:tcPr>
          <w:p>
            <w:pPr>
              <w:rPr>
                <w:rFonts w:hint="default" w:ascii="LinTimes" w:hAnsi="LinTimes" w:eastAsia="仿宋_GB2312" w:cs="LinTimes"/>
                <w:sz w:val="32"/>
                <w:szCs w:val="32"/>
              </w:rPr>
            </w:pPr>
          </w:p>
        </w:tc>
        <w:tc>
          <w:tcPr>
            <w:tcW w:w="1911" w:type="dxa"/>
            <w:vAlign w:val="top"/>
          </w:tcPr>
          <w:p>
            <w:pPr>
              <w:rPr>
                <w:rFonts w:hint="default" w:ascii="LinTimes" w:hAnsi="LinTimes" w:eastAsia="仿宋_GB2312" w:cs="LinTime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jc w:val="center"/>
              <w:rPr>
                <w:rFonts w:hint="eastAsia" w:ascii="LinTimes" w:hAnsi="LinTimes" w:eastAsia="仿宋_GB2312" w:cs="LinTimes"/>
                <w:sz w:val="24"/>
                <w:szCs w:val="24"/>
                <w:lang w:val="en-US" w:eastAsia="zh-CN"/>
              </w:rPr>
            </w:pPr>
            <w:r>
              <w:rPr>
                <w:rFonts w:hint="eastAsia" w:ascii="LinTimes" w:hAnsi="LinTimes" w:eastAsia="仿宋_GB2312" w:cs="LinTimes"/>
                <w:sz w:val="24"/>
                <w:szCs w:val="24"/>
                <w:lang w:val="en-US" w:eastAsia="zh-CN"/>
              </w:rPr>
              <w:t>8</w:t>
            </w:r>
          </w:p>
        </w:tc>
        <w:tc>
          <w:tcPr>
            <w:tcW w:w="1269" w:type="dxa"/>
            <w:vAlign w:val="top"/>
          </w:tcPr>
          <w:p>
            <w:pPr>
              <w:rPr>
                <w:rFonts w:hint="default" w:ascii="LinTimes" w:hAnsi="LinTimes" w:eastAsia="仿宋_GB2312" w:cs="LinTimes"/>
                <w:sz w:val="32"/>
                <w:szCs w:val="32"/>
              </w:rPr>
            </w:pPr>
          </w:p>
        </w:tc>
        <w:tc>
          <w:tcPr>
            <w:tcW w:w="2255" w:type="dxa"/>
            <w:vAlign w:val="top"/>
          </w:tcPr>
          <w:p>
            <w:pPr>
              <w:rPr>
                <w:rFonts w:hint="default" w:ascii="LinTimes" w:hAnsi="LinTimes" w:eastAsia="仿宋_GB2312" w:cs="LinTimes"/>
                <w:sz w:val="32"/>
                <w:szCs w:val="32"/>
              </w:rPr>
            </w:pPr>
          </w:p>
        </w:tc>
        <w:tc>
          <w:tcPr>
            <w:tcW w:w="2105" w:type="dxa"/>
            <w:vAlign w:val="top"/>
          </w:tcPr>
          <w:p>
            <w:pPr>
              <w:rPr>
                <w:rFonts w:hint="default" w:ascii="LinTimes" w:hAnsi="LinTimes" w:eastAsia="仿宋_GB2312" w:cs="LinTimes"/>
                <w:sz w:val="32"/>
                <w:szCs w:val="32"/>
              </w:rPr>
            </w:pPr>
          </w:p>
        </w:tc>
        <w:tc>
          <w:tcPr>
            <w:tcW w:w="1911" w:type="dxa"/>
            <w:vAlign w:val="top"/>
          </w:tcPr>
          <w:p>
            <w:pPr>
              <w:rPr>
                <w:rFonts w:hint="default" w:ascii="LinTimes" w:hAnsi="LinTimes" w:eastAsia="仿宋_GB2312" w:cs="LinTime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jc w:val="center"/>
              <w:rPr>
                <w:rFonts w:hint="eastAsia" w:ascii="LinTimes" w:hAnsi="LinTimes" w:eastAsia="仿宋_GB2312" w:cs="LinTimes"/>
                <w:sz w:val="24"/>
                <w:szCs w:val="24"/>
                <w:lang w:val="en-US" w:eastAsia="zh-CN"/>
              </w:rPr>
            </w:pPr>
            <w:r>
              <w:rPr>
                <w:rFonts w:hint="eastAsia" w:ascii="LinTimes" w:hAnsi="LinTimes" w:eastAsia="仿宋_GB2312" w:cs="LinTimes"/>
                <w:sz w:val="24"/>
                <w:szCs w:val="24"/>
                <w:lang w:val="en-US" w:eastAsia="zh-CN"/>
              </w:rPr>
              <w:t>9</w:t>
            </w:r>
          </w:p>
        </w:tc>
        <w:tc>
          <w:tcPr>
            <w:tcW w:w="1269" w:type="dxa"/>
            <w:vAlign w:val="top"/>
          </w:tcPr>
          <w:p>
            <w:pPr>
              <w:rPr>
                <w:rFonts w:hint="default" w:ascii="LinTimes" w:hAnsi="LinTimes" w:eastAsia="仿宋_GB2312" w:cs="LinTimes"/>
                <w:sz w:val="32"/>
                <w:szCs w:val="32"/>
              </w:rPr>
            </w:pPr>
          </w:p>
        </w:tc>
        <w:tc>
          <w:tcPr>
            <w:tcW w:w="2255" w:type="dxa"/>
            <w:vAlign w:val="top"/>
          </w:tcPr>
          <w:p>
            <w:pPr>
              <w:rPr>
                <w:rFonts w:hint="default" w:ascii="LinTimes" w:hAnsi="LinTimes" w:eastAsia="仿宋_GB2312" w:cs="LinTimes"/>
                <w:sz w:val="32"/>
                <w:szCs w:val="32"/>
              </w:rPr>
            </w:pPr>
          </w:p>
        </w:tc>
        <w:tc>
          <w:tcPr>
            <w:tcW w:w="2105" w:type="dxa"/>
            <w:vAlign w:val="top"/>
          </w:tcPr>
          <w:p>
            <w:pPr>
              <w:rPr>
                <w:rFonts w:hint="default" w:ascii="LinTimes" w:hAnsi="LinTimes" w:eastAsia="仿宋_GB2312" w:cs="LinTimes"/>
                <w:sz w:val="32"/>
                <w:szCs w:val="32"/>
              </w:rPr>
            </w:pPr>
          </w:p>
        </w:tc>
        <w:tc>
          <w:tcPr>
            <w:tcW w:w="1911" w:type="dxa"/>
            <w:vAlign w:val="top"/>
          </w:tcPr>
          <w:p>
            <w:pPr>
              <w:rPr>
                <w:rFonts w:hint="default" w:ascii="LinTimes" w:hAnsi="LinTimes" w:eastAsia="仿宋_GB2312" w:cs="LinTime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jc w:val="center"/>
              <w:rPr>
                <w:rFonts w:hint="eastAsia" w:ascii="LinTimes" w:hAnsi="LinTimes" w:eastAsia="仿宋_GB2312" w:cs="LinTimes"/>
                <w:sz w:val="24"/>
                <w:szCs w:val="24"/>
                <w:lang w:val="en-US" w:eastAsia="zh-CN"/>
              </w:rPr>
            </w:pPr>
            <w:r>
              <w:rPr>
                <w:rFonts w:hint="eastAsia" w:ascii="LinTimes" w:hAnsi="LinTimes" w:eastAsia="仿宋_GB2312" w:cs="LinTimes"/>
                <w:sz w:val="24"/>
                <w:szCs w:val="24"/>
                <w:lang w:val="en-US" w:eastAsia="zh-CN"/>
              </w:rPr>
              <w:t>...</w:t>
            </w:r>
          </w:p>
        </w:tc>
        <w:tc>
          <w:tcPr>
            <w:tcW w:w="1269" w:type="dxa"/>
            <w:vAlign w:val="top"/>
          </w:tcPr>
          <w:p>
            <w:pPr>
              <w:rPr>
                <w:rFonts w:hint="default" w:ascii="LinTimes" w:hAnsi="LinTimes" w:eastAsia="仿宋_GB2312" w:cs="LinTimes"/>
                <w:sz w:val="32"/>
                <w:szCs w:val="32"/>
              </w:rPr>
            </w:pPr>
          </w:p>
        </w:tc>
        <w:tc>
          <w:tcPr>
            <w:tcW w:w="2255" w:type="dxa"/>
            <w:vAlign w:val="top"/>
          </w:tcPr>
          <w:p>
            <w:pPr>
              <w:rPr>
                <w:rFonts w:hint="default" w:ascii="LinTimes" w:hAnsi="LinTimes" w:eastAsia="仿宋_GB2312" w:cs="LinTimes"/>
                <w:sz w:val="32"/>
                <w:szCs w:val="32"/>
              </w:rPr>
            </w:pPr>
          </w:p>
        </w:tc>
        <w:tc>
          <w:tcPr>
            <w:tcW w:w="2105" w:type="dxa"/>
            <w:vAlign w:val="top"/>
          </w:tcPr>
          <w:p>
            <w:pPr>
              <w:rPr>
                <w:rFonts w:hint="default" w:ascii="LinTimes" w:hAnsi="LinTimes" w:eastAsia="仿宋_GB2312" w:cs="LinTimes"/>
                <w:sz w:val="32"/>
                <w:szCs w:val="32"/>
              </w:rPr>
            </w:pPr>
          </w:p>
        </w:tc>
        <w:tc>
          <w:tcPr>
            <w:tcW w:w="1911" w:type="dxa"/>
            <w:vAlign w:val="top"/>
          </w:tcPr>
          <w:p>
            <w:pPr>
              <w:rPr>
                <w:rFonts w:hint="default" w:ascii="LinTimes" w:hAnsi="LinTimes" w:eastAsia="仿宋_GB2312" w:cs="LinTimes"/>
                <w:sz w:val="32"/>
                <w:szCs w:val="32"/>
              </w:rPr>
            </w:pPr>
          </w:p>
        </w:tc>
      </w:tr>
    </w:tbl>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LinTimes">
    <w:altName w:val="Times New Roman"/>
    <w:panose1 w:val="02020603050405020304"/>
    <w:charset w:val="00"/>
    <w:family w:val="auto"/>
    <w:pitch w:val="default"/>
    <w:sig w:usb0="00000000" w:usb1="0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482C7"/>
    <w:multiLevelType w:val="singleLevel"/>
    <w:tmpl w:val="FAD482C7"/>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2B42EC"/>
    <w:rsid w:val="E2FF3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RENPENG</dc:creator>
  <cp:lastModifiedBy>kylin</cp:lastModifiedBy>
  <dcterms:modified xsi:type="dcterms:W3CDTF">2023-04-19T17:50:33Z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