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8"/>
        <w:shd w:val="clear" w:color="auto" w:fill="FFFFFF"/>
        <w:spacing w:before="0" w:beforeAutospacing="0" w:after="0" w:afterAutospacing="0" w:line="480" w:lineRule="atLeast"/>
        <w:ind w:firstLineChars="0" w:firstLine="0"/>
        <w:jc w:val="both"/>
        <w:rPr>
          <w:rFonts w:ascii="方正黑体_GBK" w:eastAsia="方正黑体_GBK" w:cs="方正黑体_GBK"/>
          <w:color w:val="000000"/>
          <w:sz w:val="32"/>
          <w:szCs w:val="32"/>
        </w:rPr>
      </w:pPr>
      <w:r>
        <w:rPr>
          <w:rFonts w:ascii="方正黑体_GBK" w:eastAsia="方正黑体_GBK" w:cs="方正黑体_GBK" w:hint="eastAsia"/>
          <w:color w:val="000000"/>
          <w:sz w:val="32"/>
          <w:szCs w:val="32"/>
        </w:rPr>
        <w:t>附件：</w:t>
      </w:r>
      <w:bookmarkStart w:id="0" w:name="_GoBack"/>
      <w:bookmarkEnd w:id="0"/>
    </w:p>
    <w:p>
      <w:pPr>
        <w:pStyle w:val="18"/>
        <w:shd w:val="clear" w:color="auto" w:fill="FFFFFF"/>
        <w:spacing w:before="0" w:beforeAutospacing="0" w:after="0" w:afterAutospacing="0" w:line="480" w:lineRule="atLeast"/>
        <w:ind w:firstLineChars="0" w:firstLine="0"/>
        <w:jc w:val="both"/>
        <w:rPr>
          <w:rFonts w:ascii="方正黑体_GBK" w:eastAsia="方正黑体_GBK" w:cs="方正黑体_GBK"/>
          <w:color w:val="000000"/>
          <w:sz w:val="32"/>
          <w:szCs w:val="32"/>
        </w:rPr>
      </w:pPr>
    </w:p>
    <w:p>
      <w:pPr>
        <w:pStyle w:val="18"/>
        <w:shd w:val="clear" w:color="auto" w:fill="FFFFFF"/>
        <w:spacing w:before="0" w:beforeAutospacing="0" w:after="0" w:afterAutospacing="0" w:line="480" w:lineRule="atLeast"/>
        <w:ind w:firstLineChars="0" w:firstLine="0"/>
        <w:jc w:val="center"/>
        <w:rPr>
          <w:rFonts w:ascii="方正小标宋_GBK" w:eastAsia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cs="方正小标宋_GBK" w:hint="eastAsia"/>
          <w:color w:val="000000"/>
          <w:sz w:val="44"/>
          <w:szCs w:val="44"/>
        </w:rPr>
        <w:t>江苏省DCMM贯标实践优秀案例名单</w:t>
      </w:r>
    </w:p>
    <w:p>
      <w:pPr>
        <w:pStyle w:val="18"/>
        <w:shd w:val="clear" w:color="auto" w:fill="FFFFFF"/>
        <w:spacing w:before="0" w:beforeAutospacing="0" w:after="0" w:afterAutospacing="0" w:line="480" w:lineRule="atLeast"/>
        <w:ind w:firstLineChars="0" w:firstLine="0"/>
        <w:jc w:val="center"/>
        <w:rPr>
          <w:rFonts w:ascii="方正小标宋_GBK" w:eastAsia="方正小标宋_GBK" w:cs="方正小标宋_GBK"/>
          <w:color w:val="000000"/>
          <w:sz w:val="44"/>
          <w:szCs w:val="44"/>
        </w:rPr>
      </w:pPr>
    </w:p>
    <w:tbl>
      <w:tblPr>
        <w:jc w:val="left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402"/>
        <w:gridCol w:w="4961"/>
      </w:tblGrid>
      <w:tr>
        <w:trPr>
          <w:trHeight w:val="61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kern w:val="0"/>
                <w:sz w:val="28"/>
                <w:szCs w:val="28"/>
              </w:rPr>
              <w:t>案例名称</w:t>
            </w:r>
          </w:p>
        </w:tc>
      </w:tr>
      <w:tr>
        <w:trPr>
          <w:trHeight w:val="47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Chars="0" w:firstLine="0"/>
              <w:jc w:val="center"/>
              <w:rPr>
                <w:rFonts w:ascii="Times New Roman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Chars="0" w:firstLine="0"/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南京钢铁股份有限公司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Chars="0" w:firstLine="0"/>
              <w:rPr>
                <w:rFonts w:ascii="Times New Roman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kern w:val="0"/>
                <w:sz w:val="24"/>
                <w:szCs w:val="24"/>
              </w:rPr>
              <w:t>全要素全场景全价值链的钢铁数据管理体系构建</w:t>
            </w:r>
          </w:p>
        </w:tc>
      </w:tr>
      <w:tr>
        <w:trPr>
          <w:trHeight w:val="53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Chars="0" w:firstLine="0"/>
              <w:jc w:val="center"/>
              <w:rPr>
                <w:rFonts w:ascii="Times New Roman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Chars="0" w:firstLine="0"/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西交利物浦大学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Chars="0" w:firstLine="0"/>
              <w:rPr>
                <w:rFonts w:ascii="Times New Roman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kern w:val="0"/>
                <w:sz w:val="24"/>
                <w:szCs w:val="24"/>
              </w:rPr>
              <w:t>西交利物浦大学教育数字化探索</w:t>
            </w:r>
          </w:p>
        </w:tc>
      </w:tr>
      <w:tr>
        <w:trPr>
          <w:trHeight w:val="5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Chars="0" w:firstLine="0"/>
              <w:jc w:val="center"/>
              <w:rPr>
                <w:rFonts w:ascii="Times New Roman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Chars="0" w:firstLine="0"/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江苏永钢集团有限公司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Chars="0" w:firstLine="0"/>
              <w:rPr>
                <w:rFonts w:ascii="Times New Roman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kern w:val="0"/>
                <w:sz w:val="24"/>
                <w:szCs w:val="24"/>
              </w:rPr>
              <w:t>DCMM助力永钢数字化转型发展</w:t>
            </w:r>
          </w:p>
        </w:tc>
      </w:tr>
      <w:tr>
        <w:trPr>
          <w:trHeight w:val="56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Chars="0" w:firstLine="0"/>
              <w:jc w:val="center"/>
              <w:rPr>
                <w:rFonts w:ascii="Times New Roman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Chars="0" w:firstLine="0"/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江苏核电有限公司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Chars="0" w:firstLine="0"/>
              <w:rPr>
                <w:rFonts w:ascii="Times New Roman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kern w:val="0"/>
                <w:sz w:val="24"/>
                <w:szCs w:val="24"/>
              </w:rPr>
              <w:t>以提升数据管理成熟度为目标的数据治理实践</w:t>
            </w:r>
          </w:p>
        </w:tc>
      </w:tr>
      <w:tr>
        <w:trPr>
          <w:trHeight w:val="4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Chars="0" w:firstLine="0"/>
              <w:jc w:val="center"/>
              <w:rPr>
                <w:rFonts w:ascii="Times New Roman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Chars="0" w:firstLine="0"/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企查查科技有限公司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Chars="0" w:firstLine="0"/>
              <w:rPr>
                <w:rFonts w:ascii="Times New Roman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kern w:val="0"/>
                <w:sz w:val="24"/>
                <w:szCs w:val="24"/>
              </w:rPr>
              <w:t>企查查一站式大数据治理</w:t>
            </w:r>
          </w:p>
        </w:tc>
      </w:tr>
      <w:tr>
        <w:trPr>
          <w:trHeight w:val="5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Chars="0" w:firstLine="0"/>
              <w:jc w:val="center"/>
              <w:rPr>
                <w:rFonts w:ascii="Times New Roman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Chars="0" w:firstLine="0"/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江苏省联合征信有限公司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Chars="0" w:firstLine="0"/>
              <w:jc w:val="left"/>
              <w:rPr>
                <w:rFonts w:ascii="Times New Roman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kern w:val="0"/>
                <w:sz w:val="24"/>
                <w:szCs w:val="24"/>
              </w:rPr>
              <w:t>数据治理助力全省普惠金融高质量发展</w:t>
            </w:r>
          </w:p>
        </w:tc>
      </w:tr>
      <w:tr>
        <w:trPr>
          <w:trHeight w:val="69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Chars="0" w:firstLine="0"/>
              <w:jc w:val="center"/>
              <w:rPr>
                <w:rFonts w:ascii="Times New Roman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Chars="0" w:firstLine="0"/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江苏省人民医院（南京医科大学第一附属医院）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Chars="0" w:firstLine="0"/>
              <w:jc w:val="left"/>
              <w:rPr>
                <w:rFonts w:ascii="Times New Roman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kern w:val="0"/>
                <w:sz w:val="24"/>
                <w:szCs w:val="24"/>
              </w:rPr>
              <w:t>DCMM助力数字化医院建设</w:t>
            </w:r>
          </w:p>
        </w:tc>
      </w:tr>
      <w:tr>
        <w:trPr>
          <w:trHeight w:val="7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Chars="0" w:firstLine="0"/>
              <w:jc w:val="center"/>
              <w:rPr>
                <w:rFonts w:ascii="Times New Roman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Chars="0" w:firstLine="0"/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南京东华智能转向系统有限公司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Chars="0" w:firstLine="0"/>
              <w:rPr>
                <w:rFonts w:ascii="Times New Roman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kern w:val="0"/>
                <w:sz w:val="24"/>
                <w:szCs w:val="24"/>
              </w:rPr>
              <w:t>工业数据治理助力汽车零部件企业卓越运营</w:t>
            </w:r>
          </w:p>
        </w:tc>
      </w:tr>
      <w:tr>
        <w:trPr>
          <w:trHeight w:val="6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Chars="0" w:firstLine="0"/>
              <w:jc w:val="center"/>
              <w:rPr>
                <w:rFonts w:ascii="Times New Roman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Chars="0" w:firstLine="0"/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金龙联合汽车工业（苏州）有限公司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Chars="0" w:firstLine="0"/>
              <w:jc w:val="left"/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暴风眼数据</w:t>
            </w:r>
            <w:r>
              <w:rPr>
                <w:rFonts w:ascii="Times New Roman" w:cs="Times New Roman" w:hAnsi="Times New Roman" w:hint="eastAsia"/>
                <w:color w:val="000000"/>
                <w:kern w:val="0"/>
                <w:sz w:val="24"/>
                <w:szCs w:val="24"/>
              </w:rPr>
              <w:t>资产</w:t>
            </w: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管理及应用平台</w:t>
            </w:r>
          </w:p>
        </w:tc>
      </w:tr>
      <w:tr>
        <w:trPr>
          <w:trHeight w:val="69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Chars="0" w:firstLine="0"/>
              <w:jc w:val="center"/>
              <w:rPr>
                <w:rFonts w:ascii="Times New Roman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Chars="0" w:firstLine="0"/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朗新科技集团股份有限公司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Chars="0" w:firstLine="0"/>
              <w:rPr>
                <w:rFonts w:ascii="Times New Roman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kern w:val="0"/>
                <w:sz w:val="24"/>
                <w:szCs w:val="24"/>
              </w:rPr>
              <w:t>朗新数据中台产品助力客户数据管理建设及应用能力提升</w:t>
            </w:r>
          </w:p>
        </w:tc>
      </w:tr>
      <w:tr>
        <w:trPr>
          <w:trHeight w:val="8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Chars="0" w:firstLine="0"/>
              <w:jc w:val="center"/>
              <w:rPr>
                <w:rFonts w:ascii="Times New Roman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Chars="0" w:firstLine="0"/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南京华盾电力信息安全测评有限公司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Chars="0" w:firstLine="0"/>
              <w:rPr>
                <w:rFonts w:ascii="Times New Roman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kern w:val="0"/>
                <w:sz w:val="24"/>
                <w:szCs w:val="24"/>
              </w:rPr>
              <w:t>电力数据资产管理规划助力集团企业数字化转型</w:t>
            </w:r>
          </w:p>
        </w:tc>
      </w:tr>
      <w:tr>
        <w:trPr>
          <w:trHeight w:val="56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Chars="0" w:firstLine="0"/>
              <w:jc w:val="center"/>
              <w:rPr>
                <w:rFonts w:ascii="Times New Roman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Chars="0" w:firstLine="0"/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远东控股集团有限公司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Chars="0" w:firstLine="0"/>
              <w:rPr>
                <w:rFonts w:ascii="Times New Roman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kern w:val="0"/>
                <w:sz w:val="24"/>
                <w:szCs w:val="24"/>
              </w:rPr>
              <w:t>远东大数据应用平台实践</w:t>
            </w:r>
          </w:p>
        </w:tc>
      </w:tr>
      <w:tr>
        <w:trPr>
          <w:trHeight w:val="6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Chars="0" w:firstLine="0"/>
              <w:jc w:val="center"/>
              <w:rPr>
                <w:rFonts w:ascii="Times New Roman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Chars="0" w:firstLine="0"/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江苏达科信息科技有限公司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Chars="0" w:firstLine="0"/>
              <w:rPr>
                <w:rFonts w:ascii="Times New Roman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kern w:val="0"/>
                <w:sz w:val="24"/>
                <w:szCs w:val="24"/>
              </w:rPr>
              <w:t>政务大数据一站式管理平台</w:t>
            </w:r>
          </w:p>
        </w:tc>
      </w:tr>
      <w:tr>
        <w:trPr>
          <w:trHeight w:val="8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Chars="0" w:firstLine="0"/>
              <w:jc w:val="center"/>
              <w:rPr>
                <w:rFonts w:ascii="Times New Roman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Chars="0" w:firstLine="0"/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国泰新点软件股份有限公司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Chars="0" w:firstLine="0"/>
              <w:rPr>
                <w:rFonts w:ascii="Times New Roman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kern w:val="0"/>
                <w:sz w:val="24"/>
                <w:szCs w:val="24"/>
              </w:rPr>
              <w:t>政务大数据管理能力建设</w:t>
            </w:r>
          </w:p>
        </w:tc>
      </w:tr>
      <w:tr>
        <w:trPr>
          <w:trHeight w:val="8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Chars="0" w:firstLine="0"/>
              <w:jc w:val="center"/>
              <w:rPr>
                <w:rFonts w:ascii="Times New Roman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Chars="0" w:firstLine="0"/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江苏臻云技术有限公司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Chars="0" w:firstLine="0"/>
              <w:rPr>
                <w:rFonts w:ascii="Times New Roman" w:cs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kern w:val="0"/>
                <w:sz w:val="24"/>
                <w:szCs w:val="24"/>
              </w:rPr>
              <w:t>面向制造业的业财一体化大数据融合应用平台</w:t>
            </w:r>
          </w:p>
        </w:tc>
      </w:tr>
    </w:tbl>
    <w:p>
      <w:pPr>
        <w:ind w:firstLineChars="0" w:firstLine="0"/>
        <w:rPr>
          <w:rFonts w:ascii="Times New Roman" w:cs="Times New Roman" w:hAnsi="Times New Roman" w:hint="eastAsia"/>
        </w:rPr>
      </w:pPr>
    </w:p>
    <w:sectPr>
      <w:headerReference w:type="default" r:id="rId2"/>
      <w:pgSz w:w="11906" w:h="16838"/>
      <w:pgMar w:top="1440" w:right="1588" w:bottom="1440" w:left="1588" w:header="851" w:footer="992" w:gutter="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alibri Light">
    <w:altName w:val="DejaVu San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楷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variable"/>
    <w:sig w:usb0="00000000" w:usb1="00000000" w:usb2="00000000" w:usb3="00000000" w:csb0="00040000" w:csb1="00000000"/>
  </w:font>
</w:fonts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pBdr>
        <w:bottom w:val="dotted" w:sz="4" w:space="1" w:color="FFFFFF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20"/>
  <w:drawingGridHorizontalSpacing w:val="160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w:docVars>
    <w:docVar w:name="commondata" w:val="eyJoZGlkIjoiODIzYjQ0NWI0MmNiMDgyMGFmY2FiMzhmZDFhNzViODQ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spacing w:line="590" w:lineRule="exact"/>
      <w:ind w:firstLineChars="200" w:firstLine="200"/>
      <w:jc w:val="both"/>
    </w:pPr>
    <w:rPr>
      <w:rFonts w:ascii="Calibri" w:eastAsia="方正仿宋_GBK" w:cs="Arial" w:hAnsi="Calibri"/>
      <w:kern w:val="2"/>
      <w:sz w:val="32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ind w:firstLineChars="0" w:firstLine="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outlineLvl w:val="1"/>
    </w:pPr>
    <w:rPr>
      <w:rFonts w:ascii="Calibri Light" w:eastAsia="方正黑体_GBK" w:cs="Times New Roman" w:hAnsi="Calibri Light"/>
      <w:bCs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outlineLvl w:val="2"/>
    </w:pPr>
    <w:rPr>
      <w:rFonts w:eastAsia="方正楷体_GBK"/>
      <w:bCs/>
      <w:szCs w:val="32"/>
    </w:rPr>
  </w:style>
  <w:style w:type="paragraph" w:styleId="4">
    <w:name w:val="heading 4"/>
    <w:basedOn w:val="0"/>
    <w:next w:val="0"/>
    <w:pPr>
      <w:keepNext/>
      <w:keepLines/>
      <w:widowControl w:val="0"/>
      <w:spacing w:before="280" w:after="290" w:line="376" w:lineRule="atLeast"/>
      <w:outlineLvl w:val="3"/>
    </w:pPr>
    <w:rPr>
      <w:rFonts w:ascii="Calibri Light" w:eastAsia="宋体" w:cs="Times New Roman" w:hAnsi="Calibri Light"/>
      <w:b/>
      <w:bCs/>
      <w:sz w:val="28"/>
      <w:szCs w:val="28"/>
    </w:rPr>
  </w:style>
  <w:style w:type="paragraph" w:styleId="5">
    <w:name w:val="heading 5"/>
    <w:basedOn w:val="0"/>
    <w:next w:val="0"/>
    <w:pPr>
      <w:keepNext/>
      <w:keepLines/>
      <w:widowControl w:val="0"/>
      <w:spacing w:line="240" w:lineRule="auto"/>
      <w:ind w:firstLineChars="0" w:firstLine="0"/>
      <w:jc w:val="center"/>
      <w:outlineLvl w:val="4"/>
    </w:pPr>
    <w:rPr>
      <w:sz w:val="28"/>
    </w:rPr>
  </w:style>
  <w:style w:type="character" w:default="1" w:styleId="10">
    <w:name w:val="Default Paragraph Font"/>
  </w:style>
  <w:style w:type="paragraph" w:styleId="15">
    <w:name w:val="Body Text"/>
    <w:basedOn w:val="0"/>
    <w:pPr>
      <w:spacing w:line="240" w:lineRule="auto"/>
      <w:ind w:firstLineChars="0" w:firstLine="0"/>
    </w:pPr>
    <w:rPr>
      <w:sz w:val="24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8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styleId="19">
    <w:name w:val="Title"/>
    <w:basedOn w:val="0"/>
    <w:next w:val="0"/>
    <w:pPr>
      <w:outlineLvl w:val="0"/>
    </w:pPr>
    <w:rPr>
      <w:rFonts w:ascii="Calibri Light" w:eastAsia="方正楷体_GBK" w:cs="Times New Roman" w:hAnsi="Calibri Light"/>
      <w:bCs/>
      <w:szCs w:val="32"/>
    </w:rPr>
  </w:style>
  <w:style w:type="character" w:styleId="20">
    <w:name w:val="Strong"/>
    <w:basedOn w:val="10"/>
    <w:rPr>
      <w:b/>
    </w:rPr>
  </w:style>
  <w:style w:type="paragraph" w:styleId="21">
    <w:name w:val="List Paragraph"/>
    <w:basedOn w:val="0"/>
  </w:style>
  <w:style w:type="character" w:customStyle="1" w:styleId="22">
    <w:name w:val="font51"/>
    <w:basedOn w:val="10"/>
    <w:rPr>
      <w:rFonts w:ascii="黑体" w:eastAsia="黑体" w:cs="黑体"/>
      <w:b/>
      <w:bCs/>
      <w:color w:val="000000"/>
      <w:sz w:val="24"/>
      <w:szCs w:val="24"/>
      <w:u w:val="none"/>
    </w:rPr>
  </w:style>
  <w:style w:type="character" w:customStyle="1" w:styleId="23">
    <w:name w:val="font41"/>
    <w:basedOn w:val="1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4">
    <w:name w:val="font61"/>
    <w:basedOn w:val="1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5">
    <w:name w:val="font01"/>
    <w:basedOn w:val="10"/>
    <w:rPr>
      <w:rFonts w:ascii="Times New Roman" w:cs="Times New Roman" w:hAnsi="Times New Roman"/>
      <w:color w:val="000000"/>
      <w:sz w:val="22"/>
      <w:szCs w:val="22"/>
      <w:u w:val="none"/>
    </w:rPr>
  </w:style>
  <w:style w:type="character" w:customStyle="1" w:styleId="26">
    <w:name w:val="font71"/>
    <w:basedOn w:val="1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27">
    <w:name w:val="font21"/>
    <w:basedOn w:val="1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8">
    <w:name w:val="font11"/>
    <w:basedOn w:val="10"/>
    <w:rPr>
      <w:rFonts w:ascii="Times New Roman" w:cs="Times New Roman" w:hAnsi="Times New Roman"/>
      <w:color w:val="000000"/>
      <w:sz w:val="22"/>
      <w:szCs w:val="22"/>
      <w:u w:val="none"/>
    </w:rPr>
  </w:style>
  <w:style w:type="character" w:customStyle="1" w:styleId="29">
    <w:name w:val="font31"/>
    <w:basedOn w:val="10"/>
    <w:rPr>
      <w:rFonts w:asci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12</TotalTime>
  <Application>Yozo_Office27021597764231179</Application>
  <Pages>1</Pages>
  <Words>456</Words>
  <Characters>471</Characters>
  <Lines>61</Lines>
  <Paragraphs>50</Paragraphs>
  <CharactersWithSpaces>471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PC</dc:creator>
  <cp:lastModifiedBy>uos</cp:lastModifiedBy>
  <cp:revision>22</cp:revision>
  <cp:lastPrinted>2022-01-19T01:50:00Z</cp:lastPrinted>
  <dcterms:created xsi:type="dcterms:W3CDTF">2021-11-17T08:54:00Z</dcterms:created>
  <dcterms:modified xsi:type="dcterms:W3CDTF">2023-04-20T01:12:41Z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SaveFontToCloudKey">
    <vt:lpwstr>399606254_cloud</vt:lpwstr>
  </property>
  <property fmtid="{D5CDD505-2E9C-101B-9397-08002B2CF9AE}" pid="3" name="KSOProductBuildVer">
    <vt:lpwstr>2052-11.1.0.13703</vt:lpwstr>
  </property>
  <property fmtid="{D5CDD505-2E9C-101B-9397-08002B2CF9AE}" pid="4" name="ICV">
    <vt:lpwstr>C0C0B0E5325E47EB9C4F43A67BED78EF</vt:lpwstr>
  </property>
</Properties>
</file>