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outlineLvl w:val="0"/>
        <w:rPr>
          <w:rFonts w:ascii="Times New Roman" w:hAnsi="Times New Roman" w:eastAsia="方正黑体_GBK" w:cs="Times New Roman"/>
          <w:bCs/>
        </w:rPr>
      </w:pPr>
      <w:r>
        <w:rPr>
          <w:rFonts w:ascii="Times New Roman" w:hAnsi="Times New Roman" w:eastAsia="方正黑体_GBK" w:cs="Times New Roman"/>
          <w:bCs/>
        </w:rPr>
        <w:t>附件2</w:t>
      </w:r>
    </w:p>
    <w:p>
      <w:pPr>
        <w:pStyle w:val="6"/>
        <w:outlineLvl w:val="0"/>
        <w:rPr>
          <w:rFonts w:ascii="Times New Roman" w:hAnsi="Times New Roman" w:eastAsia="方正黑体_GBK" w:cs="Times New Roman"/>
          <w:bCs/>
        </w:rPr>
      </w:pPr>
    </w:p>
    <w:p>
      <w:pPr>
        <w:pStyle w:val="3"/>
        <w:adjustRightInd w:val="0"/>
        <w:snapToGrid w:val="0"/>
        <w:spacing w:before="0" w:after="0" w:line="240" w:lineRule="auto"/>
        <w:jc w:val="center"/>
      </w:pPr>
      <w:r>
        <w:rPr>
          <w:rFonts w:hint="eastAsia" w:ascii="Times New Roman" w:hAnsi="Times New Roman" w:cs="Times New Roman"/>
        </w:rPr>
        <w:t>江苏省信创</w:t>
      </w:r>
      <w:r>
        <w:rPr>
          <w:rFonts w:ascii="Times New Roman" w:hAnsi="Times New Roman" w:cs="Times New Roman"/>
        </w:rPr>
        <w:t>标杆工程</w:t>
      </w:r>
      <w:r>
        <w:t>评价标准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5"/>
        <w:gridCol w:w="6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sz w:val="24"/>
                <w:szCs w:val="24"/>
              </w:rPr>
              <w:t>指  标</w:t>
            </w:r>
          </w:p>
        </w:tc>
        <w:tc>
          <w:tcPr>
            <w:tcW w:w="3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sz w:val="24"/>
                <w:szCs w:val="24"/>
              </w:rPr>
              <w:t>评  价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一致性（5分）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（否决项）</w:t>
            </w:r>
          </w:p>
        </w:tc>
        <w:tc>
          <w:tcPr>
            <w:tcW w:w="3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实际现场与入选的优秀解决方案或应用示范案例一致。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信创适配化程度（15分）</w:t>
            </w:r>
          </w:p>
        </w:tc>
        <w:tc>
          <w:tcPr>
            <w:tcW w:w="3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before="24" w:beforeLines="10" w:after="24" w:afterLines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信创渗透性。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从基础硬件（芯片、整机、存储、外设、网络设备）、基础软件（OS、数据库、中间件）等方面评估工程国产化率情况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before="24" w:beforeLines="10" w:after="24" w:afterLines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信创覆盖性。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从实施信创所涉及的用户业务的重要性、应用范围进行评价（如涉及管理系统或业务系统、边缘系统或核心系统、局部系统或全部系统等）。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信创工作成效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（20分）</w:t>
            </w:r>
          </w:p>
        </w:tc>
        <w:tc>
          <w:tcPr>
            <w:tcW w:w="3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numPr>
                <w:ilvl w:val="0"/>
                <w:numId w:val="2"/>
              </w:numPr>
              <w:adjustRightInd w:val="0"/>
              <w:snapToGrid w:val="0"/>
              <w:spacing w:before="24" w:beforeLines="10" w:after="24" w:afterLines="10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信创兼容性。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从兼容各技术路线多样性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方面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进行评价。</w:t>
            </w:r>
          </w:p>
          <w:p>
            <w:pPr>
              <w:pStyle w:val="6"/>
              <w:numPr>
                <w:ilvl w:val="0"/>
                <w:numId w:val="2"/>
              </w:numPr>
              <w:adjustRightInd w:val="0"/>
              <w:snapToGrid w:val="0"/>
              <w:spacing w:before="24" w:beforeLines="10" w:after="24" w:afterLines="10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信创创新性。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从项目功能拓展、性能提升、架构重构、体系化创新、突破行业信创关键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技术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、解决行业信创难点等方面进行评估。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实际应用成效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（30分）</w:t>
            </w:r>
          </w:p>
        </w:tc>
        <w:tc>
          <w:tcPr>
            <w:tcW w:w="3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numPr>
                <w:ilvl w:val="0"/>
                <w:numId w:val="3"/>
              </w:numPr>
              <w:adjustRightInd w:val="0"/>
              <w:snapToGrid w:val="0"/>
              <w:spacing w:before="24" w:beforeLines="10" w:after="24" w:afterLines="10" w:line="28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功能性能需求的满足程度。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从对业务需求的满足程度，以及对业务运行的促进提升情况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方面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进行评价。</w:t>
            </w:r>
          </w:p>
          <w:p>
            <w:pPr>
              <w:pStyle w:val="6"/>
              <w:numPr>
                <w:ilvl w:val="0"/>
                <w:numId w:val="3"/>
              </w:numPr>
              <w:adjustRightInd w:val="0"/>
              <w:snapToGrid w:val="0"/>
              <w:spacing w:before="24" w:beforeLines="10" w:after="24" w:afterLines="10" w:line="28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运行稳定可靠程度。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从项目运行的流畅性、稳定性、可靠性、对业务连续性、稳定性影响等方面进行评价。</w:t>
            </w:r>
          </w:p>
          <w:p>
            <w:pPr>
              <w:pStyle w:val="6"/>
              <w:numPr>
                <w:ilvl w:val="0"/>
                <w:numId w:val="3"/>
              </w:numPr>
              <w:adjustRightInd w:val="0"/>
              <w:snapToGrid w:val="0"/>
              <w:spacing w:before="24" w:beforeLines="10" w:after="24" w:afterLines="10" w:line="28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信创安全性。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从网络安全、数据安全、商用密码安全等技术的规范应用与实施成效方面进行评估。</w:t>
            </w:r>
          </w:p>
          <w:p>
            <w:pPr>
              <w:pStyle w:val="6"/>
              <w:numPr>
                <w:ilvl w:val="0"/>
                <w:numId w:val="3"/>
              </w:numPr>
              <w:adjustRightInd w:val="0"/>
              <w:snapToGrid w:val="0"/>
              <w:spacing w:before="24" w:beforeLines="10" w:after="24" w:afterLines="10" w:line="28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用户使用情况。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从用户数、用户活跃程度等方面进行评估。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应用推广价值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（30分）</w:t>
            </w:r>
          </w:p>
        </w:tc>
        <w:tc>
          <w:tcPr>
            <w:tcW w:w="3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numPr>
                <w:ilvl w:val="0"/>
                <w:numId w:val="4"/>
              </w:numPr>
              <w:adjustRightInd w:val="0"/>
              <w:snapToGrid w:val="0"/>
              <w:spacing w:before="24" w:beforeLines="10" w:after="24" w:afterLines="10" w:line="28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应用场景典型性。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从应用场景、客户画像是否典型具体、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相关行业用户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实际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活跃度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等方面进行评估。</w:t>
            </w:r>
          </w:p>
          <w:p>
            <w:pPr>
              <w:pStyle w:val="6"/>
              <w:numPr>
                <w:ilvl w:val="0"/>
                <w:numId w:val="4"/>
              </w:numPr>
              <w:adjustRightInd w:val="0"/>
              <w:snapToGrid w:val="0"/>
              <w:spacing w:before="24" w:beforeLines="10" w:after="24" w:afterLines="10" w:line="28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项目当前推广应用情况。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从该项目被更多用户使用等情况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方面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进行评估。</w:t>
            </w:r>
          </w:p>
          <w:p>
            <w:pPr>
              <w:pStyle w:val="6"/>
              <w:numPr>
                <w:ilvl w:val="0"/>
                <w:numId w:val="4"/>
              </w:numPr>
              <w:adjustRightInd w:val="0"/>
              <w:snapToGrid w:val="0"/>
              <w:spacing w:before="24" w:beforeLines="10" w:after="24" w:afterLines="10" w:line="28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社会效益。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从符合行业信创相关政策、方向，在关键技术突破、成果转化、标准制定、生态构建等方面的推动作用，对行业信创发展及服务社会的推进作用等方面进行评价。</w:t>
            </w:r>
          </w:p>
          <w:p>
            <w:pPr>
              <w:pStyle w:val="6"/>
              <w:numPr>
                <w:ilvl w:val="0"/>
                <w:numId w:val="4"/>
              </w:numPr>
              <w:adjustRightInd w:val="0"/>
              <w:snapToGrid w:val="0"/>
              <w:spacing w:before="24" w:beforeLines="10" w:after="24" w:afterLines="10" w:line="28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经济效益。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从项目全寿命周期费用，为用户带来的经济效益，以及是否具有可预期、可拓展的市场前景等方面进行评价。</w:t>
            </w:r>
          </w:p>
          <w:p>
            <w:pPr>
              <w:pStyle w:val="6"/>
              <w:numPr>
                <w:ilvl w:val="0"/>
                <w:numId w:val="4"/>
              </w:numPr>
              <w:adjustRightInd w:val="0"/>
              <w:snapToGrid w:val="0"/>
              <w:spacing w:before="24" w:beforeLines="10" w:after="24" w:afterLines="10" w:line="28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系统更新与维护。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从项目是否具有良好的持续迭代升级、改进完善机制等方面进行评价。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163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信创工作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组织管理成效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（附加分，10分）</w:t>
            </w:r>
          </w:p>
        </w:tc>
        <w:tc>
          <w:tcPr>
            <w:tcW w:w="3837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numPr>
                <w:ilvl w:val="0"/>
                <w:numId w:val="5"/>
              </w:numPr>
              <w:adjustRightInd w:val="0"/>
              <w:snapToGrid w:val="0"/>
              <w:spacing w:before="24" w:beforeLines="10" w:after="24" w:afterLines="10" w:line="280" w:lineRule="exact"/>
              <w:ind w:left="360" w:hanging="360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形成信创相关技术标准。</w:t>
            </w:r>
          </w:p>
          <w:p>
            <w:pPr>
              <w:pStyle w:val="6"/>
              <w:numPr>
                <w:ilvl w:val="0"/>
                <w:numId w:val="5"/>
              </w:numPr>
              <w:adjustRightInd w:val="0"/>
              <w:snapToGrid w:val="0"/>
              <w:spacing w:before="24" w:beforeLines="10" w:after="24" w:afterLines="10" w:line="28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形成完善的信创工作流程制度。</w:t>
            </w:r>
          </w:p>
          <w:p>
            <w:pPr>
              <w:pStyle w:val="6"/>
              <w:numPr>
                <w:ilvl w:val="0"/>
                <w:numId w:val="5"/>
              </w:numPr>
              <w:adjustRightInd w:val="0"/>
              <w:snapToGrid w:val="0"/>
              <w:spacing w:before="24" w:beforeLines="10" w:after="24" w:afterLines="10" w:line="28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建立完备的信创专业组织和人才队伍。</w:t>
            </w:r>
          </w:p>
          <w:p>
            <w:pPr>
              <w:pStyle w:val="6"/>
              <w:adjustRightInd w:val="0"/>
              <w:snapToGrid w:val="0"/>
              <w:spacing w:before="24" w:beforeLines="10" w:after="24" w:afterLines="10" w:line="280" w:lineRule="exact"/>
              <w:jc w:val="both"/>
              <w:rPr>
                <w:rFonts w:ascii="方正黑体_GBK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建立完备的信创生态供方制度。</w:t>
            </w:r>
          </w:p>
        </w:tc>
      </w:tr>
    </w:tbl>
    <w:p>
      <w:pPr>
        <w:pStyle w:val="6"/>
        <w:tabs>
          <w:tab w:val="left" w:pos="6771"/>
        </w:tabs>
        <w:spacing w:line="40" w:lineRule="exact"/>
        <w:jc w:val="both"/>
        <w:rPr>
          <w:rFonts w:ascii="Times New Roman" w:hAnsi="Times New Roman" w:cs="Times New Roman"/>
        </w:rPr>
      </w:pPr>
    </w:p>
    <w:p>
      <w:pPr>
        <w:pStyle w:val="6"/>
        <w:tabs>
          <w:tab w:val="left" w:pos="6771"/>
        </w:tabs>
        <w:spacing w:line="40" w:lineRule="exact"/>
        <w:jc w:val="both"/>
        <w:rPr>
          <w:rFonts w:ascii="Times New Roman" w:hAnsi="Times New Roman" w:cs="Times New Roman"/>
        </w:rPr>
      </w:pPr>
    </w:p>
    <w:p>
      <w:pPr>
        <w:pStyle w:val="6"/>
        <w:tabs>
          <w:tab w:val="left" w:pos="6771"/>
        </w:tabs>
        <w:spacing w:line="40" w:lineRule="exac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footerReference r:id="rId4" w:type="even"/>
      <w:pgSz w:w="11910" w:h="16840"/>
      <w:pgMar w:top="1758" w:right="1531" w:bottom="1985" w:left="1531" w:header="0" w:footer="1264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44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9qwsYhwCAAAn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44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44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+2RfsRwCAAAn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44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C9B401"/>
    <w:multiLevelType w:val="singleLevel"/>
    <w:tmpl w:val="17C9B4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7F55E8A"/>
    <w:multiLevelType w:val="singleLevel"/>
    <w:tmpl w:val="37F55E8A"/>
    <w:lvl w:ilvl="0" w:tentative="0">
      <w:start w:val="1"/>
      <w:numFmt w:val="decimal"/>
      <w:suff w:val="nothing"/>
      <w:lvlText w:val="%1、"/>
      <w:lvlJc w:val="left"/>
      <w:rPr>
        <w:rFonts w:hint="default" w:ascii="Times New Roman" w:hAnsi="Times New Roman" w:cs="Times New Roman"/>
      </w:rPr>
    </w:lvl>
  </w:abstractNum>
  <w:abstractNum w:abstractNumId="2">
    <w:nsid w:val="3B916D87"/>
    <w:multiLevelType w:val="singleLevel"/>
    <w:tmpl w:val="3B916D8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7E805E6"/>
    <w:multiLevelType w:val="singleLevel"/>
    <w:tmpl w:val="67E805E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91520B5"/>
    <w:multiLevelType w:val="singleLevel"/>
    <w:tmpl w:val="691520B5"/>
    <w:lvl w:ilvl="0" w:tentative="0">
      <w:start w:val="1"/>
      <w:numFmt w:val="decimal"/>
      <w:suff w:val="nothing"/>
      <w:lvlText w:val="%1、"/>
      <w:lvlJc w:val="left"/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mZkMmI5ZGZjMWRkYzlkNDU1MzMxODEzODI3MGMifQ=="/>
  </w:docVars>
  <w:rsids>
    <w:rsidRoot w:val="007F4B42"/>
    <w:rsid w:val="0000239A"/>
    <w:rsid w:val="00013968"/>
    <w:rsid w:val="00016840"/>
    <w:rsid w:val="0004553D"/>
    <w:rsid w:val="00055D47"/>
    <w:rsid w:val="0007074A"/>
    <w:rsid w:val="00072823"/>
    <w:rsid w:val="00105008"/>
    <w:rsid w:val="001135C1"/>
    <w:rsid w:val="001563C2"/>
    <w:rsid w:val="00157BE4"/>
    <w:rsid w:val="00162EEC"/>
    <w:rsid w:val="00174740"/>
    <w:rsid w:val="00176005"/>
    <w:rsid w:val="00177E64"/>
    <w:rsid w:val="00183AA1"/>
    <w:rsid w:val="00194A8B"/>
    <w:rsid w:val="00197AB8"/>
    <w:rsid w:val="001A555F"/>
    <w:rsid w:val="001B1E10"/>
    <w:rsid w:val="001B54EC"/>
    <w:rsid w:val="001C1A87"/>
    <w:rsid w:val="001E42FC"/>
    <w:rsid w:val="002010D4"/>
    <w:rsid w:val="00226E1E"/>
    <w:rsid w:val="00237344"/>
    <w:rsid w:val="0024566B"/>
    <w:rsid w:val="00253A08"/>
    <w:rsid w:val="002915D1"/>
    <w:rsid w:val="002F40F1"/>
    <w:rsid w:val="00313FC8"/>
    <w:rsid w:val="003646E3"/>
    <w:rsid w:val="003D77E8"/>
    <w:rsid w:val="0044175F"/>
    <w:rsid w:val="00447D4E"/>
    <w:rsid w:val="0045121E"/>
    <w:rsid w:val="0046360C"/>
    <w:rsid w:val="004773B1"/>
    <w:rsid w:val="00486C0F"/>
    <w:rsid w:val="00487A0A"/>
    <w:rsid w:val="004A3E9F"/>
    <w:rsid w:val="004F1FC5"/>
    <w:rsid w:val="005811AF"/>
    <w:rsid w:val="00597927"/>
    <w:rsid w:val="005E1BDA"/>
    <w:rsid w:val="005F0211"/>
    <w:rsid w:val="00616DC3"/>
    <w:rsid w:val="006924B0"/>
    <w:rsid w:val="006A2AC8"/>
    <w:rsid w:val="006D3873"/>
    <w:rsid w:val="006E0A32"/>
    <w:rsid w:val="006E47D0"/>
    <w:rsid w:val="006F4A17"/>
    <w:rsid w:val="0071147A"/>
    <w:rsid w:val="007312A9"/>
    <w:rsid w:val="007327AD"/>
    <w:rsid w:val="00742270"/>
    <w:rsid w:val="00752302"/>
    <w:rsid w:val="00781C61"/>
    <w:rsid w:val="00794E39"/>
    <w:rsid w:val="007C7FD2"/>
    <w:rsid w:val="007D2855"/>
    <w:rsid w:val="007E3AC0"/>
    <w:rsid w:val="007E5044"/>
    <w:rsid w:val="007F4B42"/>
    <w:rsid w:val="007F6603"/>
    <w:rsid w:val="00813C0A"/>
    <w:rsid w:val="00844C5B"/>
    <w:rsid w:val="00847A70"/>
    <w:rsid w:val="008506EE"/>
    <w:rsid w:val="0085194F"/>
    <w:rsid w:val="00880661"/>
    <w:rsid w:val="008925D1"/>
    <w:rsid w:val="008A3FDC"/>
    <w:rsid w:val="009027BC"/>
    <w:rsid w:val="009146E2"/>
    <w:rsid w:val="00916CEC"/>
    <w:rsid w:val="009336C4"/>
    <w:rsid w:val="00956C8F"/>
    <w:rsid w:val="00982EBA"/>
    <w:rsid w:val="0098333C"/>
    <w:rsid w:val="00992EBF"/>
    <w:rsid w:val="009A67D3"/>
    <w:rsid w:val="009C0659"/>
    <w:rsid w:val="009C4E7F"/>
    <w:rsid w:val="009D19C1"/>
    <w:rsid w:val="009F120D"/>
    <w:rsid w:val="009F7799"/>
    <w:rsid w:val="00A07CDA"/>
    <w:rsid w:val="00A43AE1"/>
    <w:rsid w:val="00A56948"/>
    <w:rsid w:val="00A73AE3"/>
    <w:rsid w:val="00A757E5"/>
    <w:rsid w:val="00A9411B"/>
    <w:rsid w:val="00AC097C"/>
    <w:rsid w:val="00AD72CE"/>
    <w:rsid w:val="00AF6A50"/>
    <w:rsid w:val="00B10B0B"/>
    <w:rsid w:val="00B20BCD"/>
    <w:rsid w:val="00B35BDD"/>
    <w:rsid w:val="00B56257"/>
    <w:rsid w:val="00B72501"/>
    <w:rsid w:val="00B73288"/>
    <w:rsid w:val="00B855D4"/>
    <w:rsid w:val="00B92C83"/>
    <w:rsid w:val="00BB3A36"/>
    <w:rsid w:val="00BD5E5C"/>
    <w:rsid w:val="00BD7D31"/>
    <w:rsid w:val="00BF41EE"/>
    <w:rsid w:val="00C60636"/>
    <w:rsid w:val="00C63743"/>
    <w:rsid w:val="00C64A5A"/>
    <w:rsid w:val="00C772D7"/>
    <w:rsid w:val="00C963F6"/>
    <w:rsid w:val="00CB04B6"/>
    <w:rsid w:val="00CE6039"/>
    <w:rsid w:val="00D027FF"/>
    <w:rsid w:val="00D2618F"/>
    <w:rsid w:val="00D32EE6"/>
    <w:rsid w:val="00D35305"/>
    <w:rsid w:val="00D742E2"/>
    <w:rsid w:val="00D845BD"/>
    <w:rsid w:val="00DC19FB"/>
    <w:rsid w:val="00DD30B9"/>
    <w:rsid w:val="00DF7A2E"/>
    <w:rsid w:val="00E01723"/>
    <w:rsid w:val="00E16686"/>
    <w:rsid w:val="00E919DE"/>
    <w:rsid w:val="00EA6609"/>
    <w:rsid w:val="00EA79A7"/>
    <w:rsid w:val="00ED4BEC"/>
    <w:rsid w:val="00ED4C34"/>
    <w:rsid w:val="00EF4519"/>
    <w:rsid w:val="00F04217"/>
    <w:rsid w:val="00F63788"/>
    <w:rsid w:val="00F76FFC"/>
    <w:rsid w:val="00F94889"/>
    <w:rsid w:val="00FA5473"/>
    <w:rsid w:val="00FE411B"/>
    <w:rsid w:val="00FE4E90"/>
    <w:rsid w:val="140C3C70"/>
    <w:rsid w:val="2C34362D"/>
    <w:rsid w:val="317E4207"/>
    <w:rsid w:val="39382859"/>
    <w:rsid w:val="572D1DFF"/>
    <w:rsid w:val="59851D75"/>
    <w:rsid w:val="5DC94E8A"/>
    <w:rsid w:val="659E5DD5"/>
    <w:rsid w:val="69EF44E0"/>
    <w:rsid w:val="77F6EA30"/>
    <w:rsid w:val="7A63535A"/>
    <w:rsid w:val="DEFB043F"/>
    <w:rsid w:val="FF4D8A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eastAsia="方正小标宋_GBK" w:asciiTheme="minorHAnsi" w:hAnsiTheme="minorHAnsi" w:cstheme="minorBidi"/>
      <w:bCs/>
      <w:kern w:val="44"/>
      <w:sz w:val="44"/>
      <w:szCs w:val="44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autoSpaceDE/>
      <w:autoSpaceDN/>
      <w:ind w:firstLine="594" w:firstLineChars="200"/>
      <w:jc w:val="both"/>
      <w:outlineLvl w:val="2"/>
    </w:pPr>
    <w:rPr>
      <w:rFonts w:eastAsia="方正楷体_GBK" w:asciiTheme="minorHAnsi" w:hAnsiTheme="minorHAnsi" w:cstheme="minorBidi"/>
      <w:kern w:val="2"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1"/>
    <w:semiHidden/>
    <w:unhideWhenUsed/>
    <w:qFormat/>
    <w:uiPriority w:val="99"/>
  </w:style>
  <w:style w:type="paragraph" w:styleId="6">
    <w:name w:val="Body Text"/>
    <w:basedOn w:val="1"/>
    <w:qFormat/>
    <w:uiPriority w:val="1"/>
    <w:rPr>
      <w:sz w:val="32"/>
      <w:szCs w:val="32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</w:style>
  <w:style w:type="paragraph" w:customStyle="1" w:styleId="18">
    <w:name w:val="Table Paragraph"/>
    <w:basedOn w:val="1"/>
    <w:qFormat/>
    <w:uiPriority w:val="1"/>
  </w:style>
  <w:style w:type="character" w:customStyle="1" w:styleId="19">
    <w:name w:val="批注框文本 Char"/>
    <w:basedOn w:val="13"/>
    <w:link w:val="7"/>
    <w:semiHidden/>
    <w:qFormat/>
    <w:uiPriority w:val="99"/>
    <w:rPr>
      <w:rFonts w:ascii="方正仿宋_GBK" w:hAnsi="方正仿宋_GBK" w:eastAsia="方正仿宋_GBK" w:cs="方正仿宋_GBK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方正仿宋_GBK" w:hAnsi="方正仿宋_GBK" w:eastAsia="方正仿宋_GBK" w:cs="方正仿宋_GBK"/>
      <w:sz w:val="22"/>
      <w:szCs w:val="22"/>
      <w:lang w:val="en-US" w:eastAsia="zh-CN" w:bidi="ar-SA"/>
    </w:rPr>
  </w:style>
  <w:style w:type="character" w:customStyle="1" w:styleId="21">
    <w:name w:val="批注文字 Char"/>
    <w:basedOn w:val="13"/>
    <w:link w:val="5"/>
    <w:semiHidden/>
    <w:qFormat/>
    <w:uiPriority w:val="99"/>
    <w:rPr>
      <w:rFonts w:ascii="方正仿宋_GBK" w:hAnsi="方正仿宋_GBK" w:eastAsia="方正仿宋_GBK" w:cs="方正仿宋_GBK"/>
      <w:sz w:val="22"/>
      <w:szCs w:val="22"/>
    </w:rPr>
  </w:style>
  <w:style w:type="character" w:customStyle="1" w:styleId="22">
    <w:name w:val="批注主题 Char"/>
    <w:basedOn w:val="21"/>
    <w:link w:val="10"/>
    <w:semiHidden/>
    <w:qFormat/>
    <w:uiPriority w:val="99"/>
    <w:rPr>
      <w:rFonts w:ascii="方正仿宋_GBK" w:hAnsi="方正仿宋_GBK" w:eastAsia="方正仿宋_GBK" w:cs="方正仿宋_GBK"/>
      <w:b/>
      <w:bCs/>
      <w:sz w:val="22"/>
      <w:szCs w:val="22"/>
    </w:rPr>
  </w:style>
  <w:style w:type="character" w:customStyle="1" w:styleId="23">
    <w:name w:val="页眉 Char"/>
    <w:basedOn w:val="13"/>
    <w:link w:val="9"/>
    <w:qFormat/>
    <w:uiPriority w:val="99"/>
    <w:rPr>
      <w:rFonts w:ascii="方正仿宋_GBK" w:hAnsi="方正仿宋_GBK" w:eastAsia="方正仿宋_GBK" w:cs="方正仿宋_GBK"/>
      <w:sz w:val="18"/>
      <w:szCs w:val="18"/>
    </w:rPr>
  </w:style>
  <w:style w:type="character" w:customStyle="1" w:styleId="24">
    <w:name w:val="页脚 Char"/>
    <w:basedOn w:val="13"/>
    <w:link w:val="8"/>
    <w:qFormat/>
    <w:uiPriority w:val="99"/>
    <w:rPr>
      <w:rFonts w:ascii="方正仿宋_GBK" w:hAnsi="方正仿宋_GBK" w:eastAsia="方正仿宋_GBK" w:cs="方正仿宋_GBK"/>
      <w:sz w:val="18"/>
      <w:szCs w:val="18"/>
    </w:rPr>
  </w:style>
  <w:style w:type="character" w:customStyle="1" w:styleId="25">
    <w:name w:val="标题 1 Char"/>
    <w:basedOn w:val="13"/>
    <w:link w:val="3"/>
    <w:qFormat/>
    <w:uiPriority w:val="9"/>
    <w:rPr>
      <w:rFonts w:eastAsia="方正小标宋_GBK"/>
      <w:bCs/>
      <w:kern w:val="44"/>
      <w:sz w:val="44"/>
      <w:szCs w:val="44"/>
    </w:rPr>
  </w:style>
  <w:style w:type="character" w:customStyle="1" w:styleId="26">
    <w:name w:val="标题 3 Char"/>
    <w:basedOn w:val="13"/>
    <w:link w:val="4"/>
    <w:qFormat/>
    <w:uiPriority w:val="9"/>
    <w:rPr>
      <w:rFonts w:eastAsia="方正楷体_GBK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452</Words>
  <Characters>2582</Characters>
  <Lines>21</Lines>
  <Paragraphs>6</Paragraphs>
  <TotalTime>71</TotalTime>
  <ScaleCrop>false</ScaleCrop>
  <LinksUpToDate>false</LinksUpToDate>
  <CharactersWithSpaces>3028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2023-04-17T16:41:00Z</dcterms:created>
  <dc:creator>孙桂林</dc:creator>
  <cp:lastModifiedBy>uos</cp:lastModifiedBy>
  <cp:lastPrinted>2023-04-19T10:31:00Z</cp:lastPrinted>
  <dcterms:modified xsi:type="dcterms:W3CDTF">2023-05-06T10:18:38Z</dcterms:modified>
  <dc:title>苏经信减负〔2017〕883号              签发人：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2022-07-27T00:00:00Z</vt:filetime>
  </property>
  <property fmtid="{D5CDD505-2E9C-101B-9397-08002B2CF9AE}" pid="5" name="KSOProductBuildVer">
    <vt:lpwstr>2052-11.8.2.9958</vt:lpwstr>
  </property>
  <property fmtid="{D5CDD505-2E9C-101B-9397-08002B2CF9AE}" pid="6" name="ICV">
    <vt:lpwstr>5EADC35FC3AC4565AB3EDA7E400E9351_13</vt:lpwstr>
  </property>
</Properties>
</file>