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方正黑体_GBK" w:eastAsia="方正黑体_GBK"/>
          <w:kern w:val="0"/>
          <w:szCs w:val="32"/>
        </w:rPr>
      </w:pPr>
      <w:r>
        <w:rPr>
          <w:rFonts w:hint="eastAsia" w:ascii="方正黑体_GBK" w:eastAsia="方正黑体_GBK"/>
          <w:kern w:val="0"/>
          <w:szCs w:val="32"/>
        </w:rPr>
        <w:t>附件1</w:t>
      </w:r>
    </w:p>
    <w:p>
      <w:pPr>
        <w:widowControl/>
        <w:spacing w:line="700" w:lineRule="exact"/>
        <w:jc w:val="center"/>
        <w:rPr>
          <w:rFonts w:eastAsia="方正黑体_GBK"/>
          <w:kern w:val="0"/>
          <w:szCs w:val="32"/>
        </w:rPr>
      </w:pPr>
    </w:p>
    <w:p>
      <w:pPr>
        <w:widowControl/>
        <w:spacing w:line="7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报送项目分配表</w:t>
      </w:r>
    </w:p>
    <w:tbl>
      <w:tblPr>
        <w:tblStyle w:val="4"/>
        <w:tblW w:w="9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hAnsi="Calibri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黑体_GBK" w:hAnsi="Calibri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color w:val="000000"/>
                <w:sz w:val="28"/>
                <w:szCs w:val="28"/>
              </w:rPr>
              <w:t>报送</w:t>
            </w: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计划（项）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南京（国家体育消费试点城市）</w:t>
            </w:r>
          </w:p>
        </w:tc>
        <w:tc>
          <w:tcPr>
            <w:tcW w:w="471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常州（国家体育消费试点城市）</w:t>
            </w:r>
          </w:p>
        </w:tc>
        <w:tc>
          <w:tcPr>
            <w:tcW w:w="471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苏州（国家体育消费试点城市）</w:t>
            </w:r>
          </w:p>
        </w:tc>
        <w:tc>
          <w:tcPr>
            <w:tcW w:w="471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无锡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镇江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扬州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南通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泰州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徐州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淮安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盐城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连云港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宿迁</w:t>
            </w:r>
          </w:p>
        </w:tc>
        <w:tc>
          <w:tcPr>
            <w:tcW w:w="471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Calibri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248" w:type="dxa"/>
            <w:gridSpan w:val="2"/>
            <w:vAlign w:val="center"/>
          </w:tcPr>
          <w:p>
            <w:pPr>
              <w:spacing w:line="480" w:lineRule="exact"/>
              <w:rPr>
                <w:rFonts w:ascii="方正黑体_GBK" w:hAnsi="Calibri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color w:val="000000"/>
                <w:spacing w:val="-11"/>
                <w:sz w:val="24"/>
                <w:szCs w:val="24"/>
              </w:rPr>
              <w:t>说明：1</w:t>
            </w:r>
            <w:r>
              <w:rPr>
                <w:rFonts w:hint="eastAsia" w:ascii="方正黑体_GBK" w:hAnsi="Calibri" w:eastAsia="方正黑体_GBK"/>
                <w:spacing w:val="-4"/>
                <w:sz w:val="24"/>
                <w:szCs w:val="24"/>
              </w:rPr>
              <w:t>．</w:t>
            </w: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如案例质量较好，可不受此</w:t>
            </w:r>
            <w:r>
              <w:rPr>
                <w:rFonts w:hint="eastAsia" w:ascii="方正黑体_GBK" w:hAnsi="Calibri" w:eastAsia="方正黑体_GBK"/>
                <w:color w:val="000000"/>
                <w:sz w:val="24"/>
                <w:szCs w:val="24"/>
              </w:rPr>
              <w:t>分配</w:t>
            </w: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计划限制</w:t>
            </w:r>
            <w:r>
              <w:rPr>
                <w:rFonts w:hint="eastAsia" w:ascii="方正黑体_GBK" w:hAnsi="Calibri" w:eastAsia="方正黑体_GBK"/>
                <w:color w:val="000000"/>
                <w:sz w:val="24"/>
                <w:szCs w:val="24"/>
              </w:rPr>
              <w:t>；</w:t>
            </w:r>
          </w:p>
          <w:p>
            <w:pPr>
              <w:spacing w:line="480" w:lineRule="exact"/>
              <w:ind w:firstLine="720" w:firstLineChars="300"/>
              <w:rPr>
                <w:rFonts w:ascii="方正黑体_GBK" w:hAnsi="Calibri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方正黑体_GBK" w:hAnsi="Calibri" w:eastAsia="方正黑体_GBK"/>
                <w:spacing w:val="-4"/>
                <w:sz w:val="24"/>
                <w:szCs w:val="24"/>
              </w:rPr>
              <w:t>．</w:t>
            </w:r>
            <w:r>
              <w:rPr>
                <w:rFonts w:hint="eastAsia" w:ascii="方正黑体_GBK" w:hAnsi="Calibri" w:eastAsia="方正黑体_GBK"/>
                <w:color w:val="000000"/>
                <w:sz w:val="24"/>
                <w:szCs w:val="24"/>
              </w:rPr>
              <w:t>江苏</w:t>
            </w: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省级体育消费城市试点单位县（市、区）每家不少于2项。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2023-05-18T02:07:28Z</dcterms:created>
  <dc:creator>Administrator</dc:creator>
  <cp:lastModifiedBy>Administrator</cp:lastModifiedBy>
  <dcterms:modified xsi:type="dcterms:W3CDTF">2023-05-18T02:07:33Z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