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征求意见单位名单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bookmarkStart w:id="0" w:name="_GoBack"/>
      <w:bookmarkEnd w:id="0"/>
      <w:r>
        <w:rPr>
          <w:rFonts w:hint="eastAsia" w:ascii="微软雅黑" w:hAnsi="微软雅黑" w:eastAsia="微软雅黑" w:cs="微软雅黑"/>
          <w:i w:val="0"/>
          <w:iCs w:val="0"/>
          <w:caps w:val="0"/>
          <w:color w:val="000000"/>
          <w:spacing w:val="0"/>
          <w:sz w:val="24"/>
          <w:szCs w:val="24"/>
          <w:bdr w:val="none" w:color="auto" w:sz="0" w:space="0"/>
          <w:shd w:val="clear" w:fill="FFFFFF"/>
        </w:rPr>
        <w:t>　各省、自治区、直辖市生态环境厅（局）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新疆生产建设兵团生态环境局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长江流域生态环境监督管理局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黄河流域生态环境监督管理局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淮河流域生态环境监督管理局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海河流域北海海域生态环境监督管理局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珠江流域南海海域生态环境监督管理局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松辽流域生态环境监督管理局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太湖流域东海海域生态环境监督管理局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长江流域生态环境监督管理局生态环境监测与科学研究中心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黄河流域生态环境监督管理局生态环境监测与科学研究中心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淮河流域生态环境监督管理局生态环境监测与科学研究中心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海河流域北海海域生态环境监督管理局生态环境监测与科学研究中心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珠江流域南海海域生态环境监督管理局生态环境监测与科学研究中心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松辽流域生态环境监督管理局生态环境监测与科学研究中心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太湖流域东海海域生态环境监督管理局生态环境监测与科学研究中心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各省、自治区、直辖市生态环境监测站（中心）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新疆生产建设兵团生态环境第一监测站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各环境保护重点城市生态环境监测站（中心）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中国科学院生态环境研究中心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生态环境部环境应急与事故调查中心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中国环境科学研究院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中国环境监测总站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生态环境部环境发展中心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生态环境部南京环境科学研究所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生态环境部华南环境科学研究所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生态环境部环境工程评估中心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国家应对气候变化战略研究和国际合作中心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国家环境分析测试中心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河北环境工程学院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（部内征求法规司、大气司、气候司、环评司、执法局意见）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MzM5ZWUyMmZhNzA3NmE2M2RiZjJmZTYxOTY4NTUifQ=="/>
  </w:docVars>
  <w:rsids>
    <w:rsidRoot w:val="5AF85A27"/>
    <w:rsid w:val="5AF85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2023-05-29T03:09:00Z</dcterms:created>
  <dc:creator>苏信</dc:creator>
  <cp:lastModifiedBy>苏信</cp:lastModifiedBy>
  <dcterms:modified xsi:type="dcterms:W3CDTF">2023-05-29T03:10:08Z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7804A902402645AC8B90D3F6D773833A_11</vt:lpwstr>
  </property>
</Properties>
</file>