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61" w:rsidRPr="006E6C61" w:rsidRDefault="006E6C61" w:rsidP="006E6C61">
      <w:pPr>
        <w:topLinePunct/>
        <w:spacing w:before="380" w:line="560" w:lineRule="exact"/>
        <w:ind w:right="378"/>
        <w:outlineLvl w:val="0"/>
        <w:rPr>
          <w:rFonts w:ascii="仿宋_GB2312" w:eastAsia="仿宋_GB2312" w:hAnsi="宋体" w:cs="宋体"/>
          <w:spacing w:val="-26"/>
          <w:sz w:val="32"/>
          <w:szCs w:val="32"/>
          <w:lang w:eastAsia="zh-CN"/>
        </w:rPr>
      </w:pPr>
      <w:r w:rsidRPr="006E6C61">
        <w:rPr>
          <w:rFonts w:ascii="仿宋_GB2312" w:eastAsia="仿宋_GB2312" w:hAnsi="宋体" w:cs="宋体" w:hint="eastAsia"/>
          <w:spacing w:val="-26"/>
          <w:sz w:val="32"/>
          <w:szCs w:val="32"/>
          <w:lang w:eastAsia="zh-CN"/>
        </w:rPr>
        <w:t>附件5</w:t>
      </w:r>
    </w:p>
    <w:p w:rsidR="000B4162" w:rsidRPr="000B4162" w:rsidRDefault="00D7563E" w:rsidP="000B4162">
      <w:pPr>
        <w:topLinePunct/>
        <w:spacing w:line="560" w:lineRule="exact"/>
        <w:ind w:right="380"/>
        <w:jc w:val="center"/>
        <w:outlineLvl w:val="0"/>
        <w:rPr>
          <w:rFonts w:asciiTheme="majorEastAsia" w:eastAsiaTheme="majorEastAsia" w:hAnsiTheme="majorEastAsia" w:cs="Times New Roman" w:hint="eastAsia"/>
          <w:b/>
          <w:bCs/>
          <w:snapToGrid/>
          <w:color w:val="auto"/>
          <w:kern w:val="2"/>
          <w:sz w:val="44"/>
          <w:szCs w:val="44"/>
          <w:lang w:eastAsia="zh-CN"/>
        </w:rPr>
      </w:pPr>
      <w:r w:rsidRPr="000B4162">
        <w:rPr>
          <w:rFonts w:asciiTheme="majorEastAsia" w:eastAsiaTheme="majorEastAsia" w:hAnsiTheme="majorEastAsia" w:cs="Times New Roman"/>
          <w:b/>
          <w:bCs/>
          <w:snapToGrid/>
          <w:color w:val="auto"/>
          <w:kern w:val="2"/>
          <w:sz w:val="44"/>
          <w:szCs w:val="44"/>
          <w:lang w:eastAsia="zh-CN"/>
        </w:rPr>
        <w:t>202</w:t>
      </w:r>
      <w:r w:rsidRPr="000B4162">
        <w:rPr>
          <w:rFonts w:asciiTheme="majorEastAsia" w:eastAsiaTheme="majorEastAsia" w:hAnsiTheme="majorEastAsia" w:cs="Times New Roman" w:hint="eastAsia"/>
          <w:b/>
          <w:bCs/>
          <w:snapToGrid/>
          <w:color w:val="auto"/>
          <w:kern w:val="2"/>
          <w:sz w:val="44"/>
          <w:szCs w:val="44"/>
          <w:lang w:eastAsia="zh-CN"/>
        </w:rPr>
        <w:t>3</w:t>
      </w:r>
      <w:r w:rsidRPr="000B4162">
        <w:rPr>
          <w:rFonts w:asciiTheme="majorEastAsia" w:eastAsiaTheme="majorEastAsia" w:hAnsiTheme="majorEastAsia" w:cs="Times New Roman"/>
          <w:b/>
          <w:bCs/>
          <w:snapToGrid/>
          <w:color w:val="auto"/>
          <w:kern w:val="2"/>
          <w:sz w:val="44"/>
          <w:szCs w:val="44"/>
          <w:lang w:eastAsia="zh-CN"/>
        </w:rPr>
        <w:t>年度苏州市知识产权密集型产品培育</w:t>
      </w:r>
    </w:p>
    <w:p w:rsidR="0002573E" w:rsidRPr="000B4162" w:rsidRDefault="00D7563E" w:rsidP="000B4162">
      <w:pPr>
        <w:topLinePunct/>
        <w:spacing w:line="560" w:lineRule="exact"/>
        <w:ind w:right="380"/>
        <w:jc w:val="center"/>
        <w:outlineLvl w:val="0"/>
        <w:rPr>
          <w:rFonts w:asciiTheme="majorEastAsia" w:eastAsiaTheme="majorEastAsia" w:hAnsiTheme="majorEastAsia" w:cs="Times New Roman"/>
          <w:b/>
          <w:bCs/>
          <w:snapToGrid/>
          <w:color w:val="auto"/>
          <w:kern w:val="2"/>
          <w:sz w:val="44"/>
          <w:szCs w:val="44"/>
          <w:lang w:eastAsia="zh-CN"/>
        </w:rPr>
      </w:pPr>
      <w:r w:rsidRPr="000B4162">
        <w:rPr>
          <w:rFonts w:asciiTheme="majorEastAsia" w:eastAsiaTheme="majorEastAsia" w:hAnsiTheme="majorEastAsia" w:cs="Times New Roman"/>
          <w:b/>
          <w:bCs/>
          <w:snapToGrid/>
          <w:color w:val="auto"/>
          <w:kern w:val="2"/>
          <w:sz w:val="44"/>
          <w:szCs w:val="44"/>
          <w:lang w:eastAsia="zh-CN"/>
        </w:rPr>
        <w:t>计划项目申报指南</w:t>
      </w:r>
    </w:p>
    <w:p w:rsidR="0002573E" w:rsidRDefault="00D7563E">
      <w:pPr>
        <w:topLinePunct/>
        <w:snapToGrid/>
        <w:spacing w:line="560" w:lineRule="exact"/>
        <w:ind w:left="634"/>
        <w:rPr>
          <w:rFonts w:ascii="黑体" w:eastAsia="黑体" w:hAnsi="黑体" w:cs="黑体"/>
          <w:sz w:val="31"/>
          <w:szCs w:val="31"/>
          <w:lang w:eastAsia="zh-CN"/>
        </w:rPr>
      </w:pPr>
      <w:r>
        <w:rPr>
          <w:rFonts w:ascii="黑体" w:eastAsia="黑体" w:hAnsi="黑体" w:cs="黑体"/>
          <w:spacing w:val="7"/>
          <w:sz w:val="31"/>
          <w:szCs w:val="31"/>
          <w:lang w:eastAsia="zh-CN"/>
        </w:rPr>
        <w:t>一、支持重点</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聚焦我市数字经济时代电子信息、装备制造、生物医药、先进材料等产业创新集群的核心技术、关键共性技术以及疫情防控技术领域。重点支持知识产权强企培育库中的成长型企业（含以上）、高新技术企业、创新创业人才项目企业、市级及以上专精特新“小巨人”企业、高成长创新型培育企业、瞪羚企业、独角兽企业、疫情防控技术攻关企业等，以及依靠核心技术发明专利获得市场竞争优势的创新型中小型企业。</w:t>
      </w:r>
    </w:p>
    <w:p w:rsidR="0002573E" w:rsidRDefault="00D7563E">
      <w:pPr>
        <w:topLinePunct/>
        <w:snapToGrid/>
        <w:spacing w:line="560" w:lineRule="exact"/>
        <w:ind w:left="634"/>
        <w:rPr>
          <w:rFonts w:ascii="黑体" w:eastAsia="黑体" w:hAnsi="黑体" w:cs="黑体"/>
          <w:sz w:val="31"/>
          <w:szCs w:val="31"/>
          <w:lang w:eastAsia="zh-CN"/>
        </w:rPr>
      </w:pPr>
      <w:r>
        <w:rPr>
          <w:rFonts w:ascii="黑体" w:eastAsia="黑体" w:hAnsi="黑体" w:cs="黑体"/>
          <w:spacing w:val="7"/>
          <w:sz w:val="31"/>
          <w:szCs w:val="31"/>
          <w:lang w:eastAsia="zh-CN"/>
        </w:rPr>
        <w:t>二、申报主体</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苏州市行政区域内注册的具有独立法人资格的企业。</w:t>
      </w:r>
    </w:p>
    <w:p w:rsidR="0002573E" w:rsidRDefault="00D7563E">
      <w:pPr>
        <w:topLinePunct/>
        <w:snapToGrid/>
        <w:spacing w:line="560" w:lineRule="exact"/>
        <w:ind w:left="636"/>
        <w:rPr>
          <w:rFonts w:ascii="黑体" w:eastAsia="黑体" w:hAnsi="黑体" w:cs="黑体"/>
          <w:sz w:val="31"/>
          <w:szCs w:val="31"/>
          <w:lang w:eastAsia="zh-CN"/>
        </w:rPr>
      </w:pPr>
      <w:r>
        <w:rPr>
          <w:rFonts w:ascii="黑体" w:eastAsia="黑体" w:hAnsi="黑体" w:cs="黑体"/>
          <w:spacing w:val="6"/>
          <w:sz w:val="31"/>
          <w:szCs w:val="31"/>
          <w:lang w:eastAsia="zh-CN"/>
        </w:rPr>
        <w:t>三、申报条件</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（一）有专业的研发团队，有稳定的研发经费投入。</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（二）知识产权工作基础较好，有专门的知识产权管理部门及人员，有稳定的知识产权经费投入，拥有有效专利。</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（三）企业重视知识产权工作，将知识产权战略融入企业发展规划，并为项目的实施提供可靠的经费、人员和物质保障。</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（四）具有良好的资信状况，无严重失信行为。</w:t>
      </w:r>
    </w:p>
    <w:p w:rsidR="0002573E" w:rsidRDefault="00D7563E">
      <w:pPr>
        <w:pStyle w:val="a4"/>
        <w:kinsoku/>
        <w:overflowPunct w:val="0"/>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（五）知识产权密集型产品需要具备以下特点：相关产品关联多个专利，相关专利存在内在联系，可以相互关联，从而形</w:t>
      </w:r>
      <w:r>
        <w:rPr>
          <w:rFonts w:ascii="仿宋_GB2312" w:eastAsia="仿宋_GB2312" w:hAnsi="Times New Roman" w:cs="Arial" w:hint="eastAsia"/>
          <w:bCs/>
          <w:sz w:val="32"/>
          <w:szCs w:val="32"/>
          <w:lang w:eastAsia="zh-CN"/>
        </w:rPr>
        <w:lastRenderedPageBreak/>
        <w:t>成一个或多个专利组合。相关组合中的专利可以通过不同角度界定技术问题和提炼解决方案并进行权利要求设计，使得各专利保护范围相互衔接交叠，有利于扩大产品关联技术的专利权主张范围，避免单件专利保护年限的局限性，降低专利文本质量瑕疵和专利被无效宣告的不利影响，从而有效增加竞争对手规避设计的难度，帮助企业实现对其技术创新成果的全面保护，提高企业专利的整体价值和行业地位。</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（六）优先支持如下企业</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1.贯标绩效评价合格（含）以上或通过认证企业。</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2.拥有固定研发中心或产学研合作机构。</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3.主营产品在国家知识产权局知识产权密集型产品备案平台上完成备案。</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4．拥有有效注册商标，并具有一定的品牌知名度。</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5．有国际市场销售经历。</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6．在产品生产和销售等实际运作过程中，将专利组合和商标布局作为一种企业策略行为，有能力通过各种形式的知识产权许可方式获取直接或间接收益。</w:t>
      </w:r>
    </w:p>
    <w:p w:rsidR="0002573E" w:rsidRDefault="00D7563E">
      <w:pPr>
        <w:pStyle w:val="a4"/>
        <w:topLinePunct/>
        <w:snapToGrid/>
        <w:spacing w:line="560" w:lineRule="exact"/>
        <w:ind w:firstLineChars="200" w:firstLine="640"/>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7.主导或参与过国际、国内、行业标准。</w:t>
      </w:r>
    </w:p>
    <w:p w:rsidR="0002573E" w:rsidRDefault="00D7563E">
      <w:pPr>
        <w:topLinePunct/>
        <w:snapToGrid/>
        <w:spacing w:line="560" w:lineRule="exact"/>
        <w:ind w:left="649"/>
        <w:rPr>
          <w:rFonts w:ascii="黑体" w:eastAsia="黑体" w:hAnsi="黑体" w:cs="黑体"/>
          <w:sz w:val="31"/>
          <w:szCs w:val="31"/>
          <w:lang w:eastAsia="zh-CN"/>
        </w:rPr>
      </w:pPr>
      <w:r>
        <w:rPr>
          <w:rFonts w:ascii="黑体" w:eastAsia="黑体" w:hAnsi="黑体" w:cs="黑体"/>
          <w:spacing w:val="6"/>
          <w:sz w:val="31"/>
          <w:szCs w:val="31"/>
          <w:lang w:eastAsia="zh-CN"/>
        </w:rPr>
        <w:t>四、项目任务和绩效目标</w:t>
      </w:r>
    </w:p>
    <w:p w:rsidR="0002573E" w:rsidRPr="006E6C61" w:rsidRDefault="00D7563E" w:rsidP="006E6C61">
      <w:pPr>
        <w:pStyle w:val="a4"/>
        <w:topLinePunct/>
        <w:snapToGrid/>
        <w:spacing w:line="560" w:lineRule="exact"/>
        <w:ind w:firstLineChars="200" w:firstLine="628"/>
        <w:rPr>
          <w:rFonts w:ascii="楷体" w:eastAsia="楷体" w:hAnsi="楷体" w:cs="楷体"/>
          <w:spacing w:val="4"/>
          <w:lang w:eastAsia="zh-CN"/>
        </w:rPr>
      </w:pPr>
      <w:r w:rsidRPr="006E6C61">
        <w:rPr>
          <w:rFonts w:ascii="楷体" w:eastAsia="楷体" w:hAnsi="楷体" w:cs="楷体" w:hint="eastAsia"/>
          <w:spacing w:val="4"/>
          <w:lang w:eastAsia="zh-CN"/>
        </w:rPr>
        <w:t>（一）项目任务</w:t>
      </w:r>
    </w:p>
    <w:p w:rsidR="0002573E" w:rsidRDefault="00D7563E">
      <w:pPr>
        <w:pStyle w:val="a4"/>
        <w:kinsoku/>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1．形成重点产品知识产权分析评议报告。对企业的重点产品，尤其是与产品相关的专利、商标等知识产权的竞争态势进</w:t>
      </w:r>
      <w:r>
        <w:rPr>
          <w:rFonts w:ascii="仿宋_GB2312" w:eastAsia="仿宋_GB2312" w:hAnsi="Times New Roman" w:cs="Arial" w:hint="eastAsia"/>
          <w:bCs/>
          <w:sz w:val="32"/>
          <w:szCs w:val="32"/>
          <w:lang w:eastAsia="zh-CN"/>
        </w:rPr>
        <w:lastRenderedPageBreak/>
        <w:t>行综合分析，对技术创新的可行性、产品的知识产权风险、知识产权资产的品牌价值及处置方式的合理性等进行评估、评价、核查与论证，提出政策建议，形成调查报告，为企业经营规划、市场营销、品牌建设等提供有效咨询参考。</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2．建立知识产权信息跟踪监测和研究决策机制。围绕企业重点产品的相关技术、专利、商标等，确定重点产品知识产权信息跟踪方向，建立知识产权信息跟踪监测制度。日常监测信息能够通过企业办公网络系统及时跟企业决策层分享，形成合理化建议，供企业管理层研究决策。</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3．加强专利、商标，技术标准等布局。加强对企业重点产品的专利挖掘、布局和保护，建立专利分级管理体系，及时把专利优势转化为市场竞争优势。不断优化企业商标布局。制定符合企业自身发展特点的商标品牌发展计划，积极开展企业商标品牌的宣传推广，不断提升商标品牌价值和内涵。</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4．建立健全知识产权管理体系。加大知识产权经费保障力度。建立由知识产权管理人员、法务人员、法律顾问、外聘专家等组成的知识产权维权团队。建立健全专利、商标和商业秘密的侵权预警和应急机制。</w:t>
      </w:r>
    </w:p>
    <w:p w:rsidR="0002573E" w:rsidRDefault="00D7563E" w:rsidP="006E6C61">
      <w:pPr>
        <w:pStyle w:val="a4"/>
        <w:kinsoku/>
        <w:snapToGrid/>
        <w:spacing w:line="560" w:lineRule="exact"/>
        <w:ind w:left="17" w:firstLine="618"/>
        <w:jc w:val="both"/>
        <w:rPr>
          <w:rFonts w:ascii="仿宋_GB2312" w:eastAsia="仿宋_GB2312" w:hAnsi="Times New Roman" w:cs="Arial"/>
          <w:bCs/>
          <w:sz w:val="32"/>
          <w:szCs w:val="32"/>
          <w:lang w:eastAsia="zh-CN"/>
        </w:rPr>
      </w:pPr>
      <w:r>
        <w:rPr>
          <w:spacing w:val="11"/>
          <w:lang w:eastAsia="zh-CN"/>
        </w:rPr>
        <w:t>5．</w:t>
      </w:r>
      <w:r>
        <w:rPr>
          <w:rFonts w:ascii="仿宋_GB2312" w:eastAsia="仿宋_GB2312" w:hAnsi="Times New Roman" w:cs="Arial" w:hint="eastAsia"/>
          <w:bCs/>
          <w:sz w:val="32"/>
          <w:szCs w:val="32"/>
          <w:lang w:eastAsia="zh-CN"/>
        </w:rPr>
        <w:t>企业可以利用知识产权的密集型保护对竞品或自身研发资源配置等，进行基于专利信息的有关分析和商标的监测信息，从而为企业相关决策提供参考。</w:t>
      </w:r>
    </w:p>
    <w:p w:rsidR="0002573E" w:rsidRDefault="00D7563E">
      <w:pPr>
        <w:topLinePunct/>
        <w:snapToGrid/>
        <w:spacing w:line="560" w:lineRule="exact"/>
        <w:ind w:left="656"/>
        <w:rPr>
          <w:lang w:eastAsia="zh-CN"/>
        </w:rPr>
      </w:pPr>
      <w:r>
        <w:rPr>
          <w:rFonts w:ascii="楷体" w:eastAsia="楷体" w:hAnsi="楷体" w:cs="楷体"/>
          <w:spacing w:val="4"/>
          <w:sz w:val="31"/>
          <w:szCs w:val="31"/>
          <w:lang w:eastAsia="zh-CN"/>
        </w:rPr>
        <w:t>（二）绩效目标</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lastRenderedPageBreak/>
        <w:t>1. 实施期内，建立一套企业知识产权分析评议机制，形成一份5000字左右的重点产品相关的专利、商标等知识产权分析评议报告，以及相关专利组合的自由实施分析案例。</w:t>
      </w:r>
    </w:p>
    <w:p w:rsidR="0002573E" w:rsidRDefault="00D7563E">
      <w:pPr>
        <w:pStyle w:val="a4"/>
        <w:kinsoku/>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2. 围绕企业重点产品产出一批高质量专利（申请），企业明专利申请或PCT专利申请增幅不低于15%，加强企业商标布局。</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3. 企业重点产品在国内同类产品市场的占有率进一步提升品牌影响力不断扩大。</w:t>
      </w:r>
    </w:p>
    <w:p w:rsidR="0002573E" w:rsidRDefault="00D7563E">
      <w:pPr>
        <w:pStyle w:val="a4"/>
        <w:topLinePunct/>
        <w:snapToGrid/>
        <w:spacing w:line="560" w:lineRule="exact"/>
        <w:ind w:firstLineChars="200" w:firstLine="640"/>
        <w:jc w:val="both"/>
        <w:rPr>
          <w:rFonts w:ascii="仿宋_GB2312" w:eastAsia="仿宋_GB2312" w:hAnsi="Times New Roman" w:cs="Arial"/>
          <w:bCs/>
          <w:sz w:val="32"/>
          <w:szCs w:val="32"/>
          <w:lang w:eastAsia="zh-CN"/>
        </w:rPr>
      </w:pPr>
      <w:r>
        <w:rPr>
          <w:rFonts w:ascii="仿宋_GB2312" w:eastAsia="仿宋_GB2312" w:hAnsi="Times New Roman" w:cs="Arial" w:hint="eastAsia"/>
          <w:bCs/>
          <w:sz w:val="32"/>
          <w:szCs w:val="32"/>
          <w:lang w:eastAsia="zh-CN"/>
        </w:rPr>
        <w:t>4. 形成竞品的基于专利信息的有关分析和商标的监测信息报告。</w:t>
      </w:r>
    </w:p>
    <w:p w:rsidR="009E7A02" w:rsidRPr="005251E2" w:rsidRDefault="009E7A02" w:rsidP="009E7A02">
      <w:pPr>
        <w:spacing w:line="560" w:lineRule="exact"/>
        <w:ind w:firstLineChars="200" w:firstLine="640"/>
        <w:rPr>
          <w:rFonts w:ascii="Times New Roman" w:eastAsia="黑体" w:hAnsi="Times New Roman"/>
          <w:sz w:val="32"/>
          <w:szCs w:val="32"/>
          <w:lang w:eastAsia="zh-CN"/>
        </w:rPr>
      </w:pPr>
      <w:r>
        <w:rPr>
          <w:rFonts w:ascii="Times New Roman" w:eastAsia="黑体" w:hAnsi="Times New Roman"/>
          <w:sz w:val="32"/>
          <w:szCs w:val="32"/>
          <w:lang w:eastAsia="zh-CN"/>
        </w:rPr>
        <w:t>五、组织方式</w:t>
      </w:r>
    </w:p>
    <w:p w:rsidR="009E7A02" w:rsidRPr="009E7A02" w:rsidRDefault="009E7A02" w:rsidP="009E7A02">
      <w:pPr>
        <w:spacing w:line="560" w:lineRule="exact"/>
        <w:ind w:firstLineChars="200" w:firstLine="640"/>
        <w:rPr>
          <w:rFonts w:ascii="仿宋_GB2312" w:eastAsia="仿宋_GB2312" w:hAnsi="Times New Roman"/>
          <w:bCs/>
          <w:sz w:val="32"/>
          <w:szCs w:val="32"/>
          <w:lang w:eastAsia="zh-CN"/>
        </w:rPr>
      </w:pPr>
      <w:r w:rsidRPr="009E7A02">
        <w:rPr>
          <w:rFonts w:ascii="仿宋_GB2312" w:eastAsia="仿宋_GB2312" w:hAnsi="Times New Roman" w:hint="eastAsia"/>
          <w:bCs/>
          <w:sz w:val="32"/>
          <w:szCs w:val="32"/>
          <w:lang w:eastAsia="zh-CN"/>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rsidR="009E7A02" w:rsidRPr="009E7A02" w:rsidRDefault="009E7A02" w:rsidP="009E7A02">
      <w:pPr>
        <w:spacing w:line="560" w:lineRule="exact"/>
        <w:ind w:firstLineChars="200" w:firstLine="640"/>
        <w:rPr>
          <w:rFonts w:ascii="仿宋_GB2312" w:eastAsia="仿宋_GB2312" w:hAnsi="Times New Roman"/>
          <w:bCs/>
          <w:sz w:val="32"/>
          <w:szCs w:val="32"/>
          <w:lang w:eastAsia="zh-CN"/>
        </w:rPr>
      </w:pPr>
      <w:r w:rsidRPr="009E7A02">
        <w:rPr>
          <w:rFonts w:ascii="仿宋_GB2312" w:eastAsia="仿宋_GB2312" w:hAnsi="Times New Roman" w:hint="eastAsia"/>
          <w:bCs/>
          <w:sz w:val="32"/>
          <w:szCs w:val="32"/>
          <w:lang w:eastAsia="zh-CN"/>
        </w:rPr>
        <w:t>（二）苏州市市场监管局组织专家评审，研究确定入选项目，会同市财政局下达项目经费。</w:t>
      </w:r>
    </w:p>
    <w:p w:rsidR="009E7A02" w:rsidRPr="009E7A02" w:rsidRDefault="009E7A02" w:rsidP="009E7A02">
      <w:pPr>
        <w:spacing w:line="560" w:lineRule="exact"/>
        <w:ind w:firstLineChars="200" w:firstLine="640"/>
        <w:rPr>
          <w:rFonts w:ascii="仿宋_GB2312" w:eastAsia="仿宋_GB2312" w:hAnsi="Times New Roman"/>
          <w:bCs/>
          <w:sz w:val="32"/>
          <w:szCs w:val="32"/>
          <w:lang w:eastAsia="zh-CN"/>
        </w:rPr>
      </w:pPr>
      <w:r w:rsidRPr="009E7A02">
        <w:rPr>
          <w:rFonts w:ascii="仿宋_GB2312" w:eastAsia="仿宋_GB2312" w:hAnsi="Times New Roman" w:hint="eastAsia"/>
          <w:bCs/>
          <w:sz w:val="32"/>
          <w:szCs w:val="32"/>
          <w:lang w:eastAsia="zh-CN"/>
        </w:rPr>
        <w:t>（三）项目实施期限原则上为2年，苏州市市场监管局组织专家对项目实施情况开展包含结项验收在内的相关检查，未按期完成合同内容的，视情况收回项目资金。</w:t>
      </w:r>
    </w:p>
    <w:p w:rsidR="009E7A02" w:rsidRPr="009E7A02" w:rsidRDefault="009E7A02" w:rsidP="009E7A02">
      <w:pPr>
        <w:spacing w:line="560" w:lineRule="exact"/>
        <w:ind w:firstLineChars="200" w:firstLine="640"/>
        <w:rPr>
          <w:rFonts w:ascii="Times New Roman" w:eastAsia="黑体" w:hAnsi="Times New Roman"/>
          <w:sz w:val="32"/>
          <w:szCs w:val="32"/>
          <w:lang w:eastAsia="zh-CN"/>
        </w:rPr>
      </w:pPr>
      <w:r w:rsidRPr="009E7A02">
        <w:rPr>
          <w:rFonts w:ascii="Times New Roman" w:eastAsia="黑体" w:hAnsi="Times New Roman" w:hint="eastAsia"/>
          <w:sz w:val="32"/>
          <w:szCs w:val="32"/>
          <w:lang w:eastAsia="zh-CN"/>
        </w:rPr>
        <w:t>六、申报要求</w:t>
      </w:r>
    </w:p>
    <w:p w:rsidR="009E7A02" w:rsidRPr="009E7A02" w:rsidRDefault="009E7A02" w:rsidP="009E7A02">
      <w:pPr>
        <w:spacing w:line="560" w:lineRule="exact"/>
        <w:ind w:firstLineChars="200" w:firstLine="640"/>
        <w:rPr>
          <w:rFonts w:ascii="仿宋_GB2312" w:eastAsia="仿宋_GB2312" w:hAnsi="Times New Roman"/>
          <w:bCs/>
          <w:sz w:val="32"/>
          <w:szCs w:val="32"/>
          <w:lang w:eastAsia="zh-CN"/>
        </w:rPr>
      </w:pPr>
      <w:r w:rsidRPr="009E7A02">
        <w:rPr>
          <w:rFonts w:ascii="仿宋_GB2312" w:eastAsia="仿宋_GB2312" w:hAnsi="Times New Roman" w:hint="eastAsia"/>
          <w:bCs/>
          <w:sz w:val="32"/>
          <w:szCs w:val="32"/>
          <w:lang w:eastAsia="zh-CN"/>
        </w:rPr>
        <w:t>申报单位按照项目申报平台要求仔细填写各项申报内容。</w:t>
      </w:r>
    </w:p>
    <w:p w:rsidR="009E7A02" w:rsidRPr="009E7A02" w:rsidRDefault="009E7A02" w:rsidP="009E7A02">
      <w:pPr>
        <w:spacing w:line="560" w:lineRule="exact"/>
        <w:ind w:firstLineChars="200" w:firstLine="640"/>
        <w:rPr>
          <w:rFonts w:ascii="仿宋_GB2312" w:eastAsia="仿宋_GB2312" w:hAnsi="Times New Roman"/>
          <w:bCs/>
          <w:sz w:val="32"/>
          <w:szCs w:val="32"/>
          <w:lang w:eastAsia="zh-CN"/>
        </w:rPr>
      </w:pPr>
      <w:r w:rsidRPr="009E7A02">
        <w:rPr>
          <w:rFonts w:ascii="仿宋_GB2312" w:eastAsia="仿宋_GB2312" w:hAnsi="Times New Roman" w:hint="eastAsia"/>
          <w:bCs/>
          <w:sz w:val="32"/>
          <w:szCs w:val="32"/>
          <w:lang w:eastAsia="zh-CN"/>
        </w:rPr>
        <w:lastRenderedPageBreak/>
        <w:t>（一）</w:t>
      </w:r>
      <w:r>
        <w:rPr>
          <w:rFonts w:ascii="仿宋_GB2312" w:eastAsia="仿宋_GB2312" w:hAnsi="Times New Roman" w:hint="eastAsia"/>
          <w:bCs/>
          <w:sz w:val="32"/>
          <w:szCs w:val="32"/>
          <w:lang w:eastAsia="zh-CN"/>
        </w:rPr>
        <w:t>获得立项</w:t>
      </w:r>
      <w:r w:rsidRPr="009E7A02">
        <w:rPr>
          <w:rFonts w:ascii="仿宋_GB2312" w:eastAsia="仿宋_GB2312" w:hAnsi="Times New Roman" w:hint="eastAsia"/>
          <w:bCs/>
          <w:sz w:val="32"/>
          <w:szCs w:val="32"/>
          <w:lang w:eastAsia="zh-CN"/>
        </w:rPr>
        <w:t>的申报单位，请按照申报平台相关项目的要求准备纸质版本的申报材料清单，并加盖各地知识产权管理部门公章，并在指定时间内报送市知识产权管理部门。</w:t>
      </w:r>
    </w:p>
    <w:p w:rsidR="009E7A02" w:rsidRPr="009E7A02" w:rsidRDefault="009E7A02" w:rsidP="009E7A02">
      <w:pPr>
        <w:spacing w:line="560" w:lineRule="exact"/>
        <w:ind w:firstLineChars="200" w:firstLine="640"/>
        <w:rPr>
          <w:rFonts w:ascii="仿宋_GB2312" w:eastAsia="仿宋_GB2312" w:hAnsi="Times New Roman"/>
          <w:bCs/>
          <w:sz w:val="32"/>
          <w:szCs w:val="32"/>
          <w:lang w:eastAsia="zh-CN"/>
        </w:rPr>
      </w:pPr>
      <w:r w:rsidRPr="009E7A02">
        <w:rPr>
          <w:rFonts w:ascii="仿宋_GB2312" w:eastAsia="仿宋_GB2312" w:hAnsi="Times New Roman" w:hint="eastAsia"/>
          <w:bCs/>
          <w:sz w:val="32"/>
          <w:szCs w:val="32"/>
          <w:lang w:eastAsia="zh-CN"/>
        </w:rPr>
        <w:t>（</w:t>
      </w:r>
      <w:r w:rsidR="00093D03">
        <w:rPr>
          <w:rFonts w:ascii="仿宋_GB2312" w:eastAsia="仿宋_GB2312" w:hAnsi="Times New Roman" w:hint="eastAsia"/>
          <w:bCs/>
          <w:sz w:val="32"/>
          <w:szCs w:val="32"/>
          <w:lang w:eastAsia="zh-CN"/>
        </w:rPr>
        <w:t>二</w:t>
      </w:r>
      <w:r w:rsidRPr="009E7A02">
        <w:rPr>
          <w:rFonts w:ascii="仿宋_GB2312" w:eastAsia="仿宋_GB2312" w:hAnsi="Times New Roman" w:hint="eastAsia"/>
          <w:bCs/>
          <w:sz w:val="32"/>
          <w:szCs w:val="32"/>
          <w:lang w:eastAsia="zh-CN"/>
        </w:rPr>
        <w:t>）项目申报截止日期为2023年6月10日。县（市）、区知识产权管理部门在截止日期后三天内将本地区项目申报推荐意见及汇总表盖章后一并报送市知识产权管理部门（寄送地址:苏州市姑苏区平泷路188号苏州市市场监督管理局南楼1307,联系电话：69821307）。</w:t>
      </w:r>
    </w:p>
    <w:p w:rsidR="0002573E" w:rsidRPr="009E7A02" w:rsidRDefault="0002573E" w:rsidP="009E7A02">
      <w:pPr>
        <w:topLinePunct/>
        <w:spacing w:line="560" w:lineRule="exact"/>
        <w:rPr>
          <w:rFonts w:ascii="仿宋_GB2312" w:eastAsia="仿宋_GB2312" w:hAnsi="Times New Roman"/>
          <w:bCs/>
          <w:sz w:val="32"/>
          <w:szCs w:val="32"/>
          <w:lang w:eastAsia="zh-CN"/>
        </w:rPr>
      </w:pPr>
    </w:p>
    <w:sectPr w:rsidR="0002573E" w:rsidRPr="009E7A02" w:rsidSect="0002573E">
      <w:footerReference w:type="default" r:id="rId7"/>
      <w:pgSz w:w="11906" w:h="16839"/>
      <w:pgMar w:top="2098" w:right="1474" w:bottom="1984" w:left="1587" w:header="0" w:footer="144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6AB" w:rsidRDefault="004376AB">
      <w:r>
        <w:separator/>
      </w:r>
    </w:p>
  </w:endnote>
  <w:endnote w:type="continuationSeparator" w:id="1">
    <w:p w:rsidR="004376AB" w:rsidRDefault="00437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3E" w:rsidRDefault="00886F9F">
    <w:pPr>
      <w:spacing w:line="177" w:lineRule="auto"/>
      <w:rPr>
        <w:rFonts w:ascii="宋体" w:eastAsia="宋体" w:hAnsi="宋体" w:cs="宋体"/>
        <w:sz w:val="28"/>
        <w:szCs w:val="28"/>
      </w:rPr>
    </w:pPr>
    <w:r w:rsidRPr="00886F9F">
      <w:rPr>
        <w:sz w:val="28"/>
      </w:rPr>
      <w:pict>
        <v:shapetype id="_x0000_t202" coordsize="21600,21600" o:spt="202" path="m,l,21600r21600,l21600,xe">
          <v:stroke joinstyle="miter"/>
          <v:path gradientshapeok="t" o:connecttype="rect"/>
        </v:shapetype>
        <v:shape id="_x0000_s1027" type="#_x0000_t202" style="position:absolute;margin-left:832pt;margin-top:0;width:2in;height:2in;z-index:25166745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filled="f" stroked="f" strokeweight=".5pt">
          <v:textbox style="mso-fit-shape-to-text:t" inset="0,0,0,0">
            <w:txbxContent>
              <w:p w:rsidR="0002573E" w:rsidRDefault="00D7563E">
                <w:pPr>
                  <w:pStyle w:val="a5"/>
                </w:pPr>
                <w:r>
                  <w:t xml:space="preserve">— </w:t>
                </w:r>
                <w:r w:rsidR="00886F9F">
                  <w:fldChar w:fldCharType="begin"/>
                </w:r>
                <w:r>
                  <w:instrText xml:space="preserve"> PAGE  \* MERGEFORMAT </w:instrText>
                </w:r>
                <w:r w:rsidR="00886F9F">
                  <w:fldChar w:fldCharType="separate"/>
                </w:r>
                <w:r w:rsidR="000B4162">
                  <w:rPr>
                    <w:noProof/>
                  </w:rPr>
                  <w:t>4</w:t>
                </w:r>
                <w:r w:rsidR="00886F9F">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6AB" w:rsidRDefault="004376AB">
      <w:r>
        <w:separator/>
      </w:r>
    </w:p>
  </w:footnote>
  <w:footnote w:type="continuationSeparator" w:id="1">
    <w:p w:rsidR="004376AB" w:rsidRDefault="00437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noPunctuationKerning/>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ODViOWMzODY0NTIyZWY0NzA0OGQ2NTZhNGYyNGZmZjUifQ=="/>
  </w:docVars>
  <w:rsids>
    <w:rsidRoot w:val="0002573E"/>
    <w:rsid w:val="0002573E"/>
    <w:rsid w:val="00093D03"/>
    <w:rsid w:val="000B4162"/>
    <w:rsid w:val="000D47C2"/>
    <w:rsid w:val="00101AE9"/>
    <w:rsid w:val="001E1478"/>
    <w:rsid w:val="002206FF"/>
    <w:rsid w:val="002835AD"/>
    <w:rsid w:val="003B1DE2"/>
    <w:rsid w:val="004376AB"/>
    <w:rsid w:val="005E6D57"/>
    <w:rsid w:val="006E6C61"/>
    <w:rsid w:val="0076170D"/>
    <w:rsid w:val="007808C8"/>
    <w:rsid w:val="007A19C5"/>
    <w:rsid w:val="00886F9F"/>
    <w:rsid w:val="00921AF3"/>
    <w:rsid w:val="009E7A02"/>
    <w:rsid w:val="00BA593A"/>
    <w:rsid w:val="00C46132"/>
    <w:rsid w:val="00D7563E"/>
    <w:rsid w:val="00DF7B15"/>
    <w:rsid w:val="00E001BE"/>
    <w:rsid w:val="00E06043"/>
    <w:rsid w:val="00F52929"/>
    <w:rsid w:val="00F56936"/>
    <w:rsid w:val="0100390C"/>
    <w:rsid w:val="015679D0"/>
    <w:rsid w:val="02AE05FE"/>
    <w:rsid w:val="02B413CC"/>
    <w:rsid w:val="059E02BE"/>
    <w:rsid w:val="06732DD2"/>
    <w:rsid w:val="075E313A"/>
    <w:rsid w:val="08000695"/>
    <w:rsid w:val="08303BA9"/>
    <w:rsid w:val="08397703"/>
    <w:rsid w:val="0B696551"/>
    <w:rsid w:val="0D0E115E"/>
    <w:rsid w:val="0EF1046D"/>
    <w:rsid w:val="0F135152"/>
    <w:rsid w:val="0F416A53"/>
    <w:rsid w:val="1114026C"/>
    <w:rsid w:val="115640FE"/>
    <w:rsid w:val="14270D58"/>
    <w:rsid w:val="155E2E9F"/>
    <w:rsid w:val="15E7268F"/>
    <w:rsid w:val="163C04E9"/>
    <w:rsid w:val="18F953B8"/>
    <w:rsid w:val="19377C8F"/>
    <w:rsid w:val="1C47468D"/>
    <w:rsid w:val="1C8036FB"/>
    <w:rsid w:val="1E827BFE"/>
    <w:rsid w:val="1F5367A6"/>
    <w:rsid w:val="1F7532BF"/>
    <w:rsid w:val="1FA0658E"/>
    <w:rsid w:val="200A1C59"/>
    <w:rsid w:val="20E31023"/>
    <w:rsid w:val="22596EC8"/>
    <w:rsid w:val="27391076"/>
    <w:rsid w:val="27CB6172"/>
    <w:rsid w:val="29C15A7E"/>
    <w:rsid w:val="2AA1140C"/>
    <w:rsid w:val="2AB90504"/>
    <w:rsid w:val="2B5F7A5A"/>
    <w:rsid w:val="2CCE4B07"/>
    <w:rsid w:val="2F30198A"/>
    <w:rsid w:val="30D047F9"/>
    <w:rsid w:val="336E59D7"/>
    <w:rsid w:val="33F7209D"/>
    <w:rsid w:val="340622E0"/>
    <w:rsid w:val="342651EB"/>
    <w:rsid w:val="34B34216"/>
    <w:rsid w:val="360B0081"/>
    <w:rsid w:val="368158A4"/>
    <w:rsid w:val="36B44275"/>
    <w:rsid w:val="37025FC2"/>
    <w:rsid w:val="37664322"/>
    <w:rsid w:val="3840387E"/>
    <w:rsid w:val="392201C3"/>
    <w:rsid w:val="3B9D2454"/>
    <w:rsid w:val="3F2E5C64"/>
    <w:rsid w:val="421504C2"/>
    <w:rsid w:val="43974263"/>
    <w:rsid w:val="462E4F8C"/>
    <w:rsid w:val="4726763D"/>
    <w:rsid w:val="47E37650"/>
    <w:rsid w:val="47F36533"/>
    <w:rsid w:val="4F675ED1"/>
    <w:rsid w:val="4F732AC8"/>
    <w:rsid w:val="514E7A5D"/>
    <w:rsid w:val="52195BA8"/>
    <w:rsid w:val="52642D2F"/>
    <w:rsid w:val="52DF6D57"/>
    <w:rsid w:val="55E9250B"/>
    <w:rsid w:val="58B20EEC"/>
    <w:rsid w:val="58DF2F7C"/>
    <w:rsid w:val="59653481"/>
    <w:rsid w:val="5DD36312"/>
    <w:rsid w:val="5F661D01"/>
    <w:rsid w:val="60326087"/>
    <w:rsid w:val="633839B4"/>
    <w:rsid w:val="67177138"/>
    <w:rsid w:val="679B2764"/>
    <w:rsid w:val="6A4B66C3"/>
    <w:rsid w:val="6A696B49"/>
    <w:rsid w:val="6B0030B8"/>
    <w:rsid w:val="6D162FB8"/>
    <w:rsid w:val="6E91666F"/>
    <w:rsid w:val="6F856148"/>
    <w:rsid w:val="772E398D"/>
    <w:rsid w:val="796919EA"/>
    <w:rsid w:val="79CE4C1B"/>
    <w:rsid w:val="7C150073"/>
    <w:rsid w:val="7CC540B3"/>
    <w:rsid w:val="7D00333D"/>
    <w:rsid w:val="7DF34C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02573E"/>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02573E"/>
    <w:pPr>
      <w:spacing w:before="240" w:after="60"/>
      <w:jc w:val="center"/>
      <w:outlineLvl w:val="0"/>
    </w:pPr>
    <w:rPr>
      <w:rFonts w:asciiTheme="majorHAnsi" w:eastAsiaTheme="majorEastAsia" w:hAnsiTheme="majorHAnsi" w:cstheme="majorBidi"/>
      <w:b/>
      <w:bCs/>
      <w:sz w:val="32"/>
      <w:szCs w:val="32"/>
    </w:rPr>
  </w:style>
  <w:style w:type="paragraph" w:styleId="a4">
    <w:name w:val="Body Text"/>
    <w:basedOn w:val="a"/>
    <w:semiHidden/>
    <w:qFormat/>
    <w:rsid w:val="0002573E"/>
    <w:rPr>
      <w:rFonts w:ascii="仿宋" w:eastAsia="仿宋" w:hAnsi="仿宋" w:cs="仿宋"/>
      <w:sz w:val="31"/>
      <w:szCs w:val="31"/>
    </w:rPr>
  </w:style>
  <w:style w:type="paragraph" w:styleId="a5">
    <w:name w:val="footer"/>
    <w:basedOn w:val="a"/>
    <w:qFormat/>
    <w:rsid w:val="0002573E"/>
    <w:pPr>
      <w:tabs>
        <w:tab w:val="center" w:pos="4153"/>
        <w:tab w:val="right" w:pos="8306"/>
      </w:tabs>
    </w:pPr>
    <w:rPr>
      <w:sz w:val="18"/>
    </w:rPr>
  </w:style>
  <w:style w:type="paragraph" w:styleId="a6">
    <w:name w:val="header"/>
    <w:basedOn w:val="a"/>
    <w:qFormat/>
    <w:rsid w:val="0002573E"/>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2"/>
    <w:qFormat/>
    <w:rsid w:val="000257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02573E"/>
    <w:tblPr>
      <w:tblCellMar>
        <w:top w:w="0" w:type="dxa"/>
        <w:left w:w="0" w:type="dxa"/>
        <w:bottom w:w="0" w:type="dxa"/>
        <w:right w:w="0" w:type="dxa"/>
      </w:tblCellMar>
    </w:tblPr>
  </w:style>
  <w:style w:type="paragraph" w:customStyle="1" w:styleId="TableText">
    <w:name w:val="Table Text"/>
    <w:basedOn w:val="a"/>
    <w:semiHidden/>
    <w:qFormat/>
    <w:rsid w:val="0002573E"/>
    <w:rPr>
      <w:rFonts w:ascii="仿宋" w:eastAsia="仿宋" w:hAnsi="仿宋" w:cs="仿宋"/>
      <w:sz w:val="20"/>
      <w:szCs w:val="20"/>
    </w:rPr>
  </w:style>
</w:styles>
</file>

<file path=word/webSettings.xml><?xml version="1.0" encoding="utf-8"?>
<w:webSettings xmlns:r="http://schemas.openxmlformats.org/officeDocument/2006/relationships" xmlns:w="http://schemas.openxmlformats.org/wordprocessingml/2006/main">
  <w:divs>
    <w:div w:id="123116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319</Words>
  <Characters>1822</Characters>
  <Application>Microsoft Office Word</Application>
  <DocSecurity>0</DocSecurity>
  <Lines>15</Lines>
  <Paragraphs>4</Paragraphs>
  <ScaleCrop>false</ScaleCrop>
  <Company>Microsoft</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65401</dc:creator>
  <cp:lastModifiedBy>admin</cp:lastModifiedBy>
  <cp:revision>9</cp:revision>
  <cp:lastPrinted>2023-05-25T07:41:00Z</cp:lastPrinted>
  <dcterms:created xsi:type="dcterms:W3CDTF">2022-05-10T10:35:00Z</dcterms:created>
  <dcterms:modified xsi:type="dcterms:W3CDTF">2023-05-25T07:43:00Z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2023-04-17T13:28:11Z</vt:filetime>
  </property>
  <property fmtid="{D5CDD505-2E9C-101B-9397-08002B2CF9AE}" pid="4" name="KSOProductBuildVer">
    <vt:lpwstr>2052-11.1.0.14309</vt:lpwstr>
  </property>
  <property fmtid="{D5CDD505-2E9C-101B-9397-08002B2CF9AE}" pid="5" name="ICV">
    <vt:lpwstr>FE3F18FA5A974C139DF527800B2930E2_13</vt:lpwstr>
  </property>
</Properties>
</file>