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86" w:rsidRPr="001D04BE" w:rsidRDefault="00C84014" w:rsidP="001D04BE">
      <w:pPr>
        <w:spacing w:line="360" w:lineRule="auto"/>
        <w:jc w:val="center"/>
        <w:rPr>
          <w:rFonts w:ascii="方正小标宋_GBK" w:eastAsia="方正小标宋_GBK" w:hAnsi="方正小标宋简体" w:cs="方正小标宋简体"/>
          <w:kern w:val="0"/>
          <w:sz w:val="44"/>
          <w:szCs w:val="44"/>
          <w:shd w:val="clear" w:color="auto" w:fill="FFFFFF"/>
        </w:rPr>
      </w:pPr>
      <w:r w:rsidRPr="00C84014">
        <w:rPr>
          <w:rFonts w:ascii="方正小标宋_GBK" w:eastAsia="方正小标宋_GBK" w:hAnsi="方正小标宋简体" w:cs="方正小标宋简体" w:hint="eastAsia"/>
          <w:kern w:val="0"/>
          <w:sz w:val="44"/>
          <w:szCs w:val="44"/>
          <w:shd w:val="clear" w:color="auto" w:fill="FFFFFF"/>
        </w:rPr>
        <w:t>花生四烯酸油脂</w:t>
      </w:r>
      <w:r w:rsidR="003562B8" w:rsidRPr="00C84014">
        <w:rPr>
          <w:rFonts w:ascii="方正小标宋_GBK" w:eastAsia="方正小标宋_GBK" w:hAnsi="方正小标宋简体" w:cs="方正小标宋简体" w:hint="eastAsia"/>
          <w:kern w:val="0"/>
          <w:sz w:val="44"/>
          <w:szCs w:val="44"/>
          <w:shd w:val="clear" w:color="auto" w:fill="FFFFFF"/>
        </w:rPr>
        <w:t>生产许可审查方案</w:t>
      </w:r>
    </w:p>
    <w:p w:rsidR="000C5186" w:rsidRDefault="003562B8">
      <w:pPr>
        <w:pStyle w:val="ab"/>
        <w:numPr>
          <w:ilvl w:val="0"/>
          <w:numId w:val="1"/>
        </w:numPr>
        <w:spacing w:line="480" w:lineRule="exact"/>
        <w:ind w:firstLineChars="0"/>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总则</w:t>
      </w:r>
    </w:p>
    <w:p w:rsidR="000C5186" w:rsidRDefault="000C5186">
      <w:pPr>
        <w:pStyle w:val="ab"/>
        <w:spacing w:line="480" w:lineRule="exact"/>
        <w:ind w:left="4425" w:firstLineChars="0" w:firstLine="0"/>
        <w:jc w:val="left"/>
        <w:rPr>
          <w:rFonts w:ascii="黑体" w:eastAsia="黑体" w:hAnsi="宋体" w:cs="黑体"/>
          <w:kern w:val="0"/>
          <w:sz w:val="27"/>
          <w:szCs w:val="27"/>
          <w:shd w:val="clear" w:color="auto" w:fill="FFFFFF"/>
        </w:rPr>
      </w:pPr>
    </w:p>
    <w:p w:rsidR="000C5186" w:rsidRDefault="003562B8">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第一条  为了做好</w:t>
      </w:r>
      <w:r>
        <w:rPr>
          <w:rFonts w:ascii="宋体" w:eastAsia="宋体" w:hAnsi="宋体" w:cs="宋体" w:hint="eastAsia"/>
          <w:kern w:val="0"/>
          <w:sz w:val="24"/>
          <w:shd w:val="clear" w:color="auto" w:fill="FFFFFF"/>
        </w:rPr>
        <w:t>其他食品</w:t>
      </w:r>
      <w:r>
        <w:rPr>
          <w:rFonts w:ascii="宋体" w:eastAsia="宋体" w:hAnsi="宋体" w:cs="宋体"/>
          <w:kern w:val="0"/>
          <w:sz w:val="24"/>
          <w:shd w:val="clear" w:color="auto" w:fill="FFFFFF"/>
        </w:rPr>
        <w:t>（花生四烯酸油脂）生产许可审查工作，依据《中华人</w:t>
      </w:r>
      <w:r>
        <w:rPr>
          <w:rFonts w:ascii="宋体" w:eastAsia="宋体" w:hAnsi="宋体" w:cs="宋体" w:hint="eastAsia"/>
          <w:kern w:val="0"/>
          <w:sz w:val="24"/>
          <w:shd w:val="clear" w:color="auto" w:fill="FFFFFF"/>
        </w:rPr>
        <w:t>民共和国食品安全法》及其实施条例、《食品生产许可管理办法》、《食品生产许可审查通则（2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w:t>
      </w:r>
      <w:r>
        <w:rPr>
          <w:rFonts w:ascii="宋体" w:eastAsia="宋体" w:hAnsi="宋体" w:cs="宋体"/>
          <w:kern w:val="0"/>
          <w:sz w:val="24"/>
          <w:shd w:val="clear" w:color="auto" w:fill="FFFFFF"/>
        </w:rPr>
        <w:t>(以下简称</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通则</w:t>
      </w:r>
      <w:r>
        <w:rPr>
          <w:rFonts w:ascii="宋体" w:eastAsia="宋体" w:hAnsi="宋体" w:cs="宋体" w:hint="eastAsia"/>
          <w:kern w:val="0"/>
          <w:sz w:val="24"/>
          <w:shd w:val="clear" w:color="auto" w:fill="FFFFFF"/>
        </w:rPr>
        <w:t>（2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版）》）等有关法律法规、规章和食品安全国家标准，制定其他食品（花生四烯酸油脂</w:t>
      </w:r>
      <w:r>
        <w:rPr>
          <w:rFonts w:ascii="宋体" w:eastAsia="宋体" w:hAnsi="宋体" w:cs="宋体"/>
          <w:kern w:val="0"/>
          <w:sz w:val="24"/>
          <w:shd w:val="clear" w:color="auto" w:fill="FFFFFF"/>
        </w:rPr>
        <w:t>）生产许可审查方案(以下简称</w:t>
      </w:r>
      <w:r>
        <w:rPr>
          <w:rFonts w:ascii="宋体" w:eastAsia="宋体" w:hAnsi="宋体" w:cs="宋体" w:hint="eastAsia"/>
          <w:kern w:val="0"/>
          <w:sz w:val="24"/>
          <w:shd w:val="clear" w:color="auto" w:fill="FFFFFF"/>
        </w:rPr>
        <w:t>《方案》</w:t>
      </w:r>
      <w:r>
        <w:rPr>
          <w:rFonts w:ascii="宋体" w:eastAsia="宋体" w:hAnsi="宋体" w:cs="宋体"/>
          <w:kern w:val="0"/>
          <w:sz w:val="24"/>
          <w:shd w:val="clear" w:color="auto" w:fill="FFFFFF"/>
        </w:rPr>
        <w:t>)。</w:t>
      </w:r>
    </w:p>
    <w:p w:rsidR="000C5186" w:rsidRDefault="003562B8">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第二条  本</w:t>
      </w:r>
      <w:r>
        <w:rPr>
          <w:rFonts w:ascii="宋体" w:eastAsia="宋体" w:hAnsi="宋体" w:cs="宋体" w:hint="eastAsia"/>
          <w:kern w:val="0"/>
          <w:sz w:val="24"/>
          <w:shd w:val="clear" w:color="auto" w:fill="FFFFFF"/>
        </w:rPr>
        <w:t>《方案》应与《</w:t>
      </w:r>
      <w:r>
        <w:rPr>
          <w:rFonts w:ascii="宋体" w:eastAsia="宋体" w:hAnsi="宋体" w:cs="宋体"/>
          <w:kern w:val="0"/>
          <w:sz w:val="24"/>
          <w:shd w:val="clear" w:color="auto" w:fill="FFFFFF"/>
        </w:rPr>
        <w:t>通则</w:t>
      </w:r>
      <w:r>
        <w:rPr>
          <w:rFonts w:ascii="宋体" w:eastAsia="宋体" w:hAnsi="宋体" w:cs="宋体" w:hint="eastAsia"/>
          <w:kern w:val="0"/>
          <w:sz w:val="24"/>
          <w:shd w:val="clear" w:color="auto" w:fill="FFFFFF"/>
        </w:rPr>
        <w:t>（2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版）》结合使用，适用于食品加工用途的花生四烯酸油脂</w:t>
      </w:r>
      <w:r>
        <w:rPr>
          <w:rFonts w:ascii="宋体" w:eastAsia="宋体" w:hAnsi="宋体" w:cs="宋体"/>
          <w:kern w:val="0"/>
          <w:sz w:val="24"/>
          <w:shd w:val="clear" w:color="auto" w:fill="FFFFFF"/>
        </w:rPr>
        <w:t>生产许可审查工作。仅有包装场地、工序、设备，没有完整的生产条件，不予生产许可。</w:t>
      </w:r>
    </w:p>
    <w:p w:rsidR="000C5186" w:rsidRDefault="003562B8" w:rsidP="00C84014">
      <w:pPr>
        <w:spacing w:line="480" w:lineRule="atLeas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第三条实施食品生产许可管理的花生四烯酸油脂。产品生产许可类别目录及定义见表</w:t>
      </w:r>
      <w:r>
        <w:rPr>
          <w:rFonts w:ascii="宋体" w:eastAsia="宋体" w:hAnsi="宋体" w:cs="宋体"/>
          <w:kern w:val="0"/>
          <w:sz w:val="24"/>
          <w:shd w:val="clear" w:color="auto" w:fill="FFFFFF"/>
        </w:rPr>
        <w:t>1</w:t>
      </w:r>
      <w:r>
        <w:rPr>
          <w:rFonts w:ascii="宋体" w:eastAsia="宋体" w:hAnsi="宋体" w:cs="宋体" w:hint="eastAsia"/>
          <w:kern w:val="0"/>
          <w:sz w:val="24"/>
          <w:shd w:val="clear" w:color="auto" w:fill="FFFFFF"/>
        </w:rPr>
        <w:t>。</w:t>
      </w:r>
    </w:p>
    <w:p w:rsidR="000C5186" w:rsidRDefault="003562B8">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1  </w:t>
      </w:r>
      <w:r>
        <w:rPr>
          <w:rFonts w:ascii="宋体" w:eastAsia="宋体" w:hAnsi="宋体" w:cs="宋体" w:hint="eastAsia"/>
          <w:kern w:val="0"/>
          <w:sz w:val="24"/>
          <w:shd w:val="clear" w:color="auto" w:fill="FFFFFF"/>
        </w:rPr>
        <w:t>产品生产许可类别目录及定义</w:t>
      </w:r>
    </w:p>
    <w:tbl>
      <w:tblPr>
        <w:tblStyle w:val="aa"/>
        <w:tblW w:w="8522" w:type="dxa"/>
        <w:tblLayout w:type="fixed"/>
        <w:tblLook w:val="04A0"/>
      </w:tblPr>
      <w:tblGrid>
        <w:gridCol w:w="1154"/>
        <w:gridCol w:w="1208"/>
        <w:gridCol w:w="1173"/>
        <w:gridCol w:w="1447"/>
        <w:gridCol w:w="3540"/>
      </w:tblGrid>
      <w:tr w:rsidR="000C5186">
        <w:trPr>
          <w:trHeight w:val="567"/>
        </w:trPr>
        <w:tc>
          <w:tcPr>
            <w:tcW w:w="1154"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食品类别</w:t>
            </w:r>
          </w:p>
        </w:tc>
        <w:tc>
          <w:tcPr>
            <w:tcW w:w="1208"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类别编号</w:t>
            </w:r>
          </w:p>
        </w:tc>
        <w:tc>
          <w:tcPr>
            <w:tcW w:w="1173"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447"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3540"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定义</w:t>
            </w:r>
          </w:p>
        </w:tc>
      </w:tr>
      <w:tr w:rsidR="000C5186">
        <w:trPr>
          <w:trHeight w:val="567"/>
        </w:trPr>
        <w:tc>
          <w:tcPr>
            <w:tcW w:w="1154"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208"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kern w:val="0"/>
                <w:szCs w:val="21"/>
              </w:rPr>
              <w:t>3101</w:t>
            </w:r>
          </w:p>
        </w:tc>
        <w:tc>
          <w:tcPr>
            <w:tcW w:w="1173"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447"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w:t>
            </w:r>
          </w:p>
        </w:tc>
        <w:tc>
          <w:tcPr>
            <w:tcW w:w="3540" w:type="dxa"/>
          </w:tcPr>
          <w:p w:rsidR="000C5186" w:rsidRDefault="003562B8">
            <w:pPr>
              <w:jc w:val="left"/>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花生四烯酸油脂是指以高山被孢霉为菌种，经过生物发酵（添加</w:t>
            </w:r>
            <w:r>
              <w:rPr>
                <w:rFonts w:ascii="仿宋_GB2312" w:eastAsia="仿宋_GB2312" w:hAnsi="微软雅黑" w:cs="仿宋_GB2312"/>
                <w:kern w:val="0"/>
                <w:szCs w:val="21"/>
              </w:rPr>
              <w:t>聚氧乙烯聚氧丙烯季戊四醇醚</w:t>
            </w:r>
            <w:r>
              <w:rPr>
                <w:rFonts w:ascii="仿宋_GB2312" w:eastAsia="仿宋_GB2312" w:hAnsi="微软雅黑" w:cs="仿宋_GB2312" w:hint="eastAsia"/>
                <w:kern w:val="0"/>
                <w:szCs w:val="21"/>
              </w:rPr>
              <w:t>（消泡））、过滤、酶解（添加蛋白酶）、分离、精炼（脱胶脱酸、脱色（添加二氧化硅和活性炭）、脱臭）、过滤、灌装制得的产品。</w:t>
            </w:r>
          </w:p>
        </w:tc>
      </w:tr>
    </w:tbl>
    <w:p w:rsidR="000C5186" w:rsidRDefault="000C5186">
      <w:pPr>
        <w:spacing w:line="480" w:lineRule="atLeast"/>
        <w:jc w:val="left"/>
        <w:rPr>
          <w:rFonts w:ascii="宋体" w:eastAsia="宋体" w:hAnsi="宋体" w:cs="宋体"/>
          <w:kern w:val="0"/>
          <w:sz w:val="24"/>
          <w:shd w:val="clear" w:color="auto" w:fill="FFFFFF"/>
        </w:rPr>
      </w:pPr>
    </w:p>
    <w:p w:rsidR="000C5186" w:rsidRDefault="003562B8" w:rsidP="001D04BE">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w:t>
      </w:r>
      <w:r>
        <w:rPr>
          <w:rFonts w:ascii="宋体" w:eastAsia="宋体" w:hAnsi="宋体" w:cs="宋体" w:hint="eastAsia"/>
          <w:kern w:val="0"/>
          <w:sz w:val="24"/>
          <w:shd w:val="clear" w:color="auto" w:fill="FFFFFF"/>
        </w:rPr>
        <w:t>四</w:t>
      </w:r>
      <w:r>
        <w:rPr>
          <w:rFonts w:ascii="宋体" w:eastAsia="宋体" w:hAnsi="宋体" w:cs="宋体"/>
          <w:kern w:val="0"/>
          <w:sz w:val="24"/>
          <w:shd w:val="clear" w:color="auto" w:fill="FFFFFF"/>
        </w:rPr>
        <w:t>条  本《方案》中引用的文件、标准通过引用成为本《方案》的内容。凡是引用文件、标准，其最新版本(包括所有的修改单)适用于本《方案》。</w:t>
      </w:r>
      <w:bookmarkStart w:id="0" w:name="_Hlk134556824"/>
      <w:r>
        <w:rPr>
          <w:rFonts w:ascii="宋体" w:eastAsia="宋体" w:hAnsi="宋体" w:cs="宋体"/>
          <w:kern w:val="0"/>
          <w:sz w:val="24"/>
          <w:shd w:val="clear" w:color="auto" w:fill="FFFFFF"/>
        </w:rPr>
        <w:t>主要</w:t>
      </w:r>
      <w:r>
        <w:rPr>
          <w:rFonts w:ascii="宋体" w:eastAsia="宋体" w:hAnsi="宋体" w:cs="宋体"/>
          <w:kern w:val="0"/>
          <w:sz w:val="24"/>
          <w:shd w:val="clear" w:color="auto" w:fill="FFFFFF"/>
        </w:rPr>
        <w:lastRenderedPageBreak/>
        <w:t>文件及标准</w:t>
      </w:r>
      <w:bookmarkEnd w:id="0"/>
      <w:r>
        <w:rPr>
          <w:rFonts w:ascii="宋体" w:eastAsia="宋体" w:hAnsi="宋体" w:cs="宋体"/>
          <w:kern w:val="0"/>
          <w:sz w:val="24"/>
          <w:shd w:val="clear" w:color="auto" w:fill="FFFFFF"/>
        </w:rPr>
        <w:t>见附件</w:t>
      </w:r>
      <w:r>
        <w:rPr>
          <w:rFonts w:ascii="宋体" w:eastAsia="宋体" w:hAnsi="宋体" w:cs="宋体" w:hint="eastAsia"/>
          <w:kern w:val="0"/>
          <w:sz w:val="24"/>
          <w:shd w:val="clear" w:color="auto" w:fill="FFFFFF"/>
        </w:rPr>
        <w:t>1</w:t>
      </w:r>
      <w:r>
        <w:rPr>
          <w:rFonts w:ascii="宋体" w:eastAsia="宋体" w:hAnsi="宋体" w:cs="宋体"/>
          <w:kern w:val="0"/>
          <w:sz w:val="24"/>
          <w:shd w:val="clear" w:color="auto" w:fill="FFFFFF"/>
        </w:rPr>
        <w:t>。</w:t>
      </w:r>
    </w:p>
    <w:p w:rsidR="000C5186" w:rsidRDefault="000C5186">
      <w:pPr>
        <w:spacing w:line="480" w:lineRule="atLeast"/>
        <w:ind w:firstLine="480"/>
        <w:jc w:val="left"/>
        <w:rPr>
          <w:rFonts w:ascii="宋体" w:eastAsia="宋体" w:hAnsi="宋体" w:cs="宋体"/>
          <w:kern w:val="0"/>
          <w:sz w:val="24"/>
          <w:shd w:val="clear" w:color="auto" w:fill="FFFFFF"/>
        </w:rPr>
      </w:pPr>
    </w:p>
    <w:p w:rsidR="000C5186" w:rsidRDefault="003562B8">
      <w:pPr>
        <w:pStyle w:val="ab"/>
        <w:numPr>
          <w:ilvl w:val="0"/>
          <w:numId w:val="1"/>
        </w:numPr>
        <w:spacing w:line="480" w:lineRule="exact"/>
        <w:ind w:firstLineChars="0"/>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生产场所</w:t>
      </w:r>
    </w:p>
    <w:p w:rsidR="000C5186" w:rsidRDefault="000C5186">
      <w:pPr>
        <w:pStyle w:val="ab"/>
        <w:spacing w:line="480" w:lineRule="exact"/>
        <w:ind w:left="4425" w:firstLineChars="0" w:firstLine="0"/>
        <w:jc w:val="left"/>
        <w:rPr>
          <w:rFonts w:ascii="黑体" w:eastAsia="黑体" w:hAnsi="宋体" w:cs="黑体"/>
          <w:kern w:val="0"/>
          <w:sz w:val="27"/>
          <w:szCs w:val="27"/>
          <w:shd w:val="clear" w:color="auto" w:fill="FFFFFF"/>
        </w:rPr>
      </w:pPr>
    </w:p>
    <w:p w:rsidR="000C5186" w:rsidRDefault="003562B8" w:rsidP="00FA292B">
      <w:pPr>
        <w:spacing w:line="480" w:lineRule="atLeast"/>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第五条企业应当具有与生产产品相适应的生产车间、原料及成品库房等生产场所。生产车间及辅助设施的设置应当按生产工艺、卫生控制要求有序合理布局，根据生产流程、操作需要和清洁度要求进行分离或分隔，避免交叉污染。生产车间划分为清洁作业区、准清洁作业区和一般作业区，不同作业区之间应当采取有效分隔。清洁作业区应当定期采用紫外线照射或臭氧等方式对加工环境消毒。其他食品（花生四烯酸油脂）生产车间及作业区划分见表</w:t>
      </w: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w:t>
      </w:r>
    </w:p>
    <w:p w:rsidR="000C5186" w:rsidRDefault="003562B8">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2  </w:t>
      </w:r>
      <w:r>
        <w:rPr>
          <w:rFonts w:ascii="宋体" w:eastAsia="宋体" w:hAnsi="宋体" w:cs="宋体" w:hint="eastAsia"/>
          <w:kern w:val="0"/>
          <w:sz w:val="24"/>
          <w:shd w:val="clear" w:color="auto" w:fill="FFFFFF"/>
        </w:rPr>
        <w:t>其他食品（花生四烯酸油脂）生产车间及作业区划分</w:t>
      </w:r>
    </w:p>
    <w:tbl>
      <w:tblPr>
        <w:tblStyle w:val="aa"/>
        <w:tblW w:w="8522" w:type="dxa"/>
        <w:jc w:val="center"/>
        <w:tblLayout w:type="fixed"/>
        <w:tblLook w:val="04A0"/>
      </w:tblPr>
      <w:tblGrid>
        <w:gridCol w:w="1300"/>
        <w:gridCol w:w="1325"/>
        <w:gridCol w:w="1643"/>
        <w:gridCol w:w="2093"/>
        <w:gridCol w:w="2161"/>
      </w:tblGrid>
      <w:tr w:rsidR="000C5186">
        <w:trPr>
          <w:trHeight w:val="567"/>
          <w:jc w:val="center"/>
        </w:trPr>
        <w:tc>
          <w:tcPr>
            <w:tcW w:w="1300"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325"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1643"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清洁作业区</w:t>
            </w:r>
          </w:p>
        </w:tc>
        <w:tc>
          <w:tcPr>
            <w:tcW w:w="2093"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准清洁作业区</w:t>
            </w:r>
          </w:p>
        </w:tc>
        <w:tc>
          <w:tcPr>
            <w:tcW w:w="2161"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一般作业区</w:t>
            </w:r>
          </w:p>
        </w:tc>
      </w:tr>
      <w:tr w:rsidR="000C5186">
        <w:trPr>
          <w:trHeight w:val="567"/>
          <w:jc w:val="center"/>
        </w:trPr>
        <w:tc>
          <w:tcPr>
            <w:tcW w:w="130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325" w:type="dxa"/>
            <w:vAlign w:val="center"/>
          </w:tcPr>
          <w:p w:rsidR="000C5186" w:rsidRDefault="003562B8">
            <w:pPr>
              <w:widowControl/>
              <w:tabs>
                <w:tab w:val="center" w:pos="4153"/>
                <w:tab w:val="right" w:pos="8306"/>
              </w:tabs>
              <w:snapToGrid w:val="0"/>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w:t>
            </w:r>
          </w:p>
        </w:tc>
        <w:tc>
          <w:tcPr>
            <w:tcW w:w="164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菌种培养间</w:t>
            </w:r>
          </w:p>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灌装间、内包装容器暂存间。</w:t>
            </w:r>
          </w:p>
        </w:tc>
        <w:tc>
          <w:tcPr>
            <w:tcW w:w="209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配料间、发酵区、过滤区、酶解区、分离区、精炼区、内包装容器清洁消毒区。</w:t>
            </w:r>
          </w:p>
        </w:tc>
        <w:tc>
          <w:tcPr>
            <w:tcW w:w="2161"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原辅料库、包装材料库、成品库。</w:t>
            </w:r>
          </w:p>
        </w:tc>
      </w:tr>
    </w:tbl>
    <w:p w:rsidR="000C5186" w:rsidRDefault="000C5186">
      <w:pPr>
        <w:spacing w:line="480" w:lineRule="atLeast"/>
        <w:rPr>
          <w:rFonts w:ascii="宋体" w:eastAsia="宋体" w:hAnsi="宋体" w:cs="宋体"/>
          <w:kern w:val="0"/>
          <w:sz w:val="24"/>
          <w:shd w:val="clear" w:color="auto" w:fill="FFFFFF"/>
        </w:rPr>
      </w:pPr>
    </w:p>
    <w:p w:rsidR="000C5186" w:rsidRDefault="003562B8">
      <w:pPr>
        <w:spacing w:line="480" w:lineRule="atLeas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w:t>
      </w:r>
      <w:r>
        <w:rPr>
          <w:rFonts w:ascii="宋体" w:eastAsia="宋体" w:hAnsi="宋体" w:cs="宋体" w:hint="eastAsia"/>
          <w:kern w:val="0"/>
          <w:sz w:val="24"/>
          <w:shd w:val="clear" w:color="auto" w:fill="FFFFFF"/>
        </w:rPr>
        <w:t>六</w:t>
      </w:r>
      <w:r>
        <w:rPr>
          <w:rFonts w:ascii="宋体" w:eastAsia="宋体" w:hAnsi="宋体" w:cs="宋体"/>
          <w:kern w:val="0"/>
          <w:sz w:val="24"/>
          <w:shd w:val="clear" w:color="auto" w:fill="FFFFFF"/>
        </w:rPr>
        <w:t xml:space="preserve">条  </w:t>
      </w:r>
      <w:r>
        <w:rPr>
          <w:rFonts w:ascii="宋体" w:eastAsia="宋体" w:hAnsi="宋体" w:cs="宋体" w:hint="eastAsia"/>
          <w:kern w:val="0"/>
          <w:sz w:val="24"/>
          <w:shd w:val="clear" w:color="auto" w:fill="FFFFFF"/>
        </w:rPr>
        <w:t>生产车间地面、墙壁应当易于清洗，保持清洁，设置有效的防尘、防蝇、防虫、防鼠设施。</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kern w:val="0"/>
          <w:sz w:val="24"/>
          <w:shd w:val="clear" w:color="auto" w:fill="FFFFFF"/>
        </w:rPr>
        <w:t xml:space="preserve">    第七条  </w:t>
      </w:r>
      <w:r>
        <w:rPr>
          <w:rFonts w:ascii="宋体" w:eastAsia="宋体" w:hAnsi="宋体" w:cs="宋体" w:hint="eastAsia"/>
          <w:sz w:val="24"/>
          <w:shd w:val="clear" w:color="auto" w:fill="FFFFFF"/>
        </w:rPr>
        <w:t>原料、成品库房应当根据物料特性满足相应的贮存要求，避免阳光直射，保持清洁，并设置有效的产品防护措施。</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产品应装于适宜的容器中充氮，产品在常温条件下、冷藏（</w:t>
      </w:r>
      <w:r>
        <w:rPr>
          <w:rFonts w:ascii="宋体" w:eastAsia="宋体" w:hAnsi="宋体" w:cs="宋体"/>
          <w:sz w:val="24"/>
          <w:shd w:val="clear" w:color="auto" w:fill="FFFFFF"/>
        </w:rPr>
        <w:t>0~10℃）条件下、冷冻（-18℃~-13℃）条件下均可贮存</w:t>
      </w:r>
      <w:r>
        <w:rPr>
          <w:rFonts w:ascii="宋体" w:eastAsia="宋体" w:hAnsi="宋体" w:cs="宋体" w:hint="eastAsia"/>
          <w:sz w:val="24"/>
          <w:shd w:val="clear" w:color="auto" w:fill="FFFFFF"/>
        </w:rPr>
        <w:t>。</w:t>
      </w:r>
    </w:p>
    <w:p w:rsidR="000C5186" w:rsidRDefault="000C5186">
      <w:pPr>
        <w:spacing w:line="480" w:lineRule="atLeast"/>
        <w:rPr>
          <w:rFonts w:ascii="宋体" w:eastAsia="宋体" w:hAnsi="宋体" w:cs="宋体"/>
          <w:sz w:val="24"/>
          <w:shd w:val="clear" w:color="auto" w:fill="FFFFFF"/>
        </w:rPr>
      </w:pPr>
    </w:p>
    <w:p w:rsidR="000C5186" w:rsidRDefault="003562B8">
      <w:pPr>
        <w:pStyle w:val="ab"/>
        <w:numPr>
          <w:ilvl w:val="0"/>
          <w:numId w:val="1"/>
        </w:numPr>
        <w:spacing w:line="480" w:lineRule="exact"/>
        <w:ind w:left="4423" w:firstLineChars="0"/>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设备设施</w:t>
      </w:r>
    </w:p>
    <w:p w:rsidR="000C5186" w:rsidRDefault="000C5186">
      <w:pPr>
        <w:pStyle w:val="ab"/>
        <w:spacing w:line="480" w:lineRule="exact"/>
        <w:ind w:left="4423" w:firstLineChars="0" w:firstLine="0"/>
        <w:jc w:val="left"/>
        <w:rPr>
          <w:rFonts w:ascii="黑体" w:eastAsia="黑体" w:hAnsi="宋体" w:cs="黑体"/>
          <w:kern w:val="0"/>
          <w:sz w:val="27"/>
          <w:szCs w:val="27"/>
          <w:shd w:val="clear" w:color="auto" w:fill="FFFFFF"/>
        </w:rPr>
      </w:pPr>
    </w:p>
    <w:p w:rsidR="000C5186" w:rsidRDefault="003562B8" w:rsidP="00FA292B">
      <w:pPr>
        <w:spacing w:line="480" w:lineRule="atLeast"/>
        <w:ind w:firstLineChars="200" w:firstLine="480"/>
        <w:rPr>
          <w:rFonts w:ascii="宋体" w:eastAsia="宋体" w:hAnsi="宋体" w:cs="宋体"/>
          <w:kern w:val="0"/>
          <w:sz w:val="24"/>
          <w:shd w:val="clear" w:color="auto" w:fill="FFFFFF"/>
        </w:rPr>
      </w:pPr>
      <w:r>
        <w:rPr>
          <w:rFonts w:ascii="宋体" w:eastAsia="宋体" w:hAnsi="宋体" w:cs="宋体" w:hint="eastAsia"/>
          <w:sz w:val="24"/>
        </w:rPr>
        <w:t>第八条</w:t>
      </w:r>
      <w:r>
        <w:rPr>
          <w:rFonts w:ascii="宋体" w:eastAsia="宋体" w:hAnsi="宋体" w:cs="宋体" w:hint="eastAsia"/>
          <w:sz w:val="24"/>
          <w:shd w:val="clear" w:color="auto" w:fill="FFFFFF"/>
        </w:rPr>
        <w:t>企业应当具有与生产产品品种、数量相适应的生产设备设施，性能和</w:t>
      </w:r>
      <w:r>
        <w:rPr>
          <w:rFonts w:ascii="宋体" w:eastAsia="宋体" w:hAnsi="宋体" w:cs="宋体" w:hint="eastAsia"/>
          <w:sz w:val="24"/>
          <w:shd w:val="clear" w:color="auto" w:fill="FFFFFF"/>
        </w:rPr>
        <w:lastRenderedPageBreak/>
        <w:t>精度满足生产要求，便于操作、清洁、维护</w:t>
      </w:r>
      <w:r>
        <w:rPr>
          <w:rFonts w:ascii="宋体" w:eastAsia="宋体" w:hAnsi="宋体" w:cs="宋体" w:hint="eastAsia"/>
          <w:sz w:val="24"/>
        </w:rPr>
        <w:t>。</w:t>
      </w:r>
      <w:r>
        <w:rPr>
          <w:rFonts w:ascii="宋体" w:eastAsia="宋体" w:hAnsi="宋体" w:cs="宋体" w:hint="eastAsia"/>
          <w:kern w:val="0"/>
          <w:sz w:val="24"/>
          <w:shd w:val="clear" w:color="auto" w:fill="FFFFFF"/>
        </w:rPr>
        <w:t>其他食品（花生四烯酸油脂</w:t>
      </w:r>
      <w:r>
        <w:rPr>
          <w:rFonts w:ascii="宋体" w:eastAsia="宋体" w:hAnsi="宋体" w:cs="宋体"/>
          <w:kern w:val="0"/>
          <w:sz w:val="24"/>
          <w:shd w:val="clear" w:color="auto" w:fill="FFFFFF"/>
        </w:rPr>
        <w:t>）常规生产设备设施</w:t>
      </w:r>
      <w:r>
        <w:rPr>
          <w:rFonts w:ascii="宋体" w:eastAsia="宋体" w:hAnsi="宋体" w:cs="宋体" w:hint="eastAsia"/>
          <w:kern w:val="0"/>
          <w:sz w:val="24"/>
          <w:shd w:val="clear" w:color="auto" w:fill="FFFFFF"/>
        </w:rPr>
        <w:t>见表</w:t>
      </w: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w:t>
      </w:r>
    </w:p>
    <w:p w:rsidR="000C5186" w:rsidRDefault="000C5186">
      <w:pPr>
        <w:spacing w:line="480" w:lineRule="atLeast"/>
        <w:rPr>
          <w:rFonts w:ascii="宋体" w:eastAsia="宋体" w:hAnsi="宋体" w:cs="宋体"/>
          <w:kern w:val="0"/>
          <w:sz w:val="24"/>
          <w:shd w:val="clear" w:color="auto" w:fill="FFFFFF"/>
        </w:rPr>
      </w:pPr>
    </w:p>
    <w:p w:rsidR="000C5186" w:rsidRDefault="003562B8">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3  </w:t>
      </w:r>
      <w:r>
        <w:rPr>
          <w:rFonts w:ascii="宋体" w:eastAsia="宋体" w:hAnsi="宋体" w:cs="宋体" w:hint="eastAsia"/>
          <w:kern w:val="0"/>
          <w:sz w:val="24"/>
          <w:shd w:val="clear" w:color="auto" w:fill="FFFFFF"/>
        </w:rPr>
        <w:t>其他食品（花生四烯酸油脂</w:t>
      </w:r>
      <w:r>
        <w:rPr>
          <w:rFonts w:ascii="宋体" w:eastAsia="宋体" w:hAnsi="宋体" w:cs="宋体"/>
          <w:kern w:val="0"/>
          <w:sz w:val="24"/>
          <w:shd w:val="clear" w:color="auto" w:fill="FFFFFF"/>
        </w:rPr>
        <w:t>）常规生产设施设备</w:t>
      </w:r>
    </w:p>
    <w:tbl>
      <w:tblPr>
        <w:tblStyle w:val="aa"/>
        <w:tblW w:w="8522" w:type="dxa"/>
        <w:tblLayout w:type="fixed"/>
        <w:tblLook w:val="04A0"/>
      </w:tblPr>
      <w:tblGrid>
        <w:gridCol w:w="794"/>
        <w:gridCol w:w="873"/>
        <w:gridCol w:w="5105"/>
        <w:gridCol w:w="1750"/>
      </w:tblGrid>
      <w:tr w:rsidR="000C5186">
        <w:trPr>
          <w:trHeight w:val="567"/>
        </w:trPr>
        <w:tc>
          <w:tcPr>
            <w:tcW w:w="794"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873"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5105"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常规生产设备设施</w:t>
            </w:r>
          </w:p>
        </w:tc>
        <w:tc>
          <w:tcPr>
            <w:tcW w:w="1750"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设备设施类型</w:t>
            </w:r>
          </w:p>
        </w:tc>
      </w:tr>
      <w:tr w:rsidR="000C5186">
        <w:trPr>
          <w:trHeight w:val="567"/>
        </w:trPr>
        <w:tc>
          <w:tcPr>
            <w:tcW w:w="794" w:type="dxa"/>
            <w:vMerge w:val="restart"/>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873" w:type="dxa"/>
            <w:vMerge w:val="restart"/>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w:t>
            </w:r>
          </w:p>
        </w:tc>
        <w:tc>
          <w:tcPr>
            <w:tcW w:w="5105"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立式压力蒸汽灭菌器、超低温冰箱、超净工作台、生化培养箱、冰柜、恒温振荡培养箱、灭菌柜</w:t>
            </w:r>
          </w:p>
        </w:tc>
        <w:tc>
          <w:tcPr>
            <w:tcW w:w="1750"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菌种制备及培养设备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酵母粉配料罐</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培养基配制设备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一级种子罐、二级种子罐、发酵罐</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发酵设备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葡萄糖补料罐、油消毒罐、配碱罐、碱液消毒罐</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辅助设备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酶解罐</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酶解设备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离心机</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分离设备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密闭脱酸罐、脱色罐、脱臭罐</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精炼设备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热卸板框压滤机、叶滤机、袋式过滤器</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过滤设备</w:t>
            </w:r>
          </w:p>
        </w:tc>
      </w:tr>
      <w:tr w:rsidR="000C5186">
        <w:trPr>
          <w:trHeight w:val="567"/>
        </w:trPr>
        <w:tc>
          <w:tcPr>
            <w:tcW w:w="794" w:type="dxa"/>
            <w:vMerge/>
            <w:vAlign w:val="center"/>
          </w:tcPr>
          <w:p w:rsidR="000C5186" w:rsidRDefault="000C5186">
            <w:pPr>
              <w:widowControl/>
              <w:jc w:val="center"/>
              <w:rPr>
                <w:rFonts w:ascii="仿宋_GB2312" w:eastAsia="仿宋_GB2312" w:hAnsi="微软雅黑" w:cs="仿宋_GB2312"/>
                <w:kern w:val="0"/>
                <w:szCs w:val="21"/>
              </w:rPr>
            </w:pPr>
          </w:p>
        </w:tc>
        <w:tc>
          <w:tcPr>
            <w:tcW w:w="873" w:type="dxa"/>
            <w:vMerge/>
            <w:vAlign w:val="center"/>
          </w:tcPr>
          <w:p w:rsidR="000C5186" w:rsidRDefault="000C5186">
            <w:pPr>
              <w:widowControl/>
              <w:jc w:val="center"/>
              <w:rPr>
                <w:rFonts w:ascii="仿宋_GB2312" w:eastAsia="仿宋_GB2312" w:hAnsi="微软雅黑" w:cs="仿宋_GB2312"/>
                <w:kern w:val="0"/>
                <w:szCs w:val="21"/>
              </w:rPr>
            </w:pPr>
          </w:p>
        </w:tc>
        <w:tc>
          <w:tcPr>
            <w:tcW w:w="5105"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灌装机</w:t>
            </w:r>
          </w:p>
        </w:tc>
        <w:tc>
          <w:tcPr>
            <w:tcW w:w="1750"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灌装设备</w:t>
            </w:r>
          </w:p>
        </w:tc>
      </w:tr>
    </w:tbl>
    <w:p w:rsidR="000C5186" w:rsidRDefault="000C5186">
      <w:pPr>
        <w:spacing w:line="480" w:lineRule="atLeast"/>
        <w:rPr>
          <w:rFonts w:ascii="宋体" w:eastAsia="宋体" w:hAnsi="宋体" w:cs="宋体"/>
          <w:sz w:val="24"/>
          <w:shd w:val="clear" w:color="auto" w:fill="FFFFFF"/>
        </w:rPr>
      </w:pPr>
    </w:p>
    <w:p w:rsidR="000C5186" w:rsidRDefault="003562B8" w:rsidP="00FA292B">
      <w:pPr>
        <w:spacing w:line="480" w:lineRule="atLeast"/>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第九条内包装容器在使用前采用氮气吹扫进行处理。</w:t>
      </w:r>
    </w:p>
    <w:p w:rsidR="000C5186" w:rsidRDefault="003562B8" w:rsidP="00FA292B">
      <w:pPr>
        <w:spacing w:line="480" w:lineRule="atLeast"/>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第十条企业应当具备对生产设备、管道、周转桶等清洗消毒设施，及时进行清洗消毒，防止对产品造成污染。</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第十一条  生产车间入口处应设置更衣、换鞋设施。</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第十二条  菌种培养间、灌装间入口应设置二次更衣区，洗手、干手和消毒设施、换鞋设施。</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第十三条  生产</w:t>
      </w:r>
      <w:r>
        <w:rPr>
          <w:rFonts w:ascii="宋体" w:eastAsia="宋体" w:hAnsi="宋体" w:cs="宋体" w:hint="eastAsia"/>
          <w:kern w:val="0"/>
          <w:sz w:val="24"/>
          <w:shd w:val="clear" w:color="auto" w:fill="FFFFFF"/>
        </w:rPr>
        <w:t>其他食品（花生四烯酸油脂）</w:t>
      </w:r>
      <w:r>
        <w:rPr>
          <w:rFonts w:ascii="宋体" w:eastAsia="宋体" w:hAnsi="宋体" w:cs="宋体" w:hint="eastAsia"/>
          <w:sz w:val="24"/>
          <w:shd w:val="clear" w:color="auto" w:fill="FFFFFF"/>
        </w:rPr>
        <w:t>的清洁作业区空气洁净度静态时应当达到《食品工业洁净用房建筑技术规范》（GB 50687）中Ⅳ级要求，生产状态下企业每月至少对清洁作业区沉降菌按照标准要求监测1次。</w:t>
      </w:r>
    </w:p>
    <w:p w:rsidR="000C5186" w:rsidRDefault="003562B8">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第十四条  产品自行检验的，企业应当按照产品执行标准及检验管理制度中规定的检验项目配备满足原料、半成品、成品检验所需的检验设备设施，并确保检验设备的性能、精度满足检验要求。</w:t>
      </w:r>
      <w:r>
        <w:rPr>
          <w:rFonts w:ascii="宋体" w:eastAsia="宋体" w:hAnsi="宋体" w:cs="宋体" w:hint="eastAsia"/>
          <w:kern w:val="0"/>
          <w:sz w:val="24"/>
          <w:shd w:val="clear" w:color="auto" w:fill="FFFFFF"/>
        </w:rPr>
        <w:t>其他食品（花生四烯酸油脂）</w:t>
      </w:r>
      <w:r>
        <w:rPr>
          <w:rFonts w:ascii="宋体" w:eastAsia="宋体" w:hAnsi="宋体" w:cs="宋体" w:hint="eastAsia"/>
          <w:sz w:val="24"/>
          <w:shd w:val="clear" w:color="auto" w:fill="FFFFFF"/>
        </w:rPr>
        <w:t>常用检验设备见表4。</w:t>
      </w:r>
    </w:p>
    <w:p w:rsidR="000C5186" w:rsidRDefault="000C5186">
      <w:pPr>
        <w:widowControl/>
        <w:spacing w:line="360" w:lineRule="atLeast"/>
        <w:jc w:val="center"/>
        <w:rPr>
          <w:rFonts w:ascii="宋体" w:eastAsia="宋体" w:hAnsi="宋体" w:cs="宋体"/>
          <w:kern w:val="0"/>
          <w:sz w:val="24"/>
          <w:shd w:val="clear" w:color="auto" w:fill="FFFFFF"/>
        </w:rPr>
      </w:pPr>
    </w:p>
    <w:p w:rsidR="000C5186" w:rsidRDefault="000C5186">
      <w:pPr>
        <w:widowControl/>
        <w:spacing w:line="360" w:lineRule="atLeast"/>
        <w:jc w:val="center"/>
        <w:rPr>
          <w:rFonts w:ascii="宋体" w:eastAsia="宋体" w:hAnsi="宋体" w:cs="宋体"/>
          <w:kern w:val="0"/>
          <w:sz w:val="24"/>
          <w:shd w:val="clear" w:color="auto" w:fill="FFFFFF"/>
        </w:rPr>
      </w:pPr>
    </w:p>
    <w:p w:rsidR="000C5186" w:rsidRDefault="003562B8">
      <w:pPr>
        <w:widowControl/>
        <w:spacing w:line="360" w:lineRule="atLeast"/>
        <w:jc w:val="center"/>
        <w:rPr>
          <w:rFonts w:ascii="宋体" w:eastAsia="宋体" w:hAnsi="宋体" w:cs="宋体"/>
          <w:sz w:val="24"/>
          <w:shd w:val="clear" w:color="auto" w:fill="FFFFFF"/>
        </w:rPr>
      </w:pPr>
      <w:r>
        <w:rPr>
          <w:rFonts w:ascii="宋体" w:eastAsia="宋体" w:hAnsi="宋体" w:cs="宋体" w:hint="eastAsia"/>
          <w:kern w:val="0"/>
          <w:sz w:val="24"/>
          <w:shd w:val="clear" w:color="auto" w:fill="FFFFFF"/>
        </w:rPr>
        <w:t>表4  其他食品（花生四烯酸油脂）</w:t>
      </w:r>
      <w:r>
        <w:rPr>
          <w:rFonts w:ascii="宋体" w:eastAsia="宋体" w:hAnsi="宋体" w:cs="宋体" w:hint="eastAsia"/>
          <w:sz w:val="24"/>
          <w:shd w:val="clear" w:color="auto" w:fill="FFFFFF"/>
        </w:rPr>
        <w:t>常用检验设备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3"/>
        <w:gridCol w:w="2273"/>
        <w:gridCol w:w="3976"/>
      </w:tblGrid>
      <w:tr w:rsidR="000C5186">
        <w:trPr>
          <w:trHeight w:val="567"/>
          <w:jc w:val="center"/>
        </w:trPr>
        <w:tc>
          <w:tcPr>
            <w:tcW w:w="2273" w:type="dxa"/>
            <w:tcMar>
              <w:left w:w="108" w:type="dxa"/>
              <w:right w:w="108" w:type="dxa"/>
            </w:tcMar>
            <w:vAlign w:val="center"/>
          </w:tcPr>
          <w:p w:rsidR="000C5186" w:rsidRDefault="003562B8">
            <w:pPr>
              <w:spacing w:line="320" w:lineRule="exact"/>
              <w:jc w:val="center"/>
              <w:rPr>
                <w:rFonts w:ascii="黑体" w:eastAsia="黑体" w:hAnsi="微软雅黑" w:cs="黑体"/>
                <w:kern w:val="0"/>
                <w:szCs w:val="21"/>
              </w:rPr>
            </w:pPr>
            <w:r>
              <w:rPr>
                <w:rFonts w:ascii="黑体" w:eastAsia="黑体" w:hAnsi="微软雅黑" w:cs="黑体" w:hint="eastAsia"/>
                <w:kern w:val="0"/>
                <w:szCs w:val="21"/>
              </w:rPr>
              <w:t>检验项目</w:t>
            </w:r>
          </w:p>
        </w:tc>
        <w:tc>
          <w:tcPr>
            <w:tcW w:w="2273" w:type="dxa"/>
            <w:vAlign w:val="center"/>
          </w:tcPr>
          <w:p w:rsidR="000C5186" w:rsidRDefault="003562B8">
            <w:pPr>
              <w:spacing w:line="320" w:lineRule="exact"/>
              <w:jc w:val="center"/>
              <w:rPr>
                <w:rFonts w:ascii="黑体" w:eastAsia="黑体" w:hAnsi="微软雅黑" w:cs="黑体"/>
                <w:kern w:val="0"/>
                <w:szCs w:val="21"/>
              </w:rPr>
            </w:pPr>
            <w:r>
              <w:rPr>
                <w:rFonts w:ascii="黑体" w:eastAsia="黑体" w:hAnsi="微软雅黑" w:cs="黑体" w:hint="eastAsia"/>
                <w:kern w:val="0"/>
                <w:szCs w:val="21"/>
              </w:rPr>
              <w:t>检测方法</w:t>
            </w:r>
          </w:p>
        </w:tc>
        <w:tc>
          <w:tcPr>
            <w:tcW w:w="3976" w:type="dxa"/>
            <w:tcMar>
              <w:left w:w="108" w:type="dxa"/>
              <w:right w:w="108" w:type="dxa"/>
            </w:tcMar>
            <w:vAlign w:val="center"/>
          </w:tcPr>
          <w:p w:rsidR="000C5186" w:rsidRDefault="003562B8">
            <w:pPr>
              <w:spacing w:line="320" w:lineRule="exact"/>
              <w:jc w:val="center"/>
              <w:rPr>
                <w:rFonts w:ascii="黑体" w:eastAsia="黑体" w:hAnsi="微软雅黑" w:cs="黑体"/>
                <w:kern w:val="0"/>
                <w:szCs w:val="21"/>
              </w:rPr>
            </w:pPr>
            <w:r>
              <w:rPr>
                <w:rFonts w:ascii="黑体" w:eastAsia="黑体" w:hAnsi="微软雅黑" w:cs="黑体" w:hint="eastAsia"/>
                <w:kern w:val="0"/>
                <w:szCs w:val="21"/>
              </w:rPr>
              <w:t>设备</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含量（以C</w:t>
            </w:r>
            <w:r>
              <w:rPr>
                <w:rFonts w:ascii="仿宋_GB2312" w:eastAsia="仿宋_GB2312" w:hAnsi="微软雅黑" w:cs="仿宋_GB2312"/>
                <w:kern w:val="0"/>
                <w:szCs w:val="21"/>
                <w:vertAlign w:val="subscript"/>
              </w:rPr>
              <w:t>22</w:t>
            </w:r>
            <w:r>
              <w:rPr>
                <w:rFonts w:ascii="仿宋_GB2312" w:eastAsia="仿宋_GB2312" w:hAnsi="微软雅黑" w:cs="仿宋_GB2312"/>
                <w:kern w:val="0"/>
                <w:szCs w:val="21"/>
              </w:rPr>
              <w:t>H</w:t>
            </w:r>
            <w:r>
              <w:rPr>
                <w:rFonts w:ascii="仿宋_GB2312" w:eastAsia="仿宋_GB2312" w:hAnsi="微软雅黑" w:cs="仿宋_GB2312"/>
                <w:kern w:val="0"/>
                <w:szCs w:val="21"/>
                <w:vertAlign w:val="subscript"/>
              </w:rPr>
              <w:t>32</w:t>
            </w:r>
            <w:r>
              <w:rPr>
                <w:rFonts w:ascii="仿宋_GB2312" w:eastAsia="仿宋_GB2312" w:hAnsi="微软雅黑" w:cs="仿宋_GB2312"/>
                <w:kern w:val="0"/>
                <w:szCs w:val="21"/>
              </w:rPr>
              <w:t>O</w:t>
            </w:r>
            <w:r>
              <w:rPr>
                <w:rFonts w:ascii="仿宋_GB2312" w:eastAsia="仿宋_GB2312" w:hAnsi="微软雅黑" w:cs="仿宋_GB2312"/>
                <w:kern w:val="0"/>
                <w:szCs w:val="21"/>
                <w:vertAlign w:val="subscript"/>
              </w:rPr>
              <w:t>2</w:t>
            </w:r>
            <w:r>
              <w:rPr>
                <w:rFonts w:ascii="仿宋_GB2312" w:eastAsia="仿宋_GB2312" w:hAnsi="微软雅黑" w:cs="仿宋_GB2312"/>
                <w:kern w:val="0"/>
                <w:szCs w:val="21"/>
              </w:rPr>
              <w:t>甘油三脂计）</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26401附录A</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气相色谱仪</w:t>
            </w:r>
            <w:r>
              <w:rPr>
                <w:rFonts w:ascii="仿宋_GB2312" w:eastAsia="仿宋_GB2312" w:hAnsi="微软雅黑" w:cs="仿宋_GB2312"/>
                <w:kern w:val="0"/>
                <w:szCs w:val="21"/>
              </w:rPr>
              <w:t xml:space="preserve">(配 FID </w:t>
            </w:r>
            <w:r>
              <w:rPr>
                <w:rFonts w:ascii="仿宋_GB2312" w:eastAsia="仿宋_GB2312" w:hAnsi="微软雅黑" w:cs="仿宋_GB2312" w:hint="eastAsia"/>
                <w:kern w:val="0"/>
                <w:szCs w:val="21"/>
              </w:rPr>
              <w:t>检测器</w:t>
            </w:r>
            <w:r>
              <w:rPr>
                <w:rFonts w:ascii="仿宋_GB2312" w:eastAsia="仿宋_GB2312" w:hAnsi="微软雅黑" w:cs="仿宋_GB2312"/>
                <w:kern w:val="0"/>
                <w:szCs w:val="21"/>
              </w:rPr>
              <w:t>)、电子天平（0.1mg）、离心机、旋涡混合器</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反式脂肪酸</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5009.257</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气相色谱仪</w:t>
            </w:r>
            <w:r>
              <w:rPr>
                <w:rFonts w:ascii="仿宋_GB2312" w:eastAsia="仿宋_GB2312" w:hAnsi="微软雅黑" w:cs="仿宋_GB2312"/>
                <w:kern w:val="0"/>
                <w:szCs w:val="21"/>
              </w:rPr>
              <w:t xml:space="preserve">(配 FID </w:t>
            </w:r>
            <w:r>
              <w:rPr>
                <w:rFonts w:ascii="仿宋_GB2312" w:eastAsia="仿宋_GB2312" w:hAnsi="微软雅黑" w:cs="仿宋_GB2312" w:hint="eastAsia"/>
                <w:kern w:val="0"/>
                <w:szCs w:val="21"/>
              </w:rPr>
              <w:t>检测器</w:t>
            </w:r>
            <w:r>
              <w:rPr>
                <w:rFonts w:ascii="仿宋_GB2312" w:eastAsia="仿宋_GB2312" w:hAnsi="微软雅黑" w:cs="仿宋_GB2312"/>
                <w:kern w:val="0"/>
                <w:szCs w:val="21"/>
              </w:rPr>
              <w:t>)、电子天平（0.1mg）、离心机、旋涡混合器</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水分</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5009.3减压干燥法</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真空干燥箱、电子天平（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酸价（以</w:t>
            </w:r>
            <w:r>
              <w:rPr>
                <w:rFonts w:ascii="仿宋_GB2312" w:eastAsia="仿宋_GB2312" w:hAnsi="微软雅黑" w:cs="仿宋_GB2312"/>
                <w:kern w:val="0"/>
                <w:szCs w:val="21"/>
              </w:rPr>
              <w:t>KOH计）</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5009.229</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过氧化值</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5009.227</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不皂化物</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GB/T 5535.1乙醚提取法</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恒温水浴锅、鼓风干燥箱、电子天平（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不溶性杂质</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GB/T 15688</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0.1mg）、真空泵</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蛋白酶制剂</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GB/T 23527.1</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活性炭</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1886.255</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聚氧乙烯聚氧丙烯季戊四醇醚</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30609</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卡尔</w:t>
            </w:r>
            <w:r>
              <w:rPr>
                <w:rFonts w:ascii="仿宋_GB2312" w:eastAsia="仿宋_GB2312" w:hAnsi="微软雅黑" w:cs="仿宋_GB2312"/>
                <w:kern w:val="0"/>
                <w:szCs w:val="21"/>
              </w:rPr>
              <w:t>·</w:t>
            </w:r>
            <w:r>
              <w:rPr>
                <w:rFonts w:ascii="仿宋_GB2312" w:eastAsia="仿宋_GB2312" w:hAnsi="微软雅黑" w:cs="仿宋_GB2312"/>
                <w:kern w:val="0"/>
                <w:szCs w:val="21"/>
              </w:rPr>
              <w:t>费休水分测定仪</w:t>
            </w: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p>
        </w:tc>
      </w:tr>
      <w:tr w:rsidR="000C5186">
        <w:trPr>
          <w:trHeight w:val="567"/>
          <w:jc w:val="center"/>
        </w:trPr>
        <w:tc>
          <w:tcPr>
            <w:tcW w:w="2273"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二氧化硅</w:t>
            </w:r>
          </w:p>
        </w:tc>
        <w:tc>
          <w:tcPr>
            <w:tcW w:w="2273" w:type="dxa"/>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kern w:val="0"/>
                <w:szCs w:val="21"/>
              </w:rPr>
              <w:t>GB 25576</w:t>
            </w:r>
          </w:p>
        </w:tc>
        <w:tc>
          <w:tcPr>
            <w:tcW w:w="3976" w:type="dxa"/>
            <w:tcMar>
              <w:left w:w="108" w:type="dxa"/>
              <w:right w:w="108" w:type="dxa"/>
            </w:tcMar>
            <w:vAlign w:val="center"/>
          </w:tcPr>
          <w:p w:rsidR="000C5186" w:rsidRDefault="003562B8">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p>
        </w:tc>
      </w:tr>
    </w:tbl>
    <w:p w:rsidR="000C5186" w:rsidRDefault="003562B8">
      <w:pPr>
        <w:pStyle w:val="ab"/>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lastRenderedPageBreak/>
        <w:t>设备布局和工艺流程</w:t>
      </w:r>
    </w:p>
    <w:p w:rsidR="000C5186" w:rsidRDefault="000C5186">
      <w:pPr>
        <w:pStyle w:val="ab"/>
        <w:spacing w:line="480" w:lineRule="exact"/>
        <w:ind w:left="1276" w:firstLineChars="0" w:firstLine="0"/>
        <w:rPr>
          <w:rFonts w:ascii="黑体" w:eastAsia="黑体" w:hAnsi="宋体" w:cs="黑体"/>
          <w:kern w:val="0"/>
          <w:sz w:val="27"/>
          <w:szCs w:val="27"/>
          <w:shd w:val="clear" w:color="auto" w:fill="FFFFFF"/>
        </w:rPr>
      </w:pP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第十</w:t>
      </w:r>
      <w:r>
        <w:rPr>
          <w:rFonts w:ascii="宋体" w:eastAsia="宋体" w:hAnsi="宋体" w:cs="宋体" w:hint="eastAsia"/>
          <w:sz w:val="24"/>
          <w:shd w:val="clear" w:color="auto" w:fill="FFFFFF"/>
        </w:rPr>
        <w:t>五条应当具备合理的生产设备布局和工艺流程，避免交叉污染。</w:t>
      </w:r>
    </w:p>
    <w:p w:rsidR="000C5186" w:rsidRDefault="003562B8">
      <w:pPr>
        <w:spacing w:line="480" w:lineRule="atLeas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    第十六条  应当根据产品特性、质量要求、风险控制等因素确定关键控制环节。其他食品（花生四烯酸油脂）生产常规工艺流程与关键控制环节见表5。</w:t>
      </w:r>
    </w:p>
    <w:p w:rsidR="000C5186" w:rsidRDefault="003562B8">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表5  其他食品（花生四烯酸油脂）生产常规工艺流程与关键控制环节</w:t>
      </w:r>
    </w:p>
    <w:tbl>
      <w:tblPr>
        <w:tblStyle w:val="aa"/>
        <w:tblW w:w="8784" w:type="dxa"/>
        <w:tblLayout w:type="fixed"/>
        <w:tblLook w:val="04A0"/>
      </w:tblPr>
      <w:tblGrid>
        <w:gridCol w:w="1212"/>
        <w:gridCol w:w="1244"/>
        <w:gridCol w:w="3635"/>
        <w:gridCol w:w="2693"/>
      </w:tblGrid>
      <w:tr w:rsidR="000C5186">
        <w:trPr>
          <w:trHeight w:val="567"/>
        </w:trPr>
        <w:tc>
          <w:tcPr>
            <w:tcW w:w="1212" w:type="dxa"/>
            <w:vAlign w:val="center"/>
          </w:tcPr>
          <w:p w:rsidR="000C5186" w:rsidRDefault="003562B8">
            <w:pPr>
              <w:widowControl/>
              <w:spacing w:line="320" w:lineRule="exact"/>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244" w:type="dxa"/>
            <w:vAlign w:val="center"/>
          </w:tcPr>
          <w:p w:rsidR="000C5186" w:rsidRDefault="003562B8">
            <w:pPr>
              <w:widowControl/>
              <w:spacing w:line="320" w:lineRule="exact"/>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3635" w:type="dxa"/>
            <w:vAlign w:val="center"/>
          </w:tcPr>
          <w:p w:rsidR="000C5186" w:rsidRDefault="003562B8">
            <w:pPr>
              <w:widowControl/>
              <w:spacing w:line="320" w:lineRule="exact"/>
              <w:jc w:val="center"/>
              <w:rPr>
                <w:rFonts w:ascii="黑体" w:eastAsia="黑体" w:hAnsi="微软雅黑" w:cs="黑体"/>
                <w:kern w:val="0"/>
                <w:szCs w:val="21"/>
              </w:rPr>
            </w:pPr>
            <w:r>
              <w:rPr>
                <w:rFonts w:ascii="黑体" w:eastAsia="黑体" w:hAnsi="微软雅黑" w:cs="黑体" w:hint="eastAsia"/>
                <w:kern w:val="0"/>
                <w:szCs w:val="21"/>
              </w:rPr>
              <w:t>常规工艺流程图</w:t>
            </w:r>
          </w:p>
        </w:tc>
        <w:tc>
          <w:tcPr>
            <w:tcW w:w="2693" w:type="dxa"/>
            <w:vAlign w:val="center"/>
          </w:tcPr>
          <w:p w:rsidR="000C5186" w:rsidRDefault="003562B8">
            <w:pPr>
              <w:widowControl/>
              <w:spacing w:line="320" w:lineRule="exact"/>
              <w:jc w:val="center"/>
              <w:rPr>
                <w:rFonts w:ascii="黑体" w:eastAsia="黑体" w:hAnsi="微软雅黑" w:cs="黑体"/>
                <w:kern w:val="0"/>
                <w:szCs w:val="21"/>
              </w:rPr>
            </w:pPr>
            <w:r>
              <w:rPr>
                <w:rFonts w:ascii="黑体" w:eastAsia="黑体" w:hAnsi="微软雅黑" w:cs="黑体" w:hint="eastAsia"/>
                <w:kern w:val="0"/>
                <w:szCs w:val="21"/>
              </w:rPr>
              <w:t>关键控制环节</w:t>
            </w:r>
          </w:p>
        </w:tc>
      </w:tr>
      <w:tr w:rsidR="000C5186">
        <w:trPr>
          <w:trHeight w:val="567"/>
        </w:trPr>
        <w:tc>
          <w:tcPr>
            <w:tcW w:w="1212" w:type="dxa"/>
            <w:vAlign w:val="center"/>
          </w:tcPr>
          <w:p w:rsidR="000C5186" w:rsidRDefault="003562B8">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244" w:type="dxa"/>
            <w:vAlign w:val="center"/>
          </w:tcPr>
          <w:p w:rsidR="000C5186" w:rsidRDefault="003562B8">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w:t>
            </w:r>
          </w:p>
        </w:tc>
        <w:tc>
          <w:tcPr>
            <w:tcW w:w="3635" w:type="dxa"/>
            <w:vAlign w:val="center"/>
          </w:tcPr>
          <w:p w:rsidR="000C5186" w:rsidRDefault="003562B8">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菌种（高山被孢霉）→生物发酵（添加</w:t>
            </w:r>
            <w:r>
              <w:rPr>
                <w:rFonts w:ascii="仿宋_GB2312" w:eastAsia="仿宋_GB2312" w:hAnsi="微软雅黑" w:cs="仿宋_GB2312"/>
                <w:kern w:val="0"/>
                <w:szCs w:val="21"/>
              </w:rPr>
              <w:t>聚氧乙烯聚氧丙烯季戊四醇醚</w:t>
            </w:r>
            <w:r>
              <w:rPr>
                <w:rFonts w:ascii="仿宋_GB2312" w:eastAsia="仿宋_GB2312" w:hAnsi="微软雅黑" w:cs="仿宋_GB2312" w:hint="eastAsia"/>
                <w:kern w:val="0"/>
                <w:szCs w:val="21"/>
              </w:rPr>
              <w:t>（消泡））→过滤→酶解（添加蛋白酶）→分离→精炼（脱胶脱酸→脱色（添加二氧化硅和活性炭）→脱臭）→过滤→灌装</w:t>
            </w:r>
          </w:p>
        </w:tc>
        <w:tc>
          <w:tcPr>
            <w:tcW w:w="2693" w:type="dxa"/>
            <w:vAlign w:val="center"/>
          </w:tcPr>
          <w:p w:rsidR="000C5186" w:rsidRDefault="003562B8">
            <w:pPr>
              <w:pStyle w:val="ab"/>
              <w:widowControl/>
              <w:numPr>
                <w:ilvl w:val="0"/>
                <w:numId w:val="2"/>
              </w:numPr>
              <w:ind w:left="357" w:firstLineChars="0" w:hanging="357"/>
              <w:rPr>
                <w:rFonts w:ascii="仿宋_GB2312" w:eastAsia="仿宋_GB2312" w:hAnsi="微软雅黑" w:cs="仿宋_GB2312"/>
                <w:kern w:val="0"/>
                <w:szCs w:val="21"/>
              </w:rPr>
            </w:pPr>
            <w:r>
              <w:rPr>
                <w:rFonts w:ascii="仿宋_GB2312" w:eastAsia="仿宋_GB2312" w:hAnsi="微软雅黑" w:cs="仿宋_GB2312" w:hint="eastAsia"/>
                <w:kern w:val="0"/>
                <w:szCs w:val="21"/>
              </w:rPr>
              <w:t>离心温度和流量控制；</w:t>
            </w:r>
          </w:p>
          <w:p w:rsidR="000C5186" w:rsidRDefault="003562B8">
            <w:pPr>
              <w:pStyle w:val="ab"/>
              <w:widowControl/>
              <w:numPr>
                <w:ilvl w:val="0"/>
                <w:numId w:val="2"/>
              </w:numPr>
              <w:spacing w:line="300" w:lineRule="atLeast"/>
              <w:ind w:firstLineChars="0"/>
              <w:rPr>
                <w:rFonts w:ascii="仿宋_GB2312" w:eastAsia="仿宋_GB2312" w:hAnsi="微软雅黑" w:cs="仿宋_GB2312"/>
                <w:kern w:val="0"/>
                <w:szCs w:val="21"/>
              </w:rPr>
            </w:pPr>
            <w:r>
              <w:rPr>
                <w:rFonts w:ascii="仿宋_GB2312" w:eastAsia="仿宋_GB2312" w:hAnsi="微软雅黑" w:cs="仿宋_GB2312" w:hint="eastAsia"/>
                <w:kern w:val="0"/>
                <w:szCs w:val="21"/>
              </w:rPr>
              <w:t>脱臭过程中温度、时间和压力控制；</w:t>
            </w:r>
          </w:p>
          <w:p w:rsidR="000C5186" w:rsidRDefault="003562B8">
            <w:pPr>
              <w:pStyle w:val="ab"/>
              <w:widowControl/>
              <w:numPr>
                <w:ilvl w:val="0"/>
                <w:numId w:val="2"/>
              </w:numPr>
              <w:ind w:firstLineChars="0"/>
              <w:jc w:val="left"/>
              <w:rPr>
                <w:rFonts w:ascii="仿宋_GB2312" w:eastAsia="仿宋_GB2312" w:hAnsi="微软雅黑" w:cs="仿宋_GB2312"/>
                <w:kern w:val="0"/>
                <w:szCs w:val="21"/>
              </w:rPr>
            </w:pPr>
            <w:r>
              <w:rPr>
                <w:rFonts w:ascii="仿宋_GB2312" w:eastAsia="仿宋_GB2312" w:hAnsi="微软雅黑" w:cs="仿宋_GB2312" w:hint="eastAsia"/>
                <w:kern w:val="0"/>
                <w:szCs w:val="21"/>
              </w:rPr>
              <w:t>灌装前过滤控制。</w:t>
            </w:r>
          </w:p>
        </w:tc>
      </w:tr>
    </w:tbl>
    <w:p w:rsidR="000C5186" w:rsidRDefault="000C5186">
      <w:pPr>
        <w:spacing w:line="480" w:lineRule="atLeast"/>
        <w:jc w:val="left"/>
        <w:rPr>
          <w:rFonts w:ascii="宋体" w:eastAsia="宋体" w:hAnsi="宋体" w:cs="宋体"/>
          <w:sz w:val="24"/>
          <w:shd w:val="clear" w:color="auto" w:fill="FFFFFF"/>
        </w:rPr>
      </w:pP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第十七条  </w:t>
      </w:r>
      <w:r>
        <w:rPr>
          <w:rFonts w:ascii="宋体" w:eastAsia="宋体" w:hAnsi="宋体" w:cs="宋体" w:hint="eastAsia"/>
          <w:kern w:val="0"/>
          <w:sz w:val="24"/>
          <w:shd w:val="clear" w:color="auto" w:fill="FFFFFF"/>
        </w:rPr>
        <w:t>花生四烯酸油脂</w:t>
      </w:r>
      <w:r>
        <w:rPr>
          <w:rFonts w:ascii="宋体" w:eastAsia="宋体" w:hAnsi="宋体" w:cs="宋体" w:hint="eastAsia"/>
          <w:sz w:val="24"/>
          <w:shd w:val="clear" w:color="auto" w:fill="FFFFFF"/>
        </w:rPr>
        <w:t>生产过程中，离心时，温度控制在85~95℃，流量</w:t>
      </w:r>
      <w:r>
        <w:rPr>
          <w:rFonts w:ascii="宋体" w:eastAsia="宋体" w:hAnsi="宋体" w:cs="宋体"/>
          <w:sz w:val="24"/>
          <w:shd w:val="clear" w:color="auto" w:fill="FFFFFF"/>
        </w:rPr>
        <w:t>1.5</w:t>
      </w:r>
      <w:r>
        <w:rPr>
          <w:rFonts w:ascii="宋体" w:eastAsia="宋体" w:hAnsi="宋体" w:cs="宋体" w:hint="eastAsia"/>
          <w:sz w:val="24"/>
          <w:shd w:val="clear" w:color="auto" w:fill="FFFFFF"/>
        </w:rPr>
        <w:t>~3.0</w:t>
      </w:r>
      <w:r>
        <w:rPr>
          <w:rFonts w:ascii="宋体" w:eastAsia="宋体" w:hAnsi="宋体" w:cs="宋体"/>
          <w:sz w:val="24"/>
          <w:shd w:val="clear" w:color="auto" w:fill="FFFFFF"/>
        </w:rPr>
        <w:t xml:space="preserve"> m</w:t>
      </w:r>
      <w:r>
        <w:rPr>
          <w:rFonts w:ascii="宋体" w:eastAsia="宋体" w:hAnsi="宋体" w:cs="宋体"/>
          <w:sz w:val="24"/>
          <w:shd w:val="clear" w:color="auto" w:fill="FFFFFF"/>
          <w:vertAlign w:val="superscript"/>
        </w:rPr>
        <w:t>3</w:t>
      </w:r>
      <w:r>
        <w:rPr>
          <w:rFonts w:ascii="宋体" w:eastAsia="宋体" w:hAnsi="宋体" w:cs="宋体"/>
          <w:sz w:val="24"/>
          <w:shd w:val="clear" w:color="auto" w:fill="FFFFFF"/>
        </w:rPr>
        <w:t>/h</w:t>
      </w:r>
      <w:r>
        <w:rPr>
          <w:rFonts w:ascii="宋体" w:eastAsia="宋体" w:hAnsi="宋体" w:cs="宋体" w:hint="eastAsia"/>
          <w:sz w:val="24"/>
          <w:shd w:val="clear" w:color="auto" w:fill="FFFFFF"/>
        </w:rPr>
        <w:t>；脱臭温度需控制在</w:t>
      </w:r>
      <w:r>
        <w:rPr>
          <w:rFonts w:ascii="宋体" w:eastAsia="宋体" w:hAnsi="宋体" w:cs="宋体"/>
          <w:sz w:val="24"/>
          <w:shd w:val="clear" w:color="auto" w:fill="FFFFFF"/>
        </w:rPr>
        <w:t>185～200℃</w:t>
      </w:r>
      <w:r>
        <w:rPr>
          <w:rFonts w:ascii="宋体" w:eastAsia="宋体" w:hAnsi="宋体" w:cs="宋体" w:hint="eastAsia"/>
          <w:sz w:val="24"/>
          <w:shd w:val="clear" w:color="auto" w:fill="FFFFFF"/>
        </w:rPr>
        <w:t>，保温</w:t>
      </w:r>
      <w:r>
        <w:rPr>
          <w:rFonts w:ascii="宋体" w:eastAsia="宋体" w:hAnsi="宋体" w:cs="宋体"/>
          <w:sz w:val="24"/>
          <w:shd w:val="clear" w:color="auto" w:fill="FFFFFF"/>
        </w:rPr>
        <w:t>90～180min，</w:t>
      </w:r>
      <w:r>
        <w:rPr>
          <w:rFonts w:ascii="宋体" w:eastAsia="宋体" w:hAnsi="宋体" w:cs="宋体" w:hint="eastAsia"/>
          <w:sz w:val="24"/>
          <w:shd w:val="clear" w:color="auto" w:fill="FFFFFF"/>
        </w:rPr>
        <w:t>并控制压力在</w:t>
      </w:r>
      <w:r>
        <w:rPr>
          <w:rFonts w:ascii="宋体" w:eastAsia="宋体" w:hAnsi="宋体" w:cs="宋体"/>
          <w:sz w:val="24"/>
          <w:shd w:val="clear" w:color="auto" w:fill="FFFFFF"/>
        </w:rPr>
        <w:t>650Pa以下</w:t>
      </w:r>
      <w:r>
        <w:rPr>
          <w:rFonts w:ascii="宋体" w:eastAsia="宋体" w:hAnsi="宋体" w:cs="宋体" w:hint="eastAsia"/>
          <w:sz w:val="24"/>
          <w:shd w:val="clear" w:color="auto" w:fill="FFFFFF"/>
        </w:rPr>
        <w:t>；产品在罐装前，应检查过滤器滤袋完整性，过滤器过滤精度为</w:t>
      </w:r>
      <w:r>
        <w:rPr>
          <w:rFonts w:ascii="宋体" w:eastAsia="宋体" w:hAnsi="宋体" w:cs="宋体"/>
          <w:sz w:val="24"/>
          <w:shd w:val="clear" w:color="auto" w:fill="FFFFFF"/>
        </w:rPr>
        <w:t>1um</w:t>
      </w:r>
      <w:r>
        <w:rPr>
          <w:rFonts w:ascii="宋体" w:eastAsia="宋体" w:hAnsi="宋体" w:cs="宋体" w:hint="eastAsia"/>
          <w:sz w:val="24"/>
          <w:shd w:val="clear" w:color="auto" w:fill="FFFFFF"/>
        </w:rPr>
        <w:t>。</w:t>
      </w:r>
    </w:p>
    <w:p w:rsidR="000C5186" w:rsidRDefault="000C5186">
      <w:pPr>
        <w:spacing w:line="480" w:lineRule="atLeast"/>
        <w:jc w:val="left"/>
        <w:rPr>
          <w:rFonts w:ascii="宋体" w:eastAsia="宋体" w:hAnsi="宋体" w:cs="宋体"/>
          <w:sz w:val="24"/>
          <w:shd w:val="clear" w:color="auto" w:fill="FFFFFF"/>
        </w:rPr>
      </w:pPr>
    </w:p>
    <w:p w:rsidR="000C5186" w:rsidRDefault="003562B8">
      <w:pPr>
        <w:pStyle w:val="ab"/>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人员管理</w:t>
      </w:r>
    </w:p>
    <w:p w:rsidR="000C5186" w:rsidRDefault="000C5186">
      <w:pPr>
        <w:pStyle w:val="ab"/>
        <w:spacing w:line="480" w:lineRule="exact"/>
        <w:ind w:left="1276" w:firstLineChars="0" w:firstLine="0"/>
        <w:rPr>
          <w:rFonts w:ascii="黑体" w:eastAsia="黑体" w:hAnsi="宋体" w:cs="黑体"/>
          <w:kern w:val="0"/>
          <w:sz w:val="27"/>
          <w:szCs w:val="27"/>
          <w:shd w:val="clear" w:color="auto" w:fill="FFFFFF"/>
        </w:rPr>
      </w:pP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第十八条  应当配备食品安全管理人员、食品安全专业技术人员和检验人员。</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食品安全管理人员应当掌握食品安全法律法规、其他食品相关标准及生产加工专业知识，具备食品安全管理能力。</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食品安全专业技术人员应当掌握产品生产工艺操作规程，熟练操作生产设备设施。</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检验人员应当具有食品化学或相关专业知识，经专业培训合格。检验人员数</w:t>
      </w:r>
      <w:r>
        <w:rPr>
          <w:rFonts w:ascii="宋体" w:eastAsia="宋体" w:hAnsi="宋体" w:cs="宋体" w:hint="eastAsia"/>
          <w:sz w:val="24"/>
          <w:shd w:val="clear" w:color="auto" w:fill="FFFFFF"/>
        </w:rPr>
        <w:lastRenderedPageBreak/>
        <w:t>量应当满足企业检验需求。</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第十九条  从事接触直接入口食品工作的人员应当每年进行健康检查，取得健康证明后方可上岗工作。患有国务院卫生行政部门规定的有碍食品安全疾病的人员，不得从事接触直接入口食品的工作。</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第二十条  企业应当建立培训与考核制度，制定培训计划，培训的内容应当与岗位相适应。食品安全管理、专业技术、检验等与质量安全相关岗位的人员应当定期培训和考核，不具备能力的不得上岗。</w:t>
      </w:r>
    </w:p>
    <w:p w:rsidR="000C5186" w:rsidRDefault="000C5186">
      <w:pPr>
        <w:spacing w:line="480" w:lineRule="atLeast"/>
        <w:jc w:val="left"/>
        <w:rPr>
          <w:rFonts w:ascii="宋体" w:eastAsia="宋体" w:hAnsi="宋体" w:cs="宋体"/>
          <w:sz w:val="24"/>
          <w:shd w:val="clear" w:color="auto" w:fill="FFFFFF"/>
        </w:rPr>
      </w:pPr>
    </w:p>
    <w:p w:rsidR="000C5186" w:rsidRDefault="003562B8">
      <w:pPr>
        <w:pStyle w:val="ab"/>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管理制度</w:t>
      </w:r>
    </w:p>
    <w:p w:rsidR="000C5186" w:rsidRDefault="000C5186">
      <w:pPr>
        <w:spacing w:line="480" w:lineRule="atLeast"/>
        <w:jc w:val="left"/>
        <w:rPr>
          <w:rFonts w:ascii="宋体" w:eastAsia="宋体" w:hAnsi="宋体" w:cs="宋体"/>
          <w:sz w:val="24"/>
          <w:shd w:val="clear" w:color="auto" w:fill="FFFFFF"/>
        </w:rPr>
      </w:pP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第二十一条  建立原辅料采购管理制度，保证采购的原辅料应当符合国家法律法规和食品安全标准要求。</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第二十二条  主要原辅料供应商应当相对固定，并签订质量协议，在协议中明确双方所承担的质量责任及供应商采收后的存储及产品防护要求。</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第二十三条  建立原辅料供应商审核制度，定期对主要原辅料供应商进行评价、考核，确定合格供应商名单。对原辅料供应商的审核至少应当包括：供应商的资质，原辅料工艺、价格和质量安全状况等。</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第二十四条  建立食品原辅料、食品相关产品验收规范及进货查验记录制度，根据原料特性、风险因素等确定验收项目和要求。</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第二十五条</w:t>
      </w:r>
      <w:r>
        <w:rPr>
          <w:rFonts w:ascii="宋体" w:eastAsia="宋体" w:hAnsi="宋体" w:cs="宋体"/>
          <w:sz w:val="24"/>
          <w:shd w:val="clear" w:color="auto" w:fill="FFFFFF"/>
        </w:rPr>
        <w:t xml:space="preserve">  建立生产过程控制制度，明确原料控制(如领料、投料等)、生产关键环节控制(如脱臭工序等)、检验控制(如原</w:t>
      </w:r>
      <w:r>
        <w:rPr>
          <w:rFonts w:ascii="宋体" w:eastAsia="宋体" w:hAnsi="宋体" w:cs="宋体" w:hint="eastAsia"/>
          <w:sz w:val="24"/>
          <w:shd w:val="clear" w:color="auto" w:fill="FFFFFF"/>
        </w:rPr>
        <w:t>辅</w:t>
      </w:r>
      <w:r>
        <w:rPr>
          <w:rFonts w:ascii="宋体" w:eastAsia="宋体" w:hAnsi="宋体" w:cs="宋体"/>
          <w:sz w:val="24"/>
          <w:shd w:val="clear" w:color="auto" w:fill="FFFFFF"/>
        </w:rPr>
        <w:t>料检验、</w:t>
      </w:r>
      <w:r>
        <w:rPr>
          <w:rFonts w:ascii="宋体" w:eastAsia="宋体" w:hAnsi="宋体" w:cs="宋体" w:hint="eastAsia"/>
          <w:sz w:val="24"/>
          <w:shd w:val="clear" w:color="auto" w:fill="FFFFFF"/>
        </w:rPr>
        <w:t>中间体</w:t>
      </w:r>
      <w:r>
        <w:rPr>
          <w:rFonts w:ascii="宋体" w:eastAsia="宋体" w:hAnsi="宋体" w:cs="宋体"/>
          <w:sz w:val="24"/>
          <w:shd w:val="clear" w:color="auto" w:fill="FFFFFF"/>
        </w:rPr>
        <w:t>检验、成品出厂检验等)以及运输和交付控制的相关要求。</w:t>
      </w:r>
    </w:p>
    <w:p w:rsidR="000C5186" w:rsidRDefault="003562B8" w:rsidP="00FA292B">
      <w:pPr>
        <w:spacing w:line="480" w:lineRule="atLeast"/>
        <w:ind w:firstLineChars="200"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第二十六条  建立生产设备管理制度，制定设备、容器具的清洗消毒管理要求，定期维护保养做好记录，出现故障应当及时排除。</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第二十七条  建立产品出厂检验管理制度，综合考虑产品特性、工艺特点、原料控制等因素，明确出厂检验项目、批次、频次和检验要求。当执行的标准列出出厂检验项目及要求的，应当按标准规定执行。</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其他食品（花生四烯酸油脂</w:t>
      </w:r>
      <w:r>
        <w:rPr>
          <w:rFonts w:ascii="宋体" w:eastAsia="宋体" w:hAnsi="宋体" w:cs="宋体"/>
          <w:sz w:val="24"/>
          <w:shd w:val="clear" w:color="auto" w:fill="FFFFFF"/>
        </w:rPr>
        <w:t>）</w:t>
      </w:r>
      <w:r>
        <w:rPr>
          <w:rFonts w:ascii="宋体" w:eastAsia="宋体" w:hAnsi="宋体" w:cs="宋体" w:hint="eastAsia"/>
          <w:sz w:val="24"/>
          <w:shd w:val="clear" w:color="auto" w:fill="FFFFFF"/>
        </w:rPr>
        <w:t>的检验项目和方法见附件2。</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第二十八条  企业产品出厂检验可自行检验，也可委托具有检验资质的第三</w:t>
      </w:r>
      <w:r>
        <w:rPr>
          <w:rFonts w:ascii="宋体" w:eastAsia="宋体" w:hAnsi="宋体" w:cs="宋体" w:hint="eastAsia"/>
          <w:sz w:val="24"/>
          <w:shd w:val="clear" w:color="auto" w:fill="FFFFFF"/>
        </w:rPr>
        <w:lastRenderedPageBreak/>
        <w:t>方检测机构进行检验。企业自行检验的，应当具备相应的检验能力，每年至少进行1 次全项目检验能力验证。</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检验管理制度应规定型式检验的要求，每年至少进行</w:t>
      </w:r>
      <w:r>
        <w:rPr>
          <w:rFonts w:ascii="宋体" w:eastAsia="宋体" w:hAnsi="宋体" w:cs="宋体"/>
          <w:sz w:val="24"/>
          <w:shd w:val="clear" w:color="auto" w:fill="FFFFFF"/>
        </w:rPr>
        <w:t>1次，</w:t>
      </w:r>
      <w:r>
        <w:rPr>
          <w:rFonts w:ascii="宋体" w:eastAsia="宋体" w:hAnsi="宋体" w:cs="宋体" w:hint="eastAsia"/>
          <w:sz w:val="24"/>
          <w:shd w:val="clear" w:color="auto" w:fill="FFFFFF"/>
        </w:rPr>
        <w:t>原料来源发生改变可能影响产品质量时</w:t>
      </w:r>
      <w:r>
        <w:rPr>
          <w:rFonts w:ascii="宋体" w:eastAsia="宋体" w:hAnsi="宋体" w:cs="宋体"/>
          <w:sz w:val="24"/>
          <w:shd w:val="clear" w:color="auto" w:fill="FFFFFF"/>
        </w:rPr>
        <w:t>、</w:t>
      </w:r>
      <w:r>
        <w:rPr>
          <w:rFonts w:ascii="宋体" w:eastAsia="宋体" w:hAnsi="宋体" w:cs="宋体" w:hint="eastAsia"/>
          <w:sz w:val="24"/>
          <w:shd w:val="clear" w:color="auto" w:fill="FFFFFF"/>
        </w:rPr>
        <w:t>停产半年以上恢复生产前、出厂检验结果与正常生产有较大差别时，或食品安全监督部门提出要求时，应及时进行型式检验。</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第二十九条  建立产品留样制度，产品留样区应当满足产品贮存条件要求，留样数量应当满足复检要求，产品留样应当保存至保质期满并有记录。</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第三十条  建立产品追溯制度，如实记录原料验收、生产加工、产品检验、出厂销售等全过程信息，实现产品有效追溯。</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企业应当合理设定产品批次，建立批生产记录。产品批生产记录应当如实记录投料的原料名称、投料数量、产品批号、投料日期等信息。</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记录内容应当完整、真实、准确，记录保存时限不得少于产品保质期满后6个月。</w:t>
      </w:r>
    </w:p>
    <w:p w:rsidR="00FA292B" w:rsidRDefault="003562B8" w:rsidP="00FA292B">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第三十一条  建立食品标签审核制度，产品标签应当符合法律法规及食品安全标准等规定，反映产品真实属性。产品标签应当符合以下要求：</w:t>
      </w:r>
    </w:p>
    <w:p w:rsidR="00FA292B" w:rsidRDefault="003562B8" w:rsidP="00FA292B">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（一）花生四烯酸油脂产品的标签中凡有明示或暗示具有防止疾病作用</w:t>
      </w:r>
      <w:r>
        <w:rPr>
          <w:rFonts w:ascii="宋体" w:eastAsia="宋体" w:hAnsi="宋体" w:cs="宋体"/>
          <w:sz w:val="24"/>
          <w:shd w:val="clear" w:color="auto" w:fill="FFFFFF"/>
        </w:rPr>
        <w:t>:有虚假、夸大，使消费者误解或者欺骗性的文字、图形；有法律法规及标准规范禁止标注内容的，不予行政许可。</w:t>
      </w:r>
    </w:p>
    <w:p w:rsidR="00FA292B" w:rsidRDefault="003562B8" w:rsidP="00FA292B">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（二）产品名称应符合备案标准的规定。</w:t>
      </w:r>
    </w:p>
    <w:p w:rsidR="000C5186" w:rsidRDefault="003562B8" w:rsidP="00FA292B">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（三）产品标签应符合</w:t>
      </w:r>
      <w:r>
        <w:rPr>
          <w:rFonts w:ascii="宋体" w:eastAsia="宋体" w:hAnsi="宋体" w:cs="宋体"/>
          <w:sz w:val="24"/>
          <w:shd w:val="clear" w:color="auto" w:fill="FFFFFF"/>
        </w:rPr>
        <w:t xml:space="preserve">GB 7718《食品安全国家标准 </w:t>
      </w:r>
      <w:r>
        <w:rPr>
          <w:rFonts w:ascii="宋体" w:eastAsia="宋体" w:hAnsi="宋体" w:cs="宋体" w:hint="eastAsia"/>
          <w:sz w:val="24"/>
          <w:shd w:val="clear" w:color="auto" w:fill="FFFFFF"/>
        </w:rPr>
        <w:t>预包装食品标签通则》、</w:t>
      </w:r>
      <w:r>
        <w:rPr>
          <w:rFonts w:ascii="宋体" w:eastAsia="宋体" w:hAnsi="宋体" w:cs="宋体"/>
          <w:sz w:val="24"/>
          <w:shd w:val="clear" w:color="auto" w:fill="FFFFFF"/>
        </w:rPr>
        <w:t>GB 28050《食品安全国家标准预包装食品营养标签通则》</w:t>
      </w:r>
      <w:r>
        <w:rPr>
          <w:rFonts w:ascii="宋体" w:eastAsia="宋体" w:hAnsi="宋体" w:cs="宋体" w:hint="eastAsia"/>
          <w:sz w:val="24"/>
          <w:shd w:val="clear" w:color="auto" w:fill="FFFFFF"/>
        </w:rPr>
        <w:t>的规定，运输包装储运图形标志应符合GB/T 191的规定。并在包装上标明推荐食用量≤300毫克/天（以纯DHA计），在婴幼儿食品中使用应符合相关标准的要求</w:t>
      </w:r>
      <w:r>
        <w:rPr>
          <w:rFonts w:ascii="宋体" w:eastAsia="宋体" w:hAnsi="宋体" w:cs="宋体"/>
          <w:sz w:val="24"/>
          <w:shd w:val="clear" w:color="auto" w:fill="FFFFFF"/>
        </w:rPr>
        <w:t>。</w:t>
      </w:r>
    </w:p>
    <w:p w:rsidR="000C5186" w:rsidRDefault="000C5186">
      <w:pPr>
        <w:ind w:firstLine="560"/>
        <w:jc w:val="left"/>
        <w:rPr>
          <w:rFonts w:ascii="宋体" w:eastAsia="宋体" w:hAnsi="宋体" w:cs="宋体"/>
          <w:sz w:val="28"/>
          <w:szCs w:val="28"/>
        </w:rPr>
      </w:pPr>
    </w:p>
    <w:p w:rsidR="000C5186" w:rsidRDefault="003562B8">
      <w:pPr>
        <w:pStyle w:val="ab"/>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试制产品检验报告</w:t>
      </w:r>
    </w:p>
    <w:p w:rsidR="000C5186" w:rsidRDefault="000C5186">
      <w:pPr>
        <w:spacing w:line="480" w:lineRule="atLeast"/>
        <w:jc w:val="left"/>
        <w:rPr>
          <w:rFonts w:ascii="宋体" w:eastAsia="宋体" w:hAnsi="宋体" w:cs="宋体"/>
          <w:sz w:val="24"/>
          <w:shd w:val="clear" w:color="auto" w:fill="FFFFFF"/>
        </w:rPr>
      </w:pPr>
    </w:p>
    <w:p w:rsidR="000C5186" w:rsidRDefault="003562B8" w:rsidP="00FA292B">
      <w:pPr>
        <w:spacing w:line="480" w:lineRule="atLeast"/>
        <w:ind w:firstLineChars="200"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第三十二条企业按所申报类别及</w:t>
      </w:r>
      <w:r>
        <w:rPr>
          <w:rFonts w:ascii="宋体" w:eastAsia="宋体" w:hAnsi="宋体" w:cs="宋体"/>
          <w:sz w:val="24"/>
          <w:shd w:val="clear" w:color="auto" w:fill="FFFFFF"/>
        </w:rPr>
        <w:t>执行标准，</w:t>
      </w:r>
      <w:r>
        <w:rPr>
          <w:rFonts w:ascii="宋体" w:eastAsia="宋体" w:hAnsi="宋体" w:cs="宋体" w:hint="eastAsia"/>
          <w:sz w:val="24"/>
          <w:shd w:val="clear" w:color="auto" w:fill="FFFFFF"/>
        </w:rPr>
        <w:t>提供试制产品全项目检验合格报告</w:t>
      </w:r>
      <w:r>
        <w:rPr>
          <w:rFonts w:ascii="宋体" w:eastAsia="宋体" w:hAnsi="宋体" w:cs="宋体"/>
          <w:sz w:val="24"/>
          <w:shd w:val="clear" w:color="auto" w:fill="FFFFFF"/>
        </w:rPr>
        <w:t>。</w:t>
      </w:r>
    </w:p>
    <w:p w:rsidR="000C5186" w:rsidRDefault="003562B8" w:rsidP="00FA292B">
      <w:pPr>
        <w:spacing w:line="480" w:lineRule="atLeast"/>
        <w:ind w:firstLineChars="200"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第三十三条企业应对提供的检验报告真实性负责；检验项目按产品适用的食品安全国家标准、产品标准，企业标准及国务院卫生行政部门的相关公告要求进行。</w:t>
      </w:r>
    </w:p>
    <w:p w:rsidR="000C5186" w:rsidRDefault="003562B8">
      <w:pPr>
        <w:spacing w:line="480" w:lineRule="atLeast"/>
        <w:jc w:val="left"/>
        <w:rPr>
          <w:rFonts w:ascii="宋体" w:eastAsia="宋体" w:hAnsi="宋体" w:cs="宋体"/>
          <w:sz w:val="24"/>
          <w:shd w:val="clear" w:color="auto" w:fill="FFFFFF"/>
        </w:rPr>
      </w:pPr>
      <w:r>
        <w:rPr>
          <w:rFonts w:ascii="宋体" w:eastAsia="宋体" w:hAnsi="宋体" w:cs="宋体"/>
          <w:sz w:val="24"/>
          <w:shd w:val="clear" w:color="auto" w:fill="FFFFFF"/>
        </w:rPr>
        <w:br w:type="page"/>
      </w:r>
    </w:p>
    <w:p w:rsidR="000C5186" w:rsidRDefault="003562B8">
      <w:pPr>
        <w:pStyle w:val="1"/>
        <w:widowControl/>
        <w:spacing w:before="0" w:beforeAutospacing="0" w:after="0" w:afterAutospacing="0" w:line="600" w:lineRule="atLeast"/>
        <w:jc w:val="both"/>
        <w:rPr>
          <w:rFonts w:cs="宋体" w:hint="default"/>
          <w:b w:val="0"/>
          <w:sz w:val="24"/>
          <w:szCs w:val="24"/>
          <w:shd w:val="clear" w:color="auto" w:fill="FFFFFF"/>
        </w:rPr>
      </w:pPr>
      <w:r>
        <w:rPr>
          <w:rFonts w:cs="宋体"/>
          <w:b w:val="0"/>
          <w:sz w:val="24"/>
          <w:szCs w:val="24"/>
          <w:shd w:val="clear" w:color="auto" w:fill="FFFFFF"/>
        </w:rPr>
        <w:lastRenderedPageBreak/>
        <w:t>附件1：</w:t>
      </w:r>
    </w:p>
    <w:p w:rsidR="000C5186" w:rsidRDefault="003562B8">
      <w:pPr>
        <w:spacing w:line="480" w:lineRule="atLeast"/>
        <w:jc w:val="center"/>
        <w:rPr>
          <w:rFonts w:ascii="宋体" w:eastAsia="宋体" w:hAnsi="宋体" w:cs="宋体"/>
          <w:b/>
          <w:bCs/>
          <w:sz w:val="24"/>
          <w:shd w:val="clear" w:color="auto" w:fill="FFFFFF"/>
        </w:rPr>
      </w:pPr>
      <w:r>
        <w:rPr>
          <w:rFonts w:ascii="宋体" w:eastAsia="宋体" w:hAnsi="宋体" w:cs="宋体"/>
          <w:sz w:val="24"/>
          <w:shd w:val="clear" w:color="auto" w:fill="FFFFFF"/>
        </w:rPr>
        <w:t>主要文件及</w:t>
      </w:r>
      <w:r>
        <w:rPr>
          <w:rFonts w:ascii="宋体" w:eastAsia="宋体" w:hAnsi="宋体" w:cs="宋体" w:hint="eastAsia"/>
          <w:sz w:val="24"/>
          <w:shd w:val="clear" w:color="auto" w:fill="FFFFFF"/>
        </w:rPr>
        <w:t>标准</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4"/>
        <w:gridCol w:w="5136"/>
        <w:gridCol w:w="2821"/>
      </w:tblGrid>
      <w:tr w:rsidR="000C5186">
        <w:trPr>
          <w:trHeight w:val="567"/>
          <w:tblHeader/>
          <w:jc w:val="center"/>
        </w:trPr>
        <w:tc>
          <w:tcPr>
            <w:tcW w:w="564"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序号</w:t>
            </w:r>
          </w:p>
        </w:tc>
        <w:tc>
          <w:tcPr>
            <w:tcW w:w="5136"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文件名称</w:t>
            </w:r>
          </w:p>
        </w:tc>
        <w:tc>
          <w:tcPr>
            <w:tcW w:w="2821" w:type="dxa"/>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标准号</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中华人民共和国食品安全法</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主席令第二十一号</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食品生产许可管理办法</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国家市场监督管理总局令</w:t>
            </w:r>
          </w:p>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第24</w:t>
            </w:r>
            <w:r>
              <w:rPr>
                <w:rFonts w:ascii="仿宋_GB2312" w:eastAsia="仿宋_GB2312" w:hAnsi="微软雅黑" w:cs="仿宋_GB2312"/>
                <w:kern w:val="0"/>
                <w:szCs w:val="21"/>
              </w:rPr>
              <w:t>号</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食品生产许可审查通则（2022版）</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国家市场监督管理总局公告2022年第33号</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食品召回管理办法</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国家食品药品监督管理总局令第</w:t>
            </w:r>
            <w:r>
              <w:rPr>
                <w:rFonts w:ascii="仿宋_GB2312" w:eastAsia="仿宋_GB2312" w:hAnsi="微软雅黑" w:cs="仿宋_GB2312"/>
                <w:kern w:val="0"/>
                <w:szCs w:val="21"/>
              </w:rPr>
              <w:t>12号</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关于批准DHA藻油、棉籽低聚糖等7种物品为新资源食品及其他相关规定的公告（2</w:t>
            </w:r>
            <w:r>
              <w:rPr>
                <w:rFonts w:ascii="仿宋_GB2312" w:eastAsia="仿宋_GB2312" w:hAnsi="微软雅黑" w:cs="仿宋_GB2312"/>
                <w:kern w:val="0"/>
                <w:szCs w:val="21"/>
              </w:rPr>
              <w:t>010</w:t>
            </w:r>
            <w:r>
              <w:rPr>
                <w:rFonts w:ascii="仿宋_GB2312" w:eastAsia="仿宋_GB2312" w:hAnsi="微软雅黑" w:cs="仿宋_GB2312" w:hint="eastAsia"/>
                <w:kern w:val="0"/>
                <w:szCs w:val="21"/>
              </w:rPr>
              <w:t>年 第3号）</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卫生部2010年第3号公告</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定量包装商品净含量计量检验规则</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JJF 1070</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包装储运图示标志</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191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 活性炭</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GB1886.2</w:t>
            </w:r>
            <w:r>
              <w:rPr>
                <w:rFonts w:ascii="仿宋_GB2312" w:eastAsia="仿宋_GB2312" w:hAnsi="微软雅黑" w:cs="仿宋_GB2312" w:hint="eastAsia"/>
                <w:kern w:val="0"/>
                <w:szCs w:val="21"/>
              </w:rPr>
              <w:t>5</w:t>
            </w:r>
            <w:r>
              <w:rPr>
                <w:rFonts w:ascii="仿宋_GB2312" w:eastAsia="仿宋_GB2312" w:hAnsi="微软雅黑" w:cs="仿宋_GB2312"/>
                <w:kern w:val="0"/>
                <w:szCs w:val="21"/>
              </w:rPr>
              <w:t>5</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食品安全国家标准植物油</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2716</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食品添加剂使用标准</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2760</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食品中真菌毒素限量</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2761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食品中污染物限量</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2762</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食品中农药最大残留限量</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2763</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食品中水分的测定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5009.3</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食品中总砷及无机砷的测定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5009.11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食品中铅的测定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5009.12</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食品中黄曲霉毒素B</w:t>
            </w:r>
            <w:r>
              <w:rPr>
                <w:rFonts w:ascii="仿宋_GB2312" w:eastAsia="仿宋_GB2312" w:hAnsi="微软雅黑" w:cs="仿宋_GB2312" w:hint="eastAsia"/>
                <w:kern w:val="0"/>
                <w:szCs w:val="21"/>
              </w:rPr>
              <w:t>族和</w:t>
            </w:r>
            <w:r>
              <w:rPr>
                <w:rFonts w:ascii="仿宋_GB2312" w:eastAsia="仿宋_GB2312" w:hAnsi="微软雅黑" w:cs="仿宋_GB2312"/>
                <w:kern w:val="0"/>
                <w:szCs w:val="21"/>
              </w:rPr>
              <w:t>G族的测定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5009.22</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食品中苯并（a）芘的测定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5009.27</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食品中过氧化值的测定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5009.227</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食品中酸价的测定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5009.229</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食品中反式脂肪酸的测定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5009.257</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动植物油脂不皂化物测定</w:t>
            </w:r>
          </w:p>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第1部分：乙醚提取法</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5535.1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预包装食品标签通则</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7718</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食品生产通用卫生规范</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14881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动植物油脂不溶性杂质含量的测定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15688</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质量管理体系要求</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19001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食品安全管理体系</w:t>
            </w:r>
          </w:p>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食品链中各类组织的要求</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22000</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食品安全管理体系</w:t>
            </w:r>
          </w:p>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kern w:val="0"/>
                <w:szCs w:val="21"/>
              </w:rPr>
              <w:lastRenderedPageBreak/>
              <w:t>GB/T 22000-2006</w:t>
            </w:r>
            <w:r>
              <w:rPr>
                <w:rFonts w:ascii="仿宋_GB2312" w:eastAsia="仿宋_GB2312" w:hAnsi="微软雅黑" w:cs="仿宋_GB2312" w:hint="eastAsia"/>
                <w:kern w:val="0"/>
                <w:szCs w:val="21"/>
              </w:rPr>
              <w:t>的应用指南</w:t>
            </w:r>
          </w:p>
        </w:tc>
        <w:tc>
          <w:tcPr>
            <w:tcW w:w="2821" w:type="dxa"/>
            <w:shd w:val="clear" w:color="auto" w:fill="auto"/>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lastRenderedPageBreak/>
              <w:t>GB/T 22004</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酶制剂质量要求 第1部分：蛋白酶制剂</w:t>
            </w:r>
          </w:p>
        </w:tc>
        <w:tc>
          <w:tcPr>
            <w:tcW w:w="2821" w:type="dxa"/>
            <w:shd w:val="clear" w:color="auto" w:fill="auto"/>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GB/T 23527.1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 二氧化硅</w:t>
            </w:r>
          </w:p>
        </w:tc>
        <w:tc>
          <w:tcPr>
            <w:tcW w:w="2821" w:type="dxa"/>
            <w:shd w:val="clear" w:color="auto" w:fill="auto"/>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25576</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w:t>
            </w:r>
          </w:p>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花生四烯酸油脂（发酵法）</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26401</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预包装食品营养标签通则</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28050</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食品工业洁净用房建筑技术规范</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50687</w:t>
            </w:r>
          </w:p>
        </w:tc>
      </w:tr>
      <w:tr w:rsidR="000C5186">
        <w:trPr>
          <w:trHeight w:val="567"/>
          <w:jc w:val="center"/>
        </w:trPr>
        <w:tc>
          <w:tcPr>
            <w:tcW w:w="564" w:type="dxa"/>
            <w:vAlign w:val="center"/>
          </w:tcPr>
          <w:p w:rsidR="000C5186" w:rsidRDefault="000C5186">
            <w:pPr>
              <w:pStyle w:val="ab"/>
              <w:widowControl/>
              <w:numPr>
                <w:ilvl w:val="0"/>
                <w:numId w:val="3"/>
              </w:numPr>
              <w:ind w:firstLineChars="0"/>
              <w:jc w:val="center"/>
              <w:textAlignment w:val="center"/>
              <w:rPr>
                <w:rFonts w:ascii="仿宋_GB2312" w:eastAsia="仿宋_GB2312" w:hAnsi="微软雅黑" w:cs="仿宋_GB2312"/>
                <w:kern w:val="0"/>
                <w:szCs w:val="21"/>
              </w:rPr>
            </w:pPr>
          </w:p>
        </w:tc>
        <w:tc>
          <w:tcPr>
            <w:tcW w:w="5136" w:type="dxa"/>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 xml:space="preserve">食品添加剂 </w:t>
            </w:r>
            <w:r>
              <w:rPr>
                <w:rFonts w:ascii="仿宋_GB2312" w:eastAsia="仿宋_GB2312" w:hAnsi="微软雅黑" w:cs="仿宋_GB2312"/>
                <w:kern w:val="0"/>
                <w:szCs w:val="21"/>
              </w:rPr>
              <w:t>聚氧乙烯聚氧丙烯季戊四醇醚</w:t>
            </w:r>
          </w:p>
        </w:tc>
        <w:tc>
          <w:tcPr>
            <w:tcW w:w="2821" w:type="dxa"/>
            <w:vAlign w:val="center"/>
          </w:tcPr>
          <w:p w:rsidR="000C5186" w:rsidRDefault="003562B8">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30609</w:t>
            </w:r>
          </w:p>
        </w:tc>
      </w:tr>
    </w:tbl>
    <w:p w:rsidR="000C5186" w:rsidRDefault="003562B8">
      <w:pPr>
        <w:pStyle w:val="1"/>
        <w:widowControl/>
        <w:spacing w:before="0" w:beforeAutospacing="0" w:after="0" w:afterAutospacing="0" w:line="600" w:lineRule="atLeast"/>
        <w:jc w:val="both"/>
        <w:rPr>
          <w:rFonts w:ascii="黑体" w:eastAsia="黑体" w:hAnsi="Arial" w:cs="黑体" w:hint="default"/>
          <w:b w:val="0"/>
          <w:sz w:val="24"/>
          <w:szCs w:val="24"/>
          <w:shd w:val="clear" w:color="auto" w:fill="FFFFFF"/>
        </w:rPr>
      </w:pPr>
      <w:r>
        <w:rPr>
          <w:rFonts w:ascii="黑体" w:eastAsia="黑体" w:hAnsi="Arial" w:cs="黑体"/>
          <w:b w:val="0"/>
          <w:sz w:val="24"/>
          <w:szCs w:val="24"/>
          <w:shd w:val="clear" w:color="auto" w:fill="FFFFFF"/>
        </w:rPr>
        <w:br w:type="page"/>
      </w:r>
    </w:p>
    <w:p w:rsidR="000C5186" w:rsidRDefault="003562B8">
      <w:pPr>
        <w:pStyle w:val="1"/>
        <w:widowControl/>
        <w:spacing w:before="0" w:beforeAutospacing="0" w:after="0" w:afterAutospacing="0" w:line="600" w:lineRule="atLeast"/>
        <w:jc w:val="both"/>
        <w:rPr>
          <w:rFonts w:cs="宋体" w:hint="default"/>
          <w:b w:val="0"/>
          <w:sz w:val="24"/>
          <w:szCs w:val="24"/>
          <w:shd w:val="clear" w:color="auto" w:fill="FFFFFF"/>
        </w:rPr>
      </w:pPr>
      <w:r>
        <w:rPr>
          <w:rFonts w:cs="宋体"/>
          <w:b w:val="0"/>
          <w:sz w:val="24"/>
          <w:szCs w:val="24"/>
          <w:shd w:val="clear" w:color="auto" w:fill="FFFFFF"/>
        </w:rPr>
        <w:lastRenderedPageBreak/>
        <w:t>附件2：</w:t>
      </w:r>
    </w:p>
    <w:p w:rsidR="000C5186" w:rsidRDefault="003562B8">
      <w:pPr>
        <w:widowControl/>
        <w:jc w:val="center"/>
        <w:rPr>
          <w:rFonts w:ascii="宋体" w:eastAsia="宋体" w:hAnsi="宋体" w:cs="宋体"/>
          <w:b/>
          <w:bCs/>
          <w:sz w:val="24"/>
          <w:shd w:val="clear" w:color="auto" w:fill="FFFFFF"/>
        </w:rPr>
      </w:pPr>
      <w:r>
        <w:rPr>
          <w:rFonts w:ascii="宋体" w:eastAsia="宋体" w:hAnsi="宋体" w:cs="宋体"/>
          <w:sz w:val="24"/>
          <w:shd w:val="clear" w:color="auto" w:fill="FFFFFF"/>
        </w:rPr>
        <w:t>花</w:t>
      </w:r>
      <w:r>
        <w:rPr>
          <w:rFonts w:ascii="宋体" w:eastAsia="宋体" w:hAnsi="宋体" w:cs="宋体" w:hint="eastAsia"/>
          <w:sz w:val="24"/>
          <w:shd w:val="clear" w:color="auto" w:fill="FFFFFF"/>
        </w:rPr>
        <w:t>生四烯酸油脂的检验项目和方法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2"/>
        <w:gridCol w:w="1989"/>
        <w:gridCol w:w="1793"/>
        <w:gridCol w:w="2125"/>
        <w:gridCol w:w="1953"/>
      </w:tblGrid>
      <w:tr w:rsidR="000C5186">
        <w:trPr>
          <w:trHeight w:val="567"/>
          <w:jc w:val="center"/>
        </w:trPr>
        <w:tc>
          <w:tcPr>
            <w:tcW w:w="662" w:type="dxa"/>
            <w:tcMar>
              <w:left w:w="108" w:type="dxa"/>
              <w:right w:w="108" w:type="dxa"/>
            </w:tcMar>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序号</w:t>
            </w:r>
          </w:p>
        </w:tc>
        <w:tc>
          <w:tcPr>
            <w:tcW w:w="1989" w:type="dxa"/>
            <w:tcMar>
              <w:left w:w="108" w:type="dxa"/>
              <w:right w:w="108" w:type="dxa"/>
            </w:tcMar>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检验项目</w:t>
            </w:r>
          </w:p>
        </w:tc>
        <w:tc>
          <w:tcPr>
            <w:tcW w:w="1793" w:type="dxa"/>
            <w:tcMar>
              <w:left w:w="108" w:type="dxa"/>
              <w:right w:w="108" w:type="dxa"/>
            </w:tcMar>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标准号</w:t>
            </w:r>
          </w:p>
        </w:tc>
        <w:tc>
          <w:tcPr>
            <w:tcW w:w="2125" w:type="dxa"/>
            <w:tcMar>
              <w:left w:w="108" w:type="dxa"/>
              <w:right w:w="108" w:type="dxa"/>
            </w:tcMar>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标准名称</w:t>
            </w:r>
          </w:p>
        </w:tc>
        <w:tc>
          <w:tcPr>
            <w:tcW w:w="1953" w:type="dxa"/>
            <w:tcMar>
              <w:left w:w="108" w:type="dxa"/>
              <w:right w:w="108" w:type="dxa"/>
            </w:tcMar>
            <w:vAlign w:val="center"/>
          </w:tcPr>
          <w:p w:rsidR="000C5186" w:rsidRDefault="003562B8">
            <w:pPr>
              <w:widowControl/>
              <w:jc w:val="center"/>
              <w:rPr>
                <w:rFonts w:ascii="黑体" w:eastAsia="黑体" w:hAnsi="微软雅黑" w:cs="黑体"/>
                <w:kern w:val="0"/>
                <w:szCs w:val="21"/>
              </w:rPr>
            </w:pPr>
            <w:r>
              <w:rPr>
                <w:rFonts w:ascii="黑体" w:eastAsia="黑体" w:hAnsi="微软雅黑" w:cs="黑体" w:hint="eastAsia"/>
                <w:kern w:val="0"/>
                <w:szCs w:val="21"/>
              </w:rPr>
              <w:t>检验方法</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center"/>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感官</w:t>
            </w:r>
          </w:p>
        </w:tc>
        <w:tc>
          <w:tcPr>
            <w:tcW w:w="1793" w:type="dxa"/>
            <w:vMerge w:val="restart"/>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kern w:val="0"/>
                <w:szCs w:val="21"/>
              </w:rPr>
              <w:t>Q/YDXL 0001S-2023</w:t>
            </w:r>
          </w:p>
        </w:tc>
        <w:tc>
          <w:tcPr>
            <w:tcW w:w="2125" w:type="dxa"/>
            <w:vMerge w:val="restart"/>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kern w:val="0"/>
                <w:szCs w:val="21"/>
              </w:rPr>
              <w:t>花</w:t>
            </w:r>
            <w:r>
              <w:rPr>
                <w:rFonts w:ascii="仿宋_GB2312" w:eastAsia="仿宋_GB2312" w:hAnsi="微软雅黑" w:cs="仿宋_GB2312" w:hint="eastAsia"/>
                <w:kern w:val="0"/>
                <w:szCs w:val="21"/>
              </w:rPr>
              <w:t>生四烯酸油脂企业标准</w:t>
            </w:r>
          </w:p>
        </w:tc>
        <w:tc>
          <w:tcPr>
            <w:tcW w:w="1953" w:type="dxa"/>
            <w:tcMar>
              <w:left w:w="108" w:type="dxa"/>
              <w:right w:w="108" w:type="dxa"/>
            </w:tcMar>
            <w:vAlign w:val="center"/>
          </w:tcPr>
          <w:p w:rsidR="000C5186" w:rsidRDefault="0052218C">
            <w:pPr>
              <w:jc w:val="center"/>
              <w:rPr>
                <w:rFonts w:ascii="仿宋_GB2312" w:eastAsia="仿宋_GB2312" w:hAnsi="微软雅黑" w:cs="仿宋_GB2312"/>
                <w:kern w:val="0"/>
                <w:szCs w:val="21"/>
              </w:rPr>
            </w:pPr>
            <w:r>
              <w:rPr>
                <w:rFonts w:ascii="仿宋_GB2312" w:eastAsia="仿宋_GB2312" w:hAnsi="微软雅黑" w:cs="仿宋_GB2312"/>
                <w:kern w:val="0"/>
                <w:szCs w:val="21"/>
              </w:rPr>
              <w:t>Q/YDXL 0001S-2023</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含量（C</w:t>
            </w:r>
            <w:r>
              <w:rPr>
                <w:rFonts w:ascii="仿宋_GB2312" w:eastAsia="仿宋_GB2312" w:hAnsi="微软雅黑" w:cs="仿宋_GB2312" w:hint="eastAsia"/>
                <w:kern w:val="0"/>
                <w:szCs w:val="21"/>
                <w:vertAlign w:val="subscript"/>
              </w:rPr>
              <w:t>20</w:t>
            </w:r>
            <w:r>
              <w:rPr>
                <w:rFonts w:ascii="仿宋_GB2312" w:eastAsia="仿宋_GB2312" w:hAnsi="微软雅黑" w:cs="仿宋_GB2312" w:hint="eastAsia"/>
                <w:kern w:val="0"/>
                <w:szCs w:val="21"/>
              </w:rPr>
              <w:t>H</w:t>
            </w:r>
            <w:r>
              <w:rPr>
                <w:rFonts w:ascii="仿宋_GB2312" w:eastAsia="仿宋_GB2312" w:hAnsi="微软雅黑" w:cs="仿宋_GB2312" w:hint="eastAsia"/>
                <w:kern w:val="0"/>
                <w:szCs w:val="21"/>
                <w:vertAlign w:val="subscript"/>
              </w:rPr>
              <w:t>32</w:t>
            </w:r>
            <w:r>
              <w:rPr>
                <w:rFonts w:ascii="仿宋_GB2312" w:eastAsia="仿宋_GB2312" w:hAnsi="微软雅黑" w:cs="仿宋_GB2312" w:hint="eastAsia"/>
                <w:kern w:val="0"/>
                <w:szCs w:val="21"/>
              </w:rPr>
              <w:t>O</w:t>
            </w:r>
            <w:r>
              <w:rPr>
                <w:rFonts w:ascii="仿宋_GB2312" w:eastAsia="仿宋_GB2312" w:hAnsi="微软雅黑" w:cs="仿宋_GB2312" w:hint="eastAsia"/>
                <w:kern w:val="0"/>
                <w:szCs w:val="21"/>
                <w:vertAlign w:val="subscript"/>
              </w:rPr>
              <w:t>2</w:t>
            </w:r>
            <w:r>
              <w:rPr>
                <w:rFonts w:ascii="仿宋_GB2312" w:eastAsia="仿宋_GB2312" w:hAnsi="微软雅黑" w:cs="仿宋_GB2312" w:hint="eastAsia"/>
                <w:kern w:val="0"/>
                <w:szCs w:val="21"/>
              </w:rPr>
              <w:t>甘油三脂计）</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26401附录A</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反式脂肪酸</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5009.257</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水分</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5009.3（减压干燥法）</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酸价（以KOH计）</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5009.229</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过氧化值</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5009.227</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不皂化物</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GB/T5535.1乙醚提取法</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不溶性杂质</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GB/T 15688</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黄曲霉毒素B</w:t>
            </w:r>
            <w:r>
              <w:rPr>
                <w:rFonts w:ascii="仿宋_GB2312" w:eastAsia="仿宋_GB2312" w:hAnsi="微软雅黑" w:cs="仿宋_GB2312" w:hint="eastAsia"/>
                <w:kern w:val="0"/>
                <w:szCs w:val="21"/>
                <w:vertAlign w:val="subscript"/>
              </w:rPr>
              <w:t>1</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苯并[a]芘</w:t>
            </w:r>
          </w:p>
        </w:tc>
        <w:tc>
          <w:tcPr>
            <w:tcW w:w="1793"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2125" w:type="dxa"/>
            <w:vMerge/>
            <w:tcMar>
              <w:left w:w="108" w:type="dxa"/>
              <w:right w:w="108" w:type="dxa"/>
            </w:tcMar>
            <w:vAlign w:val="center"/>
          </w:tcPr>
          <w:p w:rsidR="000C5186" w:rsidRDefault="000C5186">
            <w:pPr>
              <w:jc w:val="center"/>
              <w:rPr>
                <w:rFonts w:ascii="仿宋_GB2312" w:eastAsia="仿宋_GB2312" w:hAnsi="微软雅黑" w:cs="仿宋_GB2312"/>
                <w:kern w:val="0"/>
                <w:szCs w:val="21"/>
              </w:rPr>
            </w:pP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w:t>
            </w:r>
            <w:r>
              <w:rPr>
                <w:rFonts w:ascii="仿宋_GB2312" w:eastAsia="仿宋_GB2312" w:hAnsi="微软雅黑" w:cs="仿宋_GB2312" w:hint="eastAsia"/>
                <w:kern w:val="0"/>
                <w:szCs w:val="21"/>
              </w:rPr>
              <w:t>27</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标签</w:t>
            </w:r>
          </w:p>
        </w:tc>
        <w:tc>
          <w:tcPr>
            <w:tcW w:w="179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7718</w:t>
            </w:r>
          </w:p>
        </w:tc>
        <w:tc>
          <w:tcPr>
            <w:tcW w:w="2125"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预包装食品标签通则</w:t>
            </w: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7718</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净含量</w:t>
            </w:r>
          </w:p>
        </w:tc>
        <w:tc>
          <w:tcPr>
            <w:tcW w:w="179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国家质量监督检验检疫总局[2005]第75号</w:t>
            </w:r>
          </w:p>
        </w:tc>
        <w:tc>
          <w:tcPr>
            <w:tcW w:w="2125"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定量包装商品计量监督管理办法</w:t>
            </w: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JJF 1070</w:t>
            </w:r>
          </w:p>
        </w:tc>
      </w:tr>
      <w:tr w:rsidR="000C5186">
        <w:trPr>
          <w:trHeight w:val="567"/>
          <w:jc w:val="center"/>
        </w:trPr>
        <w:tc>
          <w:tcPr>
            <w:tcW w:w="662" w:type="dxa"/>
            <w:tcMar>
              <w:left w:w="108" w:type="dxa"/>
              <w:right w:w="108" w:type="dxa"/>
            </w:tcMar>
            <w:vAlign w:val="center"/>
          </w:tcPr>
          <w:p w:rsidR="000C5186" w:rsidRDefault="000C5186">
            <w:pPr>
              <w:pStyle w:val="ab"/>
              <w:widowControl/>
              <w:numPr>
                <w:ilvl w:val="0"/>
                <w:numId w:val="4"/>
              </w:numPr>
              <w:ind w:firstLineChars="0"/>
              <w:jc w:val="right"/>
              <w:textAlignment w:val="center"/>
              <w:rPr>
                <w:rFonts w:ascii="仿宋_GB2312" w:eastAsia="仿宋_GB2312" w:hAnsi="微软雅黑" w:cs="仿宋_GB2312"/>
                <w:kern w:val="0"/>
                <w:szCs w:val="21"/>
              </w:rPr>
            </w:pPr>
          </w:p>
        </w:tc>
        <w:tc>
          <w:tcPr>
            <w:tcW w:w="1989"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其他污染物限量、真菌毒素限量、食品添加剂和农药残留限量等指标</w:t>
            </w:r>
          </w:p>
        </w:tc>
        <w:tc>
          <w:tcPr>
            <w:tcW w:w="179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按照相关规定执行</w:t>
            </w:r>
          </w:p>
        </w:tc>
        <w:tc>
          <w:tcPr>
            <w:tcW w:w="2125"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w:t>
            </w:r>
          </w:p>
        </w:tc>
        <w:tc>
          <w:tcPr>
            <w:tcW w:w="1953" w:type="dxa"/>
            <w:tcMar>
              <w:left w:w="108" w:type="dxa"/>
              <w:right w:w="108" w:type="dxa"/>
            </w:tcMar>
            <w:vAlign w:val="center"/>
          </w:tcPr>
          <w:p w:rsidR="000C5186" w:rsidRDefault="003562B8">
            <w:pPr>
              <w:jc w:val="center"/>
              <w:rPr>
                <w:rFonts w:ascii="仿宋_GB2312" w:eastAsia="仿宋_GB2312" w:hAnsi="微软雅黑" w:cs="仿宋_GB2312"/>
                <w:kern w:val="0"/>
                <w:szCs w:val="21"/>
              </w:rPr>
            </w:pPr>
            <w:r>
              <w:rPr>
                <w:rFonts w:ascii="仿宋_GB2312" w:eastAsia="仿宋_GB2312" w:hint="eastAsia"/>
                <w:szCs w:val="21"/>
                <w:shd w:val="clear" w:color="auto" w:fill="FFFFFF"/>
              </w:rPr>
              <w:t>按照对应方法标准执行</w:t>
            </w:r>
          </w:p>
        </w:tc>
      </w:tr>
    </w:tbl>
    <w:p w:rsidR="000C5186" w:rsidRDefault="000C5186">
      <w:pPr>
        <w:rPr>
          <w:rFonts w:ascii="宋体" w:eastAsia="宋体" w:hAnsi="宋体" w:cs="宋体"/>
          <w:sz w:val="28"/>
          <w:szCs w:val="28"/>
        </w:rPr>
      </w:pPr>
    </w:p>
    <w:p w:rsidR="000C5186" w:rsidRDefault="000C5186">
      <w:pPr>
        <w:rPr>
          <w:rFonts w:ascii="宋体" w:eastAsia="宋体" w:hAnsi="宋体" w:cs="宋体"/>
          <w:sz w:val="28"/>
          <w:szCs w:val="28"/>
        </w:rPr>
      </w:pPr>
    </w:p>
    <w:sectPr w:rsidR="000C5186" w:rsidSect="00C80F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E8F" w:rsidRDefault="00260E8F">
      <w:r>
        <w:separator/>
      </w:r>
    </w:p>
  </w:endnote>
  <w:endnote w:type="continuationSeparator" w:id="1">
    <w:p w:rsidR="00260E8F" w:rsidRDefault="0026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86" w:rsidRDefault="0014126E">
    <w:pPr>
      <w:pStyle w:val="a6"/>
    </w:pPr>
    <w:r>
      <w:rPr>
        <w:noProof/>
      </w:rPr>
      <w:pict>
        <v:shapetype id="_x0000_t202" coordsize="21600,21600" o:spt="202" path="m,l,21600r21600,l21600,xe">
          <v:stroke joinstyle="miter"/>
          <v:path gradientshapeok="t" o:connecttype="rect"/>
        </v:shapetype>
        <v:shape id="文本框 40" o:spid="_x0000_s1026" type="#_x0000_t202" style="position:absolute;margin-left:204.5pt;margin-top:.2pt;width:18pt;height:16.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" filled="f" stroked="f" strokeweight=".5pt">
          <v:textbox inset="0,0,0,0">
            <w:txbxContent>
              <w:p w:rsidR="000C5186" w:rsidRDefault="0014126E">
                <w:pPr>
                  <w:snapToGrid w:val="0"/>
                  <w:rPr>
                    <w:sz w:val="18"/>
                  </w:rPr>
                </w:pPr>
                <w:r>
                  <w:rPr>
                    <w:rFonts w:ascii="宋体" w:eastAsia="宋体" w:hAnsi="宋体" w:cs="宋体" w:hint="eastAsia"/>
                    <w:sz w:val="22"/>
                    <w:szCs w:val="22"/>
                  </w:rPr>
                  <w:fldChar w:fldCharType="begin"/>
                </w:r>
                <w:r w:rsidR="003562B8">
                  <w:rPr>
                    <w:rFonts w:ascii="宋体" w:eastAsia="宋体" w:hAnsi="宋体" w:cs="宋体" w:hint="eastAsia"/>
                    <w:sz w:val="22"/>
                    <w:szCs w:val="22"/>
                  </w:rPr>
                  <w:instrText xml:space="preserve"> PAGE  \* MERGEFORMAT </w:instrText>
                </w:r>
                <w:r>
                  <w:rPr>
                    <w:rFonts w:ascii="宋体" w:eastAsia="宋体" w:hAnsi="宋体" w:cs="宋体" w:hint="eastAsia"/>
                    <w:sz w:val="22"/>
                    <w:szCs w:val="22"/>
                  </w:rPr>
                  <w:fldChar w:fldCharType="separate"/>
                </w:r>
                <w:r w:rsidR="001D04BE">
                  <w:rPr>
                    <w:rFonts w:ascii="宋体" w:eastAsia="宋体" w:hAnsi="宋体" w:cs="宋体"/>
                    <w:noProof/>
                    <w:sz w:val="22"/>
                    <w:szCs w:val="22"/>
                  </w:rPr>
                  <w:t>7</w:t>
                </w:r>
                <w:r>
                  <w:rPr>
                    <w:rFonts w:ascii="宋体" w:eastAsia="宋体" w:hAnsi="宋体" w:cs="宋体" w:hint="eastAsia"/>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E8F" w:rsidRDefault="00260E8F">
      <w:r>
        <w:separator/>
      </w:r>
    </w:p>
  </w:footnote>
  <w:footnote w:type="continuationSeparator" w:id="1">
    <w:p w:rsidR="00260E8F" w:rsidRDefault="0026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7C30C"/>
    <w:multiLevelType w:val="multilevel"/>
    <w:tmpl w:val="C867C30C"/>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144A5E"/>
    <w:multiLevelType w:val="multilevel"/>
    <w:tmpl w:val="06144A5E"/>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C44AA6"/>
    <w:multiLevelType w:val="multilevel"/>
    <w:tmpl w:val="2BC44AA6"/>
    <w:lvl w:ilvl="0">
      <w:start w:val="1"/>
      <w:numFmt w:val="japaneseCounting"/>
      <w:lvlText w:val="第%1章"/>
      <w:lvlJc w:val="left"/>
      <w:pPr>
        <w:ind w:left="4425" w:hanging="1215"/>
      </w:pPr>
      <w:rPr>
        <w:rFonts w:hint="default"/>
      </w:rPr>
    </w:lvl>
    <w:lvl w:ilvl="1">
      <w:start w:val="1"/>
      <w:numFmt w:val="lowerLetter"/>
      <w:lvlText w:val="%2)"/>
      <w:lvlJc w:val="left"/>
      <w:pPr>
        <w:ind w:left="4050" w:hanging="420"/>
      </w:pPr>
    </w:lvl>
    <w:lvl w:ilvl="2">
      <w:start w:val="1"/>
      <w:numFmt w:val="lowerRoman"/>
      <w:lvlText w:val="%3."/>
      <w:lvlJc w:val="right"/>
      <w:pPr>
        <w:ind w:left="4470" w:hanging="420"/>
      </w:pPr>
    </w:lvl>
    <w:lvl w:ilvl="3">
      <w:start w:val="1"/>
      <w:numFmt w:val="decimal"/>
      <w:lvlText w:val="%4."/>
      <w:lvlJc w:val="left"/>
      <w:pPr>
        <w:ind w:left="4890" w:hanging="420"/>
      </w:pPr>
    </w:lvl>
    <w:lvl w:ilvl="4">
      <w:start w:val="1"/>
      <w:numFmt w:val="lowerLetter"/>
      <w:lvlText w:val="%5)"/>
      <w:lvlJc w:val="left"/>
      <w:pPr>
        <w:ind w:left="5310" w:hanging="420"/>
      </w:pPr>
    </w:lvl>
    <w:lvl w:ilvl="5">
      <w:start w:val="1"/>
      <w:numFmt w:val="lowerRoman"/>
      <w:lvlText w:val="%6."/>
      <w:lvlJc w:val="right"/>
      <w:pPr>
        <w:ind w:left="5730" w:hanging="420"/>
      </w:pPr>
    </w:lvl>
    <w:lvl w:ilvl="6">
      <w:start w:val="1"/>
      <w:numFmt w:val="decimal"/>
      <w:lvlText w:val="%7."/>
      <w:lvlJc w:val="left"/>
      <w:pPr>
        <w:ind w:left="6150" w:hanging="420"/>
      </w:pPr>
    </w:lvl>
    <w:lvl w:ilvl="7">
      <w:start w:val="1"/>
      <w:numFmt w:val="lowerLetter"/>
      <w:lvlText w:val="%8)"/>
      <w:lvlJc w:val="left"/>
      <w:pPr>
        <w:ind w:left="6570" w:hanging="420"/>
      </w:pPr>
    </w:lvl>
    <w:lvl w:ilvl="8">
      <w:start w:val="1"/>
      <w:numFmt w:val="lowerRoman"/>
      <w:lvlText w:val="%9."/>
      <w:lvlJc w:val="right"/>
      <w:pPr>
        <w:ind w:left="6990" w:hanging="420"/>
      </w:pPr>
    </w:lvl>
  </w:abstractNum>
  <w:abstractNum w:abstractNumId="3">
    <w:nsid w:val="48603E2E"/>
    <w:multiLevelType w:val="multilevel"/>
    <w:tmpl w:val="48603E2E"/>
    <w:lvl w:ilvl="0">
      <w:start w:val="1"/>
      <w:numFmt w:val="decimal"/>
      <w:lvlText w:val="%1、"/>
      <w:lvlJc w:val="left"/>
      <w:pPr>
        <w:ind w:left="360" w:hanging="360"/>
      </w:pPr>
      <w:rPr>
        <w:rFonts w:ascii="仿宋_GB2312" w:eastAsia="仿宋_GB2312" w:hAnsi="微软雅黑" w:cs="仿宋_GB2312"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2JmZDRkNDk2ZDY1ZjZkMWQxYzU0YzFiNTQ1OTQyZDYifQ=="/>
  </w:docVars>
  <w:rsids>
    <w:rsidRoot w:val="00EA3F11"/>
    <w:rsid w:val="00015E08"/>
    <w:rsid w:val="00023E25"/>
    <w:rsid w:val="000311A4"/>
    <w:rsid w:val="00037FA9"/>
    <w:rsid w:val="00046660"/>
    <w:rsid w:val="000514DD"/>
    <w:rsid w:val="000556C5"/>
    <w:rsid w:val="00067076"/>
    <w:rsid w:val="000A642F"/>
    <w:rsid w:val="000B73D6"/>
    <w:rsid w:val="000C3854"/>
    <w:rsid w:val="000C5186"/>
    <w:rsid w:val="000E3DF1"/>
    <w:rsid w:val="000F2E69"/>
    <w:rsid w:val="001004F6"/>
    <w:rsid w:val="00107262"/>
    <w:rsid w:val="00133814"/>
    <w:rsid w:val="0014126E"/>
    <w:rsid w:val="00146921"/>
    <w:rsid w:val="00151218"/>
    <w:rsid w:val="001666ED"/>
    <w:rsid w:val="00171F09"/>
    <w:rsid w:val="001A5685"/>
    <w:rsid w:val="001A7FCF"/>
    <w:rsid w:val="001B43C8"/>
    <w:rsid w:val="001D04BE"/>
    <w:rsid w:val="001D1195"/>
    <w:rsid w:val="001E5C95"/>
    <w:rsid w:val="001F15DE"/>
    <w:rsid w:val="001F1CC6"/>
    <w:rsid w:val="0020168D"/>
    <w:rsid w:val="00202172"/>
    <w:rsid w:val="00206B73"/>
    <w:rsid w:val="00211BE6"/>
    <w:rsid w:val="00235227"/>
    <w:rsid w:val="002353CA"/>
    <w:rsid w:val="002423A6"/>
    <w:rsid w:val="00243D42"/>
    <w:rsid w:val="00260E8F"/>
    <w:rsid w:val="00263233"/>
    <w:rsid w:val="00265445"/>
    <w:rsid w:val="00277AD0"/>
    <w:rsid w:val="00286F98"/>
    <w:rsid w:val="002A32FC"/>
    <w:rsid w:val="002A3928"/>
    <w:rsid w:val="002C6860"/>
    <w:rsid w:val="002D0E98"/>
    <w:rsid w:val="002D2451"/>
    <w:rsid w:val="002D5F24"/>
    <w:rsid w:val="00323B4E"/>
    <w:rsid w:val="00331BFD"/>
    <w:rsid w:val="003562B8"/>
    <w:rsid w:val="00360B6A"/>
    <w:rsid w:val="0036611C"/>
    <w:rsid w:val="003744B2"/>
    <w:rsid w:val="003B6EDD"/>
    <w:rsid w:val="003C5BA3"/>
    <w:rsid w:val="003C664A"/>
    <w:rsid w:val="003D20CC"/>
    <w:rsid w:val="003E01CE"/>
    <w:rsid w:val="003E0B85"/>
    <w:rsid w:val="003F679F"/>
    <w:rsid w:val="004130D2"/>
    <w:rsid w:val="004274DC"/>
    <w:rsid w:val="00435A88"/>
    <w:rsid w:val="004430E9"/>
    <w:rsid w:val="004433C4"/>
    <w:rsid w:val="00444322"/>
    <w:rsid w:val="004732E8"/>
    <w:rsid w:val="0048744D"/>
    <w:rsid w:val="00494A97"/>
    <w:rsid w:val="004A0140"/>
    <w:rsid w:val="004A7C2D"/>
    <w:rsid w:val="004B214B"/>
    <w:rsid w:val="004B2A58"/>
    <w:rsid w:val="004E063F"/>
    <w:rsid w:val="004E5F0B"/>
    <w:rsid w:val="004F0250"/>
    <w:rsid w:val="004F2B6A"/>
    <w:rsid w:val="0051228F"/>
    <w:rsid w:val="0052218C"/>
    <w:rsid w:val="00524325"/>
    <w:rsid w:val="00527942"/>
    <w:rsid w:val="00534B14"/>
    <w:rsid w:val="005540AB"/>
    <w:rsid w:val="005558C9"/>
    <w:rsid w:val="00561320"/>
    <w:rsid w:val="00564C0C"/>
    <w:rsid w:val="00582A61"/>
    <w:rsid w:val="0059354D"/>
    <w:rsid w:val="005A4029"/>
    <w:rsid w:val="005B0CDA"/>
    <w:rsid w:val="005B3E0B"/>
    <w:rsid w:val="005B6396"/>
    <w:rsid w:val="005B6D59"/>
    <w:rsid w:val="005D1BF6"/>
    <w:rsid w:val="005D43F0"/>
    <w:rsid w:val="005D6238"/>
    <w:rsid w:val="005D659C"/>
    <w:rsid w:val="00630D05"/>
    <w:rsid w:val="006412F7"/>
    <w:rsid w:val="00643E46"/>
    <w:rsid w:val="006469C5"/>
    <w:rsid w:val="006552D9"/>
    <w:rsid w:val="00682BB8"/>
    <w:rsid w:val="00693A43"/>
    <w:rsid w:val="00696EF5"/>
    <w:rsid w:val="006A1645"/>
    <w:rsid w:val="006A40C4"/>
    <w:rsid w:val="006B4584"/>
    <w:rsid w:val="006C69BA"/>
    <w:rsid w:val="006E142B"/>
    <w:rsid w:val="006F5964"/>
    <w:rsid w:val="00710C85"/>
    <w:rsid w:val="00734575"/>
    <w:rsid w:val="007347D1"/>
    <w:rsid w:val="00753658"/>
    <w:rsid w:val="0076198E"/>
    <w:rsid w:val="00771516"/>
    <w:rsid w:val="00781DBD"/>
    <w:rsid w:val="007C43DC"/>
    <w:rsid w:val="007F28F4"/>
    <w:rsid w:val="007F3929"/>
    <w:rsid w:val="007F40C1"/>
    <w:rsid w:val="0080277E"/>
    <w:rsid w:val="008052A1"/>
    <w:rsid w:val="008159AB"/>
    <w:rsid w:val="00834EA4"/>
    <w:rsid w:val="0084160E"/>
    <w:rsid w:val="00841754"/>
    <w:rsid w:val="00842506"/>
    <w:rsid w:val="00855040"/>
    <w:rsid w:val="008620A2"/>
    <w:rsid w:val="008701DF"/>
    <w:rsid w:val="008803FE"/>
    <w:rsid w:val="00896FF0"/>
    <w:rsid w:val="008A46A9"/>
    <w:rsid w:val="008A67AE"/>
    <w:rsid w:val="008B34EF"/>
    <w:rsid w:val="008B3D85"/>
    <w:rsid w:val="008D5920"/>
    <w:rsid w:val="008F0425"/>
    <w:rsid w:val="008F4F24"/>
    <w:rsid w:val="00900F6D"/>
    <w:rsid w:val="00925E6F"/>
    <w:rsid w:val="00927BE8"/>
    <w:rsid w:val="00930A5D"/>
    <w:rsid w:val="00932801"/>
    <w:rsid w:val="009401E1"/>
    <w:rsid w:val="0095481D"/>
    <w:rsid w:val="00964241"/>
    <w:rsid w:val="00970837"/>
    <w:rsid w:val="009A73CC"/>
    <w:rsid w:val="009B4CF7"/>
    <w:rsid w:val="009C02B2"/>
    <w:rsid w:val="009E6371"/>
    <w:rsid w:val="009F3591"/>
    <w:rsid w:val="00A0352F"/>
    <w:rsid w:val="00A203FC"/>
    <w:rsid w:val="00A217E1"/>
    <w:rsid w:val="00A303CE"/>
    <w:rsid w:val="00A34FBB"/>
    <w:rsid w:val="00A74ECB"/>
    <w:rsid w:val="00A7559A"/>
    <w:rsid w:val="00A86207"/>
    <w:rsid w:val="00A86AC6"/>
    <w:rsid w:val="00A87FDB"/>
    <w:rsid w:val="00A93321"/>
    <w:rsid w:val="00AA520D"/>
    <w:rsid w:val="00AB1E87"/>
    <w:rsid w:val="00AB49AF"/>
    <w:rsid w:val="00AE145B"/>
    <w:rsid w:val="00AF1F13"/>
    <w:rsid w:val="00AF25F5"/>
    <w:rsid w:val="00AF2860"/>
    <w:rsid w:val="00AF3C6B"/>
    <w:rsid w:val="00B00812"/>
    <w:rsid w:val="00B01084"/>
    <w:rsid w:val="00B2080B"/>
    <w:rsid w:val="00B22B0C"/>
    <w:rsid w:val="00B22CD3"/>
    <w:rsid w:val="00B41440"/>
    <w:rsid w:val="00B47BA5"/>
    <w:rsid w:val="00B63671"/>
    <w:rsid w:val="00B64DAC"/>
    <w:rsid w:val="00B83782"/>
    <w:rsid w:val="00B84285"/>
    <w:rsid w:val="00B85955"/>
    <w:rsid w:val="00B92FD6"/>
    <w:rsid w:val="00B96D5C"/>
    <w:rsid w:val="00BB3F57"/>
    <w:rsid w:val="00BB72EE"/>
    <w:rsid w:val="00BB78D1"/>
    <w:rsid w:val="00BF2A91"/>
    <w:rsid w:val="00C12E5C"/>
    <w:rsid w:val="00C21C71"/>
    <w:rsid w:val="00C33332"/>
    <w:rsid w:val="00C40B33"/>
    <w:rsid w:val="00C50F80"/>
    <w:rsid w:val="00C60965"/>
    <w:rsid w:val="00C614A1"/>
    <w:rsid w:val="00C71713"/>
    <w:rsid w:val="00C733B0"/>
    <w:rsid w:val="00C80FF2"/>
    <w:rsid w:val="00C84014"/>
    <w:rsid w:val="00C85D6C"/>
    <w:rsid w:val="00CA1A3C"/>
    <w:rsid w:val="00CA654F"/>
    <w:rsid w:val="00CB6639"/>
    <w:rsid w:val="00CB7BAD"/>
    <w:rsid w:val="00CB7F8D"/>
    <w:rsid w:val="00CF5254"/>
    <w:rsid w:val="00D000AF"/>
    <w:rsid w:val="00D267B6"/>
    <w:rsid w:val="00D379FA"/>
    <w:rsid w:val="00D5717D"/>
    <w:rsid w:val="00D663CB"/>
    <w:rsid w:val="00D71084"/>
    <w:rsid w:val="00D71C72"/>
    <w:rsid w:val="00D923BD"/>
    <w:rsid w:val="00D92529"/>
    <w:rsid w:val="00D92C97"/>
    <w:rsid w:val="00DA1E4A"/>
    <w:rsid w:val="00DD7A11"/>
    <w:rsid w:val="00DF4E9C"/>
    <w:rsid w:val="00E5193D"/>
    <w:rsid w:val="00E6085B"/>
    <w:rsid w:val="00E802D9"/>
    <w:rsid w:val="00E82457"/>
    <w:rsid w:val="00EA3F11"/>
    <w:rsid w:val="00EA40AE"/>
    <w:rsid w:val="00EB29A3"/>
    <w:rsid w:val="00EC2F89"/>
    <w:rsid w:val="00ED6E41"/>
    <w:rsid w:val="00ED753B"/>
    <w:rsid w:val="00EF1B85"/>
    <w:rsid w:val="00F015FB"/>
    <w:rsid w:val="00F11A0C"/>
    <w:rsid w:val="00F2024A"/>
    <w:rsid w:val="00F4680A"/>
    <w:rsid w:val="00F4788E"/>
    <w:rsid w:val="00F571DD"/>
    <w:rsid w:val="00F6139E"/>
    <w:rsid w:val="00F65F31"/>
    <w:rsid w:val="00F957BD"/>
    <w:rsid w:val="00FA292B"/>
    <w:rsid w:val="00FE5798"/>
    <w:rsid w:val="023347EE"/>
    <w:rsid w:val="03990DDA"/>
    <w:rsid w:val="066F3345"/>
    <w:rsid w:val="0AED0B03"/>
    <w:rsid w:val="0D8D1EEC"/>
    <w:rsid w:val="0E2B1300"/>
    <w:rsid w:val="0F20584F"/>
    <w:rsid w:val="0F7B42CE"/>
    <w:rsid w:val="114C5E78"/>
    <w:rsid w:val="11AB7409"/>
    <w:rsid w:val="11E66698"/>
    <w:rsid w:val="146F128F"/>
    <w:rsid w:val="165C4BAB"/>
    <w:rsid w:val="174D4A6E"/>
    <w:rsid w:val="1A334B07"/>
    <w:rsid w:val="1C714533"/>
    <w:rsid w:val="209C78FF"/>
    <w:rsid w:val="20E75449"/>
    <w:rsid w:val="21685BB9"/>
    <w:rsid w:val="217067C6"/>
    <w:rsid w:val="225E1E36"/>
    <w:rsid w:val="237219B4"/>
    <w:rsid w:val="23CD37F2"/>
    <w:rsid w:val="24B056DA"/>
    <w:rsid w:val="269E15E3"/>
    <w:rsid w:val="282D0BDB"/>
    <w:rsid w:val="28E92418"/>
    <w:rsid w:val="3028662A"/>
    <w:rsid w:val="37CF1D31"/>
    <w:rsid w:val="39534C63"/>
    <w:rsid w:val="3BE2679A"/>
    <w:rsid w:val="3FAA6873"/>
    <w:rsid w:val="405D78CF"/>
    <w:rsid w:val="40FE3FD8"/>
    <w:rsid w:val="42BA692C"/>
    <w:rsid w:val="437F2946"/>
    <w:rsid w:val="44592841"/>
    <w:rsid w:val="4461452E"/>
    <w:rsid w:val="44EA753D"/>
    <w:rsid w:val="46121704"/>
    <w:rsid w:val="465E646B"/>
    <w:rsid w:val="482F7D9F"/>
    <w:rsid w:val="4961683A"/>
    <w:rsid w:val="4BB571FE"/>
    <w:rsid w:val="4BDF592E"/>
    <w:rsid w:val="4D285224"/>
    <w:rsid w:val="4FBC109E"/>
    <w:rsid w:val="546A3203"/>
    <w:rsid w:val="5B654A11"/>
    <w:rsid w:val="5B8F2A37"/>
    <w:rsid w:val="5F5F077E"/>
    <w:rsid w:val="61A475F4"/>
    <w:rsid w:val="651C0088"/>
    <w:rsid w:val="6D0F1DCA"/>
    <w:rsid w:val="6D4C19D0"/>
    <w:rsid w:val="6EDE2073"/>
    <w:rsid w:val="73280C2F"/>
    <w:rsid w:val="73B07C59"/>
    <w:rsid w:val="74D0672F"/>
    <w:rsid w:val="75AD086F"/>
    <w:rsid w:val="793926A6"/>
    <w:rsid w:val="7DE17410"/>
    <w:rsid w:val="7DFA7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F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80FF2"/>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C80FF2"/>
    <w:rPr>
      <w:b/>
      <w:bCs/>
    </w:rPr>
  </w:style>
  <w:style w:type="paragraph" w:styleId="a4">
    <w:name w:val="annotation text"/>
    <w:basedOn w:val="a"/>
    <w:link w:val="Char0"/>
    <w:semiHidden/>
    <w:unhideWhenUsed/>
    <w:qFormat/>
    <w:rsid w:val="00C80FF2"/>
    <w:pPr>
      <w:jc w:val="left"/>
    </w:pPr>
  </w:style>
  <w:style w:type="paragraph" w:styleId="a5">
    <w:name w:val="Balloon Text"/>
    <w:basedOn w:val="a"/>
    <w:link w:val="Char1"/>
    <w:qFormat/>
    <w:rsid w:val="00C80FF2"/>
    <w:rPr>
      <w:sz w:val="18"/>
      <w:szCs w:val="18"/>
    </w:rPr>
  </w:style>
  <w:style w:type="paragraph" w:styleId="a6">
    <w:name w:val="footer"/>
    <w:basedOn w:val="a"/>
    <w:qFormat/>
    <w:rsid w:val="00C80FF2"/>
    <w:pPr>
      <w:tabs>
        <w:tab w:val="center" w:pos="4153"/>
        <w:tab w:val="right" w:pos="8306"/>
      </w:tabs>
      <w:snapToGrid w:val="0"/>
      <w:jc w:val="left"/>
    </w:pPr>
    <w:rPr>
      <w:sz w:val="18"/>
    </w:rPr>
  </w:style>
  <w:style w:type="paragraph" w:styleId="a7">
    <w:name w:val="header"/>
    <w:basedOn w:val="a"/>
    <w:qFormat/>
    <w:rsid w:val="00C80F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C80FF2"/>
    <w:pPr>
      <w:spacing w:before="100" w:beforeAutospacing="1" w:after="100" w:afterAutospacing="1"/>
      <w:jc w:val="left"/>
    </w:pPr>
    <w:rPr>
      <w:rFonts w:ascii="Calibri" w:eastAsia="宋体" w:hAnsi="Calibri" w:cs="Times New Roman"/>
      <w:kern w:val="0"/>
      <w:sz w:val="24"/>
    </w:rPr>
  </w:style>
  <w:style w:type="character" w:styleId="a9">
    <w:name w:val="annotation reference"/>
    <w:basedOn w:val="a0"/>
    <w:semiHidden/>
    <w:unhideWhenUsed/>
    <w:qFormat/>
    <w:rsid w:val="00C80FF2"/>
    <w:rPr>
      <w:sz w:val="21"/>
      <w:szCs w:val="21"/>
    </w:rPr>
  </w:style>
  <w:style w:type="table" w:styleId="aa">
    <w:name w:val="Table Grid"/>
    <w:basedOn w:val="a1"/>
    <w:qFormat/>
    <w:rsid w:val="00C8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C80FF2"/>
    <w:pPr>
      <w:ind w:firstLineChars="200" w:firstLine="420"/>
    </w:pPr>
  </w:style>
  <w:style w:type="paragraph" w:customStyle="1" w:styleId="11">
    <w:name w:val="样式1"/>
    <w:basedOn w:val="a6"/>
    <w:qFormat/>
    <w:rsid w:val="00C80FF2"/>
    <w:rPr>
      <w:sz w:val="28"/>
    </w:rPr>
  </w:style>
  <w:style w:type="paragraph" w:customStyle="1" w:styleId="12">
    <w:name w:val="修订1"/>
    <w:hidden/>
    <w:uiPriority w:val="99"/>
    <w:semiHidden/>
    <w:qFormat/>
    <w:rsid w:val="00C80FF2"/>
    <w:rPr>
      <w:rFonts w:asciiTheme="minorHAnsi" w:eastAsiaTheme="minorEastAsia" w:hAnsiTheme="minorHAnsi" w:cstheme="minorBidi"/>
      <w:kern w:val="2"/>
      <w:sz w:val="21"/>
      <w:szCs w:val="24"/>
    </w:rPr>
  </w:style>
  <w:style w:type="character" w:customStyle="1" w:styleId="Char1">
    <w:name w:val="批注框文本 Char"/>
    <w:basedOn w:val="a0"/>
    <w:link w:val="a5"/>
    <w:qFormat/>
    <w:rsid w:val="00C80FF2"/>
    <w:rPr>
      <w:rFonts w:asciiTheme="minorHAnsi" w:eastAsiaTheme="minorEastAsia" w:hAnsiTheme="minorHAnsi" w:cstheme="minorBidi"/>
      <w:kern w:val="2"/>
      <w:sz w:val="18"/>
      <w:szCs w:val="18"/>
    </w:rPr>
  </w:style>
  <w:style w:type="paragraph" w:styleId="ab">
    <w:name w:val="List Paragraph"/>
    <w:basedOn w:val="a"/>
    <w:uiPriority w:val="99"/>
    <w:unhideWhenUsed/>
    <w:qFormat/>
    <w:rsid w:val="00C80FF2"/>
    <w:pPr>
      <w:ind w:firstLineChars="200" w:firstLine="420"/>
    </w:pPr>
  </w:style>
  <w:style w:type="paragraph" w:customStyle="1" w:styleId="2">
    <w:name w:val="修订2"/>
    <w:hidden/>
    <w:uiPriority w:val="99"/>
    <w:semiHidden/>
    <w:rsid w:val="00C80FF2"/>
    <w:rPr>
      <w:rFonts w:asciiTheme="minorHAnsi" w:eastAsiaTheme="minorEastAsia" w:hAnsiTheme="minorHAnsi" w:cstheme="minorBidi"/>
      <w:kern w:val="2"/>
      <w:sz w:val="21"/>
      <w:szCs w:val="24"/>
    </w:rPr>
  </w:style>
  <w:style w:type="character" w:customStyle="1" w:styleId="Char0">
    <w:name w:val="批注文字 Char"/>
    <w:basedOn w:val="a0"/>
    <w:link w:val="a4"/>
    <w:semiHidden/>
    <w:rsid w:val="00C80FF2"/>
    <w:rPr>
      <w:rFonts w:asciiTheme="minorHAnsi" w:eastAsiaTheme="minorEastAsia" w:hAnsiTheme="minorHAnsi" w:cstheme="minorBidi"/>
      <w:kern w:val="2"/>
      <w:sz w:val="21"/>
      <w:szCs w:val="24"/>
    </w:rPr>
  </w:style>
  <w:style w:type="character" w:customStyle="1" w:styleId="Char">
    <w:name w:val="批注主题 Char"/>
    <w:basedOn w:val="Char0"/>
    <w:link w:val="a3"/>
    <w:semiHidden/>
    <w:qFormat/>
    <w:rsid w:val="00C80FF2"/>
    <w:rPr>
      <w:rFonts w:asciiTheme="minorHAnsi" w:eastAsiaTheme="minorEastAsia" w:hAnsiTheme="minorHAnsi" w:cstheme="minorBidi"/>
      <w:b/>
      <w:bCs/>
      <w:kern w:val="2"/>
      <w:sz w:val="21"/>
      <w:szCs w:val="24"/>
    </w:rPr>
  </w:style>
  <w:style w:type="paragraph" w:customStyle="1" w:styleId="21111">
    <w:name w:val="样式 样式 标2 + 段前: 1 行 段后: 1 行 + 段前: 1 行 段后: 1 行"/>
    <w:basedOn w:val="a"/>
    <w:qFormat/>
    <w:rsid w:val="00C80FF2"/>
    <w:pPr>
      <w:widowControl/>
      <w:tabs>
        <w:tab w:val="left" w:pos="852"/>
        <w:tab w:val="left" w:pos="941"/>
        <w:tab w:val="left" w:pos="6741"/>
      </w:tabs>
      <w:spacing w:before="240" w:after="240" w:line="320" w:lineRule="exact"/>
      <w:ind w:left="852" w:hanging="852"/>
      <w:outlineLvl w:val="1"/>
    </w:pPr>
    <w:rPr>
      <w:rFonts w:ascii="Arial" w:eastAsia="宋体" w:hAnsi="Arial" w:cs="宋体"/>
      <w:kern w:val="0"/>
      <w:sz w:val="22"/>
      <w:szCs w:val="20"/>
      <w:lang w:val="fr-FR"/>
    </w:rPr>
  </w:style>
  <w:style w:type="character" w:customStyle="1" w:styleId="ac">
    <w:name w:val="个人答复风格"/>
    <w:rsid w:val="00C80FF2"/>
    <w:rPr>
      <w:rFonts w:ascii="Arial" w:eastAsia="宋体" w:hAnsi="Arial"/>
      <w:color w:val="auto"/>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99</cp:revision>
  <cp:lastPrinted>2023-05-11T06:22:00Z</cp:lastPrinted>
  <dcterms:created xsi:type="dcterms:W3CDTF">2023-03-17T07:25:00Z</dcterms:created>
  <dcterms:modified xsi:type="dcterms:W3CDTF">2023-06-01T01:19:00Z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CE0A4AA3E6324B77844B217BDB972C5C</vt:lpwstr>
  </property>
</Properties>
</file>