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方正黑体_GBK" w:hAnsi="方正黑体_GBK" w:eastAsia="方正黑体_GBK" w:cs="方正黑体_GBK"/>
          <w:b/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spacing w:val="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eastAsia="华文中宋"/>
          <w:b/>
          <w:sz w:val="48"/>
          <w:szCs w:val="48"/>
        </w:rPr>
      </w:pPr>
      <w:r>
        <w:rPr>
          <w:rFonts w:hint="eastAsia" w:eastAsia="华文中宋"/>
          <w:b/>
          <w:sz w:val="48"/>
          <w:szCs w:val="48"/>
        </w:rPr>
        <w:t>镇江市现代服务业高质量发展创新企业申报汇总表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571"/>
        <w:gridCol w:w="981"/>
        <w:gridCol w:w="570"/>
        <w:gridCol w:w="777"/>
        <w:gridCol w:w="609"/>
        <w:gridCol w:w="859"/>
        <w:gridCol w:w="607"/>
        <w:gridCol w:w="607"/>
        <w:gridCol w:w="1225"/>
        <w:gridCol w:w="623"/>
        <w:gridCol w:w="995"/>
        <w:gridCol w:w="995"/>
        <w:gridCol w:w="749"/>
        <w:gridCol w:w="998"/>
        <w:gridCol w:w="995"/>
        <w:gridCol w:w="749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" w:type="pct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02" w:type="pct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区域</w:t>
            </w:r>
          </w:p>
        </w:tc>
        <w:tc>
          <w:tcPr>
            <w:tcW w:w="346" w:type="pct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企业名称</w:t>
            </w:r>
          </w:p>
        </w:tc>
        <w:tc>
          <w:tcPr>
            <w:tcW w:w="201" w:type="pct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产业领域</w:t>
            </w:r>
          </w:p>
        </w:tc>
        <w:tc>
          <w:tcPr>
            <w:tcW w:w="274" w:type="pct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2022年营业收入（万元）</w:t>
            </w:r>
          </w:p>
        </w:tc>
        <w:tc>
          <w:tcPr>
            <w:tcW w:w="215" w:type="pct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2022年营收增长率（%）</w:t>
            </w:r>
          </w:p>
        </w:tc>
        <w:tc>
          <w:tcPr>
            <w:tcW w:w="303" w:type="pct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2022年实交税金（万元）</w:t>
            </w:r>
          </w:p>
        </w:tc>
        <w:tc>
          <w:tcPr>
            <w:tcW w:w="214" w:type="pct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2022年实交税金增长率（%）</w:t>
            </w:r>
          </w:p>
        </w:tc>
        <w:tc>
          <w:tcPr>
            <w:tcW w:w="214" w:type="pct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2022年就业人数（人）</w:t>
            </w:r>
          </w:p>
        </w:tc>
        <w:tc>
          <w:tcPr>
            <w:tcW w:w="2585" w:type="pct"/>
            <w:gridSpan w:val="8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创新示范项目情况</w:t>
            </w:r>
          </w:p>
        </w:tc>
        <w:tc>
          <w:tcPr>
            <w:tcW w:w="314" w:type="pct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202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201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274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215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432" w:type="pct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创新内容和主要成效</w:t>
            </w:r>
          </w:p>
        </w:tc>
        <w:tc>
          <w:tcPr>
            <w:tcW w:w="220" w:type="pct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创新投入</w:t>
            </w:r>
          </w:p>
        </w:tc>
        <w:tc>
          <w:tcPr>
            <w:tcW w:w="966" w:type="pct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创新前一年业绩</w:t>
            </w:r>
          </w:p>
        </w:tc>
        <w:tc>
          <w:tcPr>
            <w:tcW w:w="966" w:type="pct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创新后一年业绩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202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346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201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274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215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303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432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220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营业收入（万元）</w:t>
            </w: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实交税金（万元）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就业人数（人）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营业收入（万元）</w:t>
            </w: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实交税金（万元）</w:t>
            </w:r>
          </w:p>
        </w:tc>
        <w:tc>
          <w:tcPr>
            <w:tcW w:w="26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b/>
                <w:spacing w:val="0"/>
                <w:sz w:val="21"/>
                <w:szCs w:val="21"/>
              </w:rPr>
            </w:pPr>
            <w:r>
              <w:rPr>
                <w:rFonts w:hint="eastAsia" w:eastAsia="方正仿宋_GBK"/>
                <w:b/>
                <w:spacing w:val="0"/>
                <w:sz w:val="21"/>
                <w:szCs w:val="21"/>
              </w:rPr>
              <w:t>就业人数（人）</w:t>
            </w:r>
          </w:p>
        </w:tc>
        <w:tc>
          <w:tcPr>
            <w:tcW w:w="314" w:type="pct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0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0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7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0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20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6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0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0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7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0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20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6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0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0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7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0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20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6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0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0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7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0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20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6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0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0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7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0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20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6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0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0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7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0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20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6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0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46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0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7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0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20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2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51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263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eastAsia="方正仿宋_GBK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mE1MGJhNzQ1NmIyM2E3YjU5OGVmN2ZkYTFjYTcifQ=="/>
  </w:docVars>
  <w:rsids>
    <w:rsidRoot w:val="01DC1C97"/>
    <w:rsid w:val="01DC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10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2023-06-06T06:45:00Z</dcterms:created>
  <dc:creator>明目液</dc:creator>
  <cp:lastModifiedBy>明目液</cp:lastModifiedBy>
  <dcterms:modified xsi:type="dcterms:W3CDTF">2023-06-06T06:46:04Z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A13F3DC13CD142E083AB1BC18DE29B1D_11</vt:lpwstr>
  </property>
</Properties>
</file>