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293" w:line="219" w:lineRule="auto"/>
        <w:ind w:left="560"/>
        <w:rPr>
          <w:rFonts w:ascii="宋体" w:hAnsi="宋体" w:eastAsia="宋体" w:cs="宋体"/>
          <w:sz w:val="90"/>
          <w:szCs w:val="90"/>
        </w:rPr>
      </w:pPr>
    </w:p>
    <w:p>
      <w:pPr>
        <w:spacing w:line="332" w:lineRule="auto"/>
        <w:rPr>
          <w:rFonts w:ascii="Arial"/>
          <w:sz w:val="21"/>
        </w:rPr>
      </w:pPr>
    </w:p>
    <w:p>
      <w:pPr>
        <w:spacing w:line="333" w:lineRule="auto"/>
        <w:rPr>
          <w:rFonts w:ascii="Arial"/>
          <w:sz w:val="21"/>
        </w:rPr>
      </w:pPr>
    </w:p>
    <w:p>
      <w:pPr>
        <w:spacing w:before="133" w:line="207" w:lineRule="auto"/>
        <w:ind w:left="316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4"/>
          <w:sz w:val="31"/>
          <w:szCs w:val="31"/>
        </w:rPr>
        <w:t xml:space="preserve">苏工信融合〔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180 </w:t>
      </w:r>
      <w:r>
        <w:rPr>
          <w:rFonts w:ascii="微软雅黑" w:hAnsi="微软雅黑" w:eastAsia="微软雅黑" w:cs="微软雅黑"/>
          <w:spacing w:val="-3"/>
          <w:sz w:val="31"/>
          <w:szCs w:val="31"/>
        </w:rPr>
        <w:t>号</w:t>
      </w:r>
    </w:p>
    <w:p>
      <w:pPr>
        <w:spacing w:line="305" w:lineRule="auto"/>
        <w:rPr>
          <w:rFonts w:ascii="Arial"/>
          <w:sz w:val="21"/>
        </w:rPr>
      </w:pPr>
    </w:p>
    <w:p>
      <w:pPr>
        <w:spacing w:line="30" w:lineRule="exact"/>
        <w:textAlignment w:val="center"/>
      </w:pPr>
    </w:p>
    <w:p>
      <w:pPr>
        <w:spacing w:line="342" w:lineRule="auto"/>
        <w:rPr>
          <w:rFonts w:ascii="Arial"/>
          <w:sz w:val="21"/>
        </w:rPr>
      </w:pPr>
    </w:p>
    <w:p>
      <w:pPr>
        <w:spacing w:line="343" w:lineRule="auto"/>
        <w:rPr>
          <w:rFonts w:ascii="Arial"/>
          <w:sz w:val="21"/>
        </w:rPr>
      </w:pPr>
    </w:p>
    <w:p>
      <w:pPr>
        <w:spacing w:before="184" w:line="183" w:lineRule="auto"/>
        <w:ind w:left="1053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0"/>
          <w:sz w:val="43"/>
          <w:szCs w:val="43"/>
        </w:rPr>
        <w:t>江苏省工业和信息化厅转发工信部办公厅</w:t>
      </w:r>
    </w:p>
    <w:p>
      <w:pPr>
        <w:spacing w:before="2" w:line="181" w:lineRule="auto"/>
        <w:ind w:left="1384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3"/>
          <w:sz w:val="43"/>
          <w:szCs w:val="43"/>
        </w:rPr>
        <w:t xml:space="preserve">关于组织开展 </w:t>
      </w:r>
      <w:r>
        <w:rPr>
          <w:rFonts w:ascii="Times New Roman" w:hAnsi="Times New Roman" w:eastAsia="Times New Roman" w:cs="Times New Roman"/>
          <w:spacing w:val="13"/>
          <w:sz w:val="43"/>
          <w:szCs w:val="43"/>
        </w:rPr>
        <w:t>2023</w:t>
      </w:r>
      <w:r>
        <w:rPr>
          <w:rFonts w:ascii="微软雅黑" w:hAnsi="微软雅黑" w:eastAsia="微软雅黑" w:cs="微软雅黑"/>
          <w:spacing w:val="13"/>
          <w:sz w:val="43"/>
          <w:szCs w:val="43"/>
        </w:rPr>
        <w:t>年新一代信息技</w:t>
      </w:r>
      <w:r>
        <w:rPr>
          <w:rFonts w:ascii="微软雅黑" w:hAnsi="微软雅黑" w:eastAsia="微软雅黑" w:cs="微软雅黑"/>
          <w:spacing w:val="12"/>
          <w:sz w:val="43"/>
          <w:szCs w:val="43"/>
        </w:rPr>
        <w:t>术</w:t>
      </w:r>
    </w:p>
    <w:p>
      <w:pPr>
        <w:spacing w:before="2" w:line="208" w:lineRule="auto"/>
        <w:ind w:left="1278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6"/>
          <w:sz w:val="43"/>
          <w:szCs w:val="43"/>
        </w:rPr>
        <w:t>典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型产品、应用和服务案例申报的通知</w:t>
      </w:r>
    </w:p>
    <w:p>
      <w:pPr>
        <w:spacing w:line="462" w:lineRule="auto"/>
        <w:rPr>
          <w:rFonts w:ascii="Arial"/>
          <w:sz w:val="21"/>
        </w:rPr>
      </w:pPr>
    </w:p>
    <w:p>
      <w:pPr>
        <w:spacing w:before="134" w:line="206" w:lineRule="auto"/>
        <w:ind w:left="547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>各设区市工信局，  常州市大数据管理中</w:t>
      </w:r>
      <w:r>
        <w:rPr>
          <w:rFonts w:ascii="微软雅黑" w:hAnsi="微软雅黑" w:eastAsia="微软雅黑" w:cs="微软雅黑"/>
          <w:sz w:val="31"/>
          <w:szCs w:val="31"/>
        </w:rPr>
        <w:t>心：</w:t>
      </w:r>
    </w:p>
    <w:p>
      <w:pPr>
        <w:spacing w:before="136" w:line="266" w:lineRule="auto"/>
        <w:ind w:left="526" w:right="136" w:firstLine="664"/>
        <w:jc w:val="right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3"/>
          <w:sz w:val="31"/>
          <w:szCs w:val="31"/>
        </w:rPr>
        <w:t xml:space="preserve">现将工信部办公厅《关于组织开展 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13"/>
          <w:sz w:val="31"/>
          <w:szCs w:val="31"/>
        </w:rPr>
        <w:t>年新一代信息技术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42"/>
          <w:sz w:val="31"/>
          <w:szCs w:val="31"/>
        </w:rPr>
        <w:t>典</w:t>
      </w:r>
      <w:r>
        <w:rPr>
          <w:rFonts w:ascii="微软雅黑" w:hAnsi="微软雅黑" w:eastAsia="微软雅黑" w:cs="微软雅黑"/>
          <w:spacing w:val="29"/>
          <w:sz w:val="31"/>
          <w:szCs w:val="31"/>
        </w:rPr>
        <w:t>型产品、应用和服务案例遴选工作的通知》(工信厅信发函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〔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115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号 ) (详见附件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) </w:t>
      </w:r>
      <w:r>
        <w:rPr>
          <w:rFonts w:ascii="微软雅黑" w:hAnsi="微软雅黑" w:eastAsia="微软雅黑" w:cs="微软雅黑"/>
          <w:sz w:val="31"/>
          <w:szCs w:val="31"/>
        </w:rPr>
        <w:t xml:space="preserve">转发给你们，  请严格按照通知要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求，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以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新一代信息技术与制造业融合发展为主题，围绕典型产品、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典型应用、典型服务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模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式等方向 ，遴选一批优秀典型案例 ，挖掘</w:t>
      </w:r>
    </w:p>
    <w:p>
      <w:pPr>
        <w:spacing w:before="2" w:line="266" w:lineRule="auto"/>
        <w:ind w:left="560" w:right="261" w:hanging="1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>推广行业广泛认可、企业现实应用的产品</w:t>
      </w:r>
      <w:r>
        <w:rPr>
          <w:rFonts w:ascii="微软雅黑" w:hAnsi="微软雅黑" w:eastAsia="微软雅黑" w:cs="微软雅黑"/>
          <w:sz w:val="31"/>
          <w:szCs w:val="31"/>
        </w:rPr>
        <w:t xml:space="preserve">案例 ，  为更多地方和企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业应用新一代信息技术，  推动高质量发展提供路径参</w:t>
      </w:r>
      <w:r>
        <w:rPr>
          <w:rFonts w:ascii="微软雅黑" w:hAnsi="微软雅黑" w:eastAsia="微软雅黑" w:cs="微软雅黑"/>
          <w:sz w:val="31"/>
          <w:szCs w:val="31"/>
        </w:rPr>
        <w:t>考。</w:t>
      </w:r>
    </w:p>
    <w:p>
      <w:pPr>
        <w:spacing w:line="207" w:lineRule="auto"/>
        <w:jc w:val="right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8"/>
          <w:sz w:val="31"/>
          <w:szCs w:val="31"/>
        </w:rPr>
        <w:t>各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地推荐的申报主体应在江苏省内注册、具备独立法人资格，</w:t>
      </w:r>
    </w:p>
    <w:p>
      <w:pPr>
        <w:sectPr>
          <w:footerReference r:id="rId5" w:type="default"/>
          <w:pgSz w:w="11916" w:h="16848"/>
          <w:pgMar w:top="1432" w:right="1222" w:bottom="1408" w:left="943" w:header="0" w:footer="1132" w:gutter="0"/>
          <w:cols w:space="720" w:num="1"/>
        </w:sectPr>
      </w:pPr>
    </w:p>
    <w:p>
      <w:pPr>
        <w:spacing w:line="317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33" w:line="266" w:lineRule="auto"/>
        <w:ind w:left="1" w:firstLine="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具有较好的经济实力、技术研发和融合发展能力 。产品目录应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是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已实现产业化或已在行业中部署应</w:t>
      </w:r>
      <w:r>
        <w:rPr>
          <w:rFonts w:ascii="微软雅黑" w:hAnsi="微软雅黑" w:eastAsia="微软雅黑" w:cs="微软雅黑"/>
          <w:sz w:val="31"/>
          <w:szCs w:val="31"/>
        </w:rPr>
        <w:t xml:space="preserve">用的工业软件优秀产品 ，  应用  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案例能有效支撑开展制造企</w:t>
      </w:r>
      <w:r>
        <w:rPr>
          <w:rFonts w:ascii="微软雅黑" w:hAnsi="微软雅黑" w:eastAsia="微软雅黑" w:cs="微软雅黑"/>
          <w:sz w:val="31"/>
          <w:szCs w:val="31"/>
        </w:rPr>
        <w:t xml:space="preserve">业数字化转型 ，  并有可量化的经济效  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益或社会效益 ，服务模式能探索政产校企联动的人才培养新模式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满足地方企业和政府标准化需</w:t>
      </w:r>
      <w:r>
        <w:rPr>
          <w:rFonts w:ascii="微软雅黑" w:hAnsi="微软雅黑" w:eastAsia="微软雅黑" w:cs="微软雅黑"/>
          <w:sz w:val="31"/>
          <w:szCs w:val="31"/>
        </w:rPr>
        <w:t xml:space="preserve">求 。  申报材料要描述详实、重点突   </w:t>
      </w:r>
      <w:r>
        <w:rPr>
          <w:rFonts w:ascii="微软雅黑" w:hAnsi="微软雅黑" w:eastAsia="微软雅黑" w:cs="微软雅黑"/>
          <w:spacing w:val="-16"/>
          <w:sz w:val="31"/>
          <w:szCs w:val="31"/>
        </w:rPr>
        <w:t>出、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>表述准确 、逻辑性强 ，  杜绝虚构和夸大。  已列入前期同类典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型案例的不可重复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申报。对于工业软件优秀产品申报项 目 ，将同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 xml:space="preserve">时作为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2023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年江苏省优秀工业软件产品申报项 目一并遴选；  对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>于区块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链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 xml:space="preserve">典型应用案例申报项目，  将同时作为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年江苏省区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>块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链应用示范申报项目一并遴选。</w:t>
      </w:r>
    </w:p>
    <w:p>
      <w:pPr>
        <w:spacing w:line="269" w:lineRule="auto"/>
        <w:ind w:right="283" w:firstLine="64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>届时 ，  我厅将根据各地</w:t>
      </w:r>
      <w:r>
        <w:rPr>
          <w:rFonts w:ascii="微软雅黑" w:hAnsi="微软雅黑" w:eastAsia="微软雅黑" w:cs="微软雅黑"/>
          <w:sz w:val="31"/>
          <w:szCs w:val="31"/>
        </w:rPr>
        <w:t xml:space="preserve">推荐情况组织专家评审筛选 ( 工业软 </w:t>
      </w:r>
      <w:r>
        <w:rPr>
          <w:rFonts w:ascii="微软雅黑" w:hAnsi="微软雅黑" w:eastAsia="微软雅黑" w:cs="微软雅黑"/>
          <w:spacing w:val="18"/>
          <w:sz w:val="31"/>
          <w:szCs w:val="31"/>
        </w:rPr>
        <w:t>件</w:t>
      </w:r>
      <w:r>
        <w:rPr>
          <w:rFonts w:ascii="微软雅黑" w:hAnsi="微软雅黑" w:eastAsia="微软雅黑" w:cs="微软雅黑"/>
          <w:spacing w:val="13"/>
          <w:sz w:val="31"/>
          <w:szCs w:val="31"/>
        </w:rPr>
        <w:t xml:space="preserve">产品方向同步遴选出 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13"/>
          <w:sz w:val="31"/>
          <w:szCs w:val="31"/>
        </w:rPr>
        <w:t>年江苏省重点推广应用的优秀工业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 xml:space="preserve">软件产品，  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区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块链方向同步遴选出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年江苏省区块链应用示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9"/>
          <w:sz w:val="31"/>
          <w:szCs w:val="31"/>
        </w:rPr>
        <w:t>范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 xml:space="preserve">项目 )、推荐上报。请各地工信部门于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6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16 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>日(周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8"/>
          <w:sz w:val="31"/>
          <w:szCs w:val="31"/>
        </w:rPr>
        <w:t xml:space="preserve">五 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)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18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：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00 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前，将经审核盖章的推荐意见函 (含应用案例信息汇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37"/>
          <w:sz w:val="31"/>
          <w:szCs w:val="31"/>
        </w:rPr>
        <w:t>总</w:t>
      </w:r>
      <w:r>
        <w:rPr>
          <w:rFonts w:ascii="微软雅黑" w:hAnsi="微软雅黑" w:eastAsia="微软雅黑" w:cs="微软雅黑"/>
          <w:spacing w:val="27"/>
          <w:sz w:val="31"/>
          <w:szCs w:val="31"/>
        </w:rPr>
        <w:t>表、一式壹份)、应用案例申报书(一式叁份) 按照职能分工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分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别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对口报送厅大数据产业处 ( 负责区块链典型应用案例、  区块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6"/>
          <w:sz w:val="31"/>
          <w:szCs w:val="31"/>
        </w:rPr>
        <w:t>链</w:t>
      </w:r>
      <w:r>
        <w:rPr>
          <w:rFonts w:ascii="微软雅黑" w:hAnsi="微软雅黑" w:eastAsia="微软雅黑" w:cs="微软雅黑"/>
          <w:spacing w:val="20"/>
          <w:sz w:val="31"/>
          <w:szCs w:val="31"/>
        </w:rPr>
        <w:t>领域的典型服务模式 )、软件和信息服务业处(负责典型产品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5"/>
          <w:sz w:val="31"/>
          <w:szCs w:val="31"/>
        </w:rPr>
        <w:t>名</w:t>
      </w:r>
      <w:r>
        <w:rPr>
          <w:rFonts w:ascii="微软雅黑" w:hAnsi="微软雅黑" w:eastAsia="微软雅黑" w:cs="微软雅黑"/>
          <w:spacing w:val="20"/>
          <w:sz w:val="31"/>
          <w:szCs w:val="31"/>
        </w:rPr>
        <w:t>录、软件领域的典型服务模式 )、两化融合推进处(负责工业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互联网平台 、企业上云用云、数字化转型领域的典型应用案例及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服务模式 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) ，  电子版汇总后同步发送至指定邮箱。</w:t>
      </w:r>
    </w:p>
    <w:p>
      <w:pPr>
        <w:sectPr>
          <w:footerReference r:id="rId6" w:type="default"/>
          <w:pgSz w:w="11916" w:h="16848"/>
          <w:pgMar w:top="1432" w:right="1196" w:bottom="1408" w:left="1488" w:header="0" w:footer="1132" w:gutter="0"/>
          <w:cols w:space="720" w:num="1"/>
        </w:sect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6" w:lineRule="auto"/>
        <w:rPr>
          <w:rFonts w:ascii="Arial"/>
          <w:sz w:val="21"/>
        </w:rPr>
      </w:pPr>
    </w:p>
    <w:p>
      <w:pPr>
        <w:spacing w:before="133" w:line="180" w:lineRule="auto"/>
        <w:ind w:left="34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5"/>
          <w:sz w:val="31"/>
          <w:szCs w:val="31"/>
        </w:rPr>
        <w:t>联系方式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：</w:t>
      </w:r>
    </w:p>
    <w:p>
      <w:pPr>
        <w:spacing w:line="589" w:lineRule="exact"/>
        <w:ind w:left="36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position w:val="8"/>
          <w:sz w:val="31"/>
          <w:szCs w:val="31"/>
        </w:rPr>
        <w:t>1.</w:t>
      </w:r>
      <w:r>
        <w:rPr>
          <w:rFonts w:ascii="微软雅黑" w:hAnsi="微软雅黑" w:eastAsia="微软雅黑" w:cs="微软雅黑"/>
          <w:spacing w:val="10"/>
          <w:position w:val="8"/>
          <w:sz w:val="31"/>
          <w:szCs w:val="31"/>
        </w:rPr>
        <w:t>大数</w:t>
      </w:r>
      <w:r>
        <w:rPr>
          <w:rFonts w:ascii="微软雅黑" w:hAnsi="微软雅黑" w:eastAsia="微软雅黑" w:cs="微软雅黑"/>
          <w:spacing w:val="5"/>
          <w:position w:val="8"/>
          <w:sz w:val="31"/>
          <w:szCs w:val="31"/>
        </w:rPr>
        <w:t xml:space="preserve">据产业处 </w:t>
      </w:r>
      <w:r>
        <w:rPr>
          <w:rFonts w:ascii="Times New Roman" w:hAnsi="Times New Roman" w:eastAsia="Times New Roman" w:cs="Times New Roman"/>
          <w:spacing w:val="5"/>
          <w:position w:val="8"/>
          <w:sz w:val="31"/>
          <w:szCs w:val="31"/>
        </w:rPr>
        <w:t xml:space="preserve">025-69652663 </w:t>
      </w:r>
      <w:r>
        <w:rPr>
          <w:rFonts w:ascii="微软雅黑" w:hAnsi="微软雅黑" w:eastAsia="微软雅黑" w:cs="微软雅黑"/>
          <w:spacing w:val="5"/>
          <w:position w:val="8"/>
          <w:sz w:val="31"/>
          <w:szCs w:val="31"/>
        </w:rPr>
        <w:t>、</w:t>
      </w:r>
      <w:r>
        <w:fldChar w:fldCharType="begin"/>
      </w:r>
      <w:r>
        <w:instrText xml:space="preserve"> HYPERLINK "mailto:gxt_dsjc@163.com" </w:instrText>
      </w:r>
      <w:r>
        <w:fldChar w:fldCharType="separate"/>
      </w:r>
      <w:r>
        <w:rPr>
          <w:rFonts w:ascii="Times New Roman" w:hAnsi="Times New Roman" w:eastAsia="Times New Roman" w:cs="Times New Roman"/>
          <w:position w:val="8"/>
          <w:sz w:val="31"/>
          <w:szCs w:val="31"/>
        </w:rPr>
        <w:t>gxt</w:t>
      </w:r>
      <w:r>
        <w:rPr>
          <w:rFonts w:ascii="Times New Roman" w:hAnsi="Times New Roman" w:eastAsia="Times New Roman" w:cs="Times New Roman"/>
          <w:spacing w:val="5"/>
          <w:position w:val="8"/>
          <w:sz w:val="31"/>
          <w:szCs w:val="31"/>
        </w:rPr>
        <w:t>_</w:t>
      </w:r>
      <w:r>
        <w:rPr>
          <w:rFonts w:ascii="Times New Roman" w:hAnsi="Times New Roman" w:eastAsia="Times New Roman" w:cs="Times New Roman"/>
          <w:position w:val="8"/>
          <w:sz w:val="31"/>
          <w:szCs w:val="31"/>
        </w:rPr>
        <w:t>dsjc</w:t>
      </w:r>
      <w:r>
        <w:rPr>
          <w:rFonts w:ascii="Times New Roman" w:hAnsi="Times New Roman" w:eastAsia="Times New Roman" w:cs="Times New Roman"/>
          <w:spacing w:val="5"/>
          <w:position w:val="8"/>
          <w:sz w:val="31"/>
          <w:szCs w:val="31"/>
        </w:rPr>
        <w:t>@163.</w:t>
      </w:r>
      <w:r>
        <w:rPr>
          <w:rFonts w:ascii="Times New Roman" w:hAnsi="Times New Roman" w:eastAsia="Times New Roman" w:cs="Times New Roman"/>
          <w:position w:val="8"/>
          <w:sz w:val="31"/>
          <w:szCs w:val="31"/>
        </w:rPr>
        <w:t>com</w:t>
      </w:r>
      <w:r>
        <w:rPr>
          <w:rFonts w:ascii="Times New Roman" w:hAnsi="Times New Roman" w:eastAsia="Times New Roman" w:cs="Times New Roman"/>
          <w:position w:val="8"/>
          <w:sz w:val="31"/>
          <w:szCs w:val="31"/>
        </w:rPr>
        <w:fldChar w:fldCharType="end"/>
      </w:r>
    </w:p>
    <w:p>
      <w:pPr>
        <w:spacing w:before="194" w:line="266" w:lineRule="auto"/>
        <w:ind w:left="340" w:right="414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地址：  南京市北京西路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16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号苏兴大厦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1009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室</w:t>
      </w:r>
      <w:r>
        <w:rPr>
          <w:rFonts w:ascii="微软雅黑" w:hAnsi="微软雅黑" w:eastAsia="微软雅黑" w:cs="微软雅黑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spacing w:val="-28"/>
          <w:sz w:val="31"/>
          <w:szCs w:val="31"/>
        </w:rPr>
        <w:t>2.</w:t>
      </w:r>
      <w:r>
        <w:rPr>
          <w:rFonts w:ascii="微软雅黑" w:hAnsi="微软雅黑" w:eastAsia="微软雅黑" w:cs="微软雅黑"/>
          <w:spacing w:val="-21"/>
          <w:sz w:val="31"/>
          <w:szCs w:val="31"/>
        </w:rPr>
        <w:t>软</w:t>
      </w:r>
      <w:r>
        <w:rPr>
          <w:rFonts w:ascii="微软雅黑" w:hAnsi="微软雅黑" w:eastAsia="微软雅黑" w:cs="微软雅黑"/>
          <w:spacing w:val="-14"/>
          <w:sz w:val="31"/>
          <w:szCs w:val="31"/>
        </w:rPr>
        <w:t xml:space="preserve">件和信息服务业处 </w:t>
      </w:r>
      <w:r>
        <w:rPr>
          <w:rFonts w:ascii="Times New Roman" w:hAnsi="Times New Roman" w:eastAsia="Times New Roman" w:cs="Times New Roman"/>
          <w:spacing w:val="-14"/>
          <w:sz w:val="31"/>
          <w:szCs w:val="31"/>
        </w:rPr>
        <w:t>025-69652742</w:t>
      </w:r>
      <w:r>
        <w:rPr>
          <w:rFonts w:ascii="微软雅黑" w:hAnsi="微软雅黑" w:eastAsia="微软雅黑" w:cs="微软雅黑"/>
          <w:spacing w:val="-14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-14"/>
          <w:sz w:val="31"/>
          <w:szCs w:val="31"/>
        </w:rPr>
        <w:t>jsrwanjianchw@163.com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地址：  南京市北京西路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16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号苏兴大厦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1000 </w:t>
      </w:r>
      <w:r>
        <w:rPr>
          <w:rFonts w:ascii="微软雅黑" w:hAnsi="微软雅黑" w:eastAsia="微软雅黑" w:cs="微软雅黑"/>
          <w:sz w:val="31"/>
          <w:szCs w:val="31"/>
        </w:rPr>
        <w:t xml:space="preserve">室           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3.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两化融合推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进处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025-69652717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z w:val="31"/>
          <w:szCs w:val="31"/>
        </w:rPr>
        <w:t>qyxxhc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@163.</w:t>
      </w:r>
      <w:r>
        <w:rPr>
          <w:rFonts w:ascii="Times New Roman" w:hAnsi="Times New Roman" w:eastAsia="Times New Roman" w:cs="Times New Roman"/>
          <w:sz w:val="31"/>
          <w:szCs w:val="31"/>
        </w:rPr>
        <w:t>com</w:t>
      </w:r>
    </w:p>
    <w:p>
      <w:pPr>
        <w:spacing w:before="1" w:line="206" w:lineRule="auto"/>
        <w:ind w:left="34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地址： </w:t>
      </w:r>
      <w:r>
        <w:rPr>
          <w:rFonts w:ascii="微软雅黑" w:hAnsi="微软雅黑" w:eastAsia="微软雅黑" w:cs="微软雅黑"/>
          <w:sz w:val="31"/>
          <w:szCs w:val="31"/>
        </w:rPr>
        <w:t xml:space="preserve"> 南京市北京西路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16 </w:t>
      </w:r>
      <w:r>
        <w:rPr>
          <w:rFonts w:ascii="微软雅黑" w:hAnsi="微软雅黑" w:eastAsia="微软雅黑" w:cs="微软雅黑"/>
          <w:sz w:val="31"/>
          <w:szCs w:val="31"/>
        </w:rPr>
        <w:t xml:space="preserve">号苏兴大厦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903 </w:t>
      </w:r>
      <w:r>
        <w:rPr>
          <w:rFonts w:ascii="微软雅黑" w:hAnsi="微软雅黑" w:eastAsia="微软雅黑" w:cs="微软雅黑"/>
          <w:sz w:val="31"/>
          <w:szCs w:val="31"/>
        </w:rPr>
        <w:t>室</w:t>
      </w:r>
    </w:p>
    <w:p>
      <w:pPr>
        <w:spacing w:line="293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spacing w:before="133" w:line="207" w:lineRule="auto"/>
        <w:ind w:left="36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4"/>
          <w:sz w:val="31"/>
          <w:szCs w:val="31"/>
        </w:rPr>
        <w:t xml:space="preserve">附件： 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1.</w:t>
      </w:r>
      <w:r>
        <w:fldChar w:fldCharType="begin"/>
      </w:r>
      <w:r>
        <w:instrText xml:space="preserve"> HYPERLINK "http://gxt.jiangsu.gov.cn/module/download/downfile.jsp?classid=0&amp;filename=797e1422506340d698d92e6881e6c410.rar" </w:instrText>
      </w:r>
      <w:r>
        <w:fldChar w:fldCharType="separate"/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工</w:t>
      </w:r>
      <w:r>
        <w:rPr>
          <w:rFonts w:ascii="微软雅黑" w:hAnsi="微软雅黑" w:eastAsia="微软雅黑" w:cs="微软雅黑"/>
          <w:spacing w:val="-3"/>
          <w:sz w:val="31"/>
          <w:szCs w:val="31"/>
        </w:rPr>
        <w:t>信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厅信发函〔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2023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115 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号文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fldChar w:fldCharType="end"/>
      </w:r>
    </w:p>
    <w:p>
      <w:pPr>
        <w:spacing w:before="128" w:line="207" w:lineRule="auto"/>
        <w:ind w:left="129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2.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各地推荐汇总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表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33" w:line="284" w:lineRule="auto"/>
        <w:ind w:left="5051" w:right="630" w:hanging="37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8"/>
          <w:sz w:val="31"/>
          <w:szCs w:val="31"/>
        </w:rPr>
        <w:t>江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苏省工业和信息化厅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31  </w:t>
      </w:r>
      <w:r>
        <w:rPr>
          <w:rFonts w:ascii="微软雅黑" w:hAnsi="微软雅黑" w:eastAsia="微软雅黑" w:cs="微软雅黑"/>
          <w:sz w:val="31"/>
          <w:szCs w:val="31"/>
        </w:rPr>
        <w:t>日</w:t>
      </w:r>
    </w:p>
    <w:p>
      <w:pPr>
        <w:sectPr>
          <w:footerReference r:id="rId7" w:type="default"/>
          <w:pgSz w:w="11916" w:h="16848"/>
          <w:pgMar w:top="1432" w:right="1650" w:bottom="1408" w:left="1787" w:header="0" w:footer="1135" w:gutter="0"/>
          <w:cols w:space="720" w:num="1"/>
        </w:sectPr>
      </w:pPr>
      <w:bookmarkStart w:id="0" w:name="_GoBack"/>
      <w:bookmarkEnd w:id="0"/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74" w:lineRule="exact"/>
        <w:textAlignment w:val="center"/>
      </w:pPr>
      <w:r>
        <w:drawing>
          <wp:inline distT="0" distB="0" distL="0" distR="0">
            <wp:extent cx="5659120" cy="4699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9197" cy="4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73" w:lineRule="exact"/>
      </w:pPr>
    </w:p>
    <w:p>
      <w:pPr>
        <w:sectPr>
          <w:footerReference r:id="rId8" w:type="default"/>
          <w:pgSz w:w="11916" w:h="16848"/>
          <w:pgMar w:top="1432" w:right="1539" w:bottom="400" w:left="1460" w:header="0" w:footer="0" w:gutter="0"/>
          <w:cols w:equalWidth="0" w:num="1">
            <w:col w:w="8916"/>
          </w:cols>
        </w:sectPr>
      </w:pPr>
    </w:p>
    <w:p>
      <w:pPr>
        <w:spacing w:before="62" w:line="158" w:lineRule="auto"/>
        <w:ind w:left="258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4"/>
          <w:sz w:val="28"/>
          <w:szCs w:val="28"/>
        </w:rPr>
        <w:t>江苏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省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工信厅办公室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1" w:line="158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6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23 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 xml:space="preserve">年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5 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 xml:space="preserve">月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31  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日 印发</w:t>
      </w:r>
    </w:p>
    <w:p>
      <w:pPr>
        <w:sectPr>
          <w:type w:val="continuous"/>
          <w:pgSz w:w="11916" w:h="16848"/>
          <w:pgMar w:top="1432" w:right="1539" w:bottom="400" w:left="1460" w:header="0" w:footer="0" w:gutter="0"/>
          <w:cols w:equalWidth="0" w:num="2">
            <w:col w:w="5881" w:space="100"/>
            <w:col w:w="2935"/>
          </w:cols>
        </w:sectPr>
      </w:pPr>
    </w:p>
    <w:p>
      <w:pPr>
        <w:spacing w:before="118" w:line="61" w:lineRule="exact"/>
        <w:ind w:firstLine="1"/>
        <w:textAlignment w:val="center"/>
      </w:pPr>
      <w:r>
        <w:drawing>
          <wp:inline distT="0" distB="0" distL="0" distR="0">
            <wp:extent cx="5660390" cy="3873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0449" cy="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8" w:lineRule="auto"/>
        <w:rPr>
          <w:rFonts w:ascii="Arial"/>
          <w:sz w:val="21"/>
        </w:rPr>
      </w:pPr>
    </w:p>
    <w:p>
      <w:pPr>
        <w:spacing w:before="91" w:line="195" w:lineRule="exact"/>
        <w:ind w:left="3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-4"/>
          <w:sz w:val="28"/>
          <w:szCs w:val="28"/>
        </w:rPr>
        <w:t xml:space="preserve">— </w:t>
      </w:r>
      <w:r>
        <w:rPr>
          <w:rFonts w:ascii="Times New Roman" w:hAnsi="Times New Roman" w:eastAsia="Times New Roman" w:cs="Times New Roman"/>
          <w:position w:val="-4"/>
          <w:sz w:val="28"/>
          <w:szCs w:val="28"/>
        </w:rPr>
        <w:t xml:space="preserve">4  </w:t>
      </w:r>
      <w:r>
        <w:rPr>
          <w:rFonts w:ascii="仿宋" w:hAnsi="仿宋" w:eastAsia="仿宋" w:cs="仿宋"/>
          <w:position w:val="-4"/>
          <w:sz w:val="28"/>
          <w:szCs w:val="28"/>
        </w:rPr>
        <w:t>—</w:t>
      </w:r>
    </w:p>
    <w:sectPr>
      <w:type w:val="continuous"/>
      <w:pgSz w:w="11916" w:h="16848"/>
      <w:pgMar w:top="1432" w:right="1539" w:bottom="400" w:left="1460" w:header="0" w:footer="0" w:gutter="0"/>
      <w:cols w:equalWidth="0" w:num="1">
        <w:col w:w="891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right="404"/>
      <w:jc w:val="right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1  </w:t>
    </w:r>
    <w:r>
      <w:rPr>
        <w:rFonts w:ascii="仿宋" w:hAnsi="仿宋" w:eastAsia="仿宋" w:cs="仿宋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289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2  </w:t>
    </w:r>
    <w:r>
      <w:rPr>
        <w:rFonts w:ascii="仿宋" w:hAnsi="仿宋" w:eastAsia="仿宋" w:cs="仿宋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jc w:val="right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6"/>
        <w:sz w:val="28"/>
        <w:szCs w:val="28"/>
      </w:rPr>
      <w:t>—</w:t>
    </w:r>
    <w:r>
      <w:rPr>
        <w:rFonts w:ascii="仿宋" w:hAnsi="仿宋" w:eastAsia="仿宋" w:cs="仿宋"/>
        <w:spacing w:val="-5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3"/>
        <w:sz w:val="28"/>
        <w:szCs w:val="28"/>
      </w:rPr>
      <w:t xml:space="preserve">3  </w:t>
    </w:r>
    <w:r>
      <w:rPr>
        <w:rFonts w:ascii="仿宋" w:hAnsi="仿宋" w:eastAsia="仿宋" w:cs="仿宋"/>
        <w:spacing w:val="-3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Q5Zjc5YWMzZTU0Y2YyNTUzNDA4NTg4MDc0NDg3ZjMifQ=="/>
  </w:docVars>
  <w:rsids>
    <w:rsidRoot w:val="00000000"/>
    <w:rsid w:val="2FEA43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2023-06-01T10:46:00Z</dcterms:created>
  <dc:creator>xingyang</dc:creator>
  <cp:lastModifiedBy>苏信</cp:lastModifiedBy>
  <dcterms:modified xsi:type="dcterms:W3CDTF">2023-06-05T10:45:22Z</dcterms:modified>
  <dc:title>苏工信〔2022〕号              签发人：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2023-06-05T18:44:54Z</vt:filetime>
  </property>
  <property fmtid="{D5CDD505-2E9C-101B-9397-08002B2CF9AE}" pid="4" name="KSOProductBuildVer">
    <vt:lpwstr>2052-11.1.0.14309</vt:lpwstr>
  </property>
  <property fmtid="{D5CDD505-2E9C-101B-9397-08002B2CF9AE}" pid="5" name="ICV">
    <vt:lpwstr>AAC8A86BD7334C42834D1C0515A6E281_12</vt:lpwstr>
  </property>
</Properties>
</file>