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20" w:lineRule="atLeast"/>
        <w:ind w:firstLineChars="0" w:firstLine="0"/>
        <w:rPr>
          <w:rFonts w:ascii="Times New Roman" w:eastAsia="方正小标宋_GBK" w:hAnsi="Times New Roman"/>
          <w:bCs/>
          <w:sz w:val="44"/>
          <w:szCs w:val="44"/>
        </w:rPr>
      </w:pPr>
      <w:r>
        <w:rPr>
          <w:rFonts w:ascii="Times New Roman" w:eastAsia="方正小标宋_GBK" w:hAnsi="Times New Roman" w:hint="eastAsia"/>
          <w:bCs/>
          <w:sz w:val="32"/>
          <w:szCs w:val="32"/>
        </w:rPr>
        <w:t xml:space="preserve">附件： </w:t>
      </w:r>
      <w:r>
        <w:rPr>
          <w:rFonts w:ascii="Times New Roman" w:eastAsia="方正小标宋_GBK" w:hAnsi="Times New Roman"/>
          <w:bCs/>
          <w:sz w:val="32"/>
          <w:szCs w:val="32"/>
        </w:rPr>
        <w:t xml:space="preserve"> </w:t>
      </w:r>
      <w:r>
        <w:rPr>
          <w:rFonts w:ascii="Times New Roman" w:eastAsia="方正小标宋_GBK" w:hAnsi="Times New Roman"/>
          <w:bCs/>
          <w:sz w:val="44"/>
          <w:szCs w:val="44"/>
        </w:rPr>
        <w:t xml:space="preserve">       </w:t>
      </w:r>
    </w:p>
    <w:p>
      <w:pPr>
        <w:spacing w:line="520" w:lineRule="atLeast"/>
        <w:ind w:firstLineChars="0" w:firstLine="0"/>
        <w:jc w:val="center"/>
        <w:rPr>
          <w:rFonts w:ascii="Times New Roman" w:eastAsia="方正小标宋_GBK" w:hAnsi="Times New Roman"/>
          <w:bCs/>
          <w:sz w:val="44"/>
          <w:szCs w:val="44"/>
        </w:rPr>
      </w:pPr>
      <w:r>
        <w:rPr>
          <w:rFonts w:ascii="Times New Roman" w:eastAsia="方正小标宋_GBK" w:hAnsi="Times New Roman"/>
          <w:bCs/>
          <w:sz w:val="44"/>
          <w:szCs w:val="44"/>
        </w:rPr>
        <w:t>江苏省科技创新发展奖推荐对象主要事迹</w:t>
      </w:r>
    </w:p>
    <w:p>
      <w:pPr>
        <w:spacing w:line="590" w:lineRule="exact"/>
        <w:ind w:firstLineChars="0" w:firstLine="0"/>
        <w:jc w:val="center"/>
        <w:rPr>
          <w:rFonts w:ascii="Times New Roman" w:eastAsia="方正黑体_GBK" w:hAnsi="Times New Roman"/>
          <w:bCs/>
          <w:sz w:val="32"/>
          <w:szCs w:val="32"/>
        </w:rPr>
      </w:pPr>
      <w:r>
        <w:rPr>
          <w:rFonts w:ascii="Times New Roman" w:eastAsia="方正黑体_GBK" w:hAnsi="Times New Roman" w:hint="eastAsia"/>
          <w:bCs/>
          <w:sz w:val="32"/>
          <w:szCs w:val="32"/>
        </w:rPr>
        <w:t>一、</w:t>
      </w:r>
      <w:r>
        <w:rPr>
          <w:rFonts w:ascii="Times New Roman" w:eastAsia="方正黑体_GBK" w:hAnsi="Times New Roman"/>
          <w:bCs/>
          <w:sz w:val="32"/>
          <w:szCs w:val="32"/>
        </w:rPr>
        <w:t>江苏省科技创新发展奖先进单位（集体）推荐对象汇总表</w:t>
      </w:r>
    </w:p>
    <w:tbl>
      <w:tblPr>
        <w:jc w:val="center"/>
        <w:tblW w:w="1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0"/>
        <w:gridCol w:w="1680"/>
        <w:gridCol w:w="1408"/>
        <w:gridCol w:w="9680"/>
      </w:tblGrid>
      <w:tr>
        <w:trPr>
          <w:trHeight w:val="694"/>
        </w:trPr>
        <w:tc>
          <w:tcPr>
            <w:tcW w:w="970" w:type="dxa"/>
            <w:vAlign w:val="center"/>
          </w:tcPr>
          <w:p>
            <w:pPr>
              <w:spacing w:line="320" w:lineRule="exact"/>
              <w:ind w:firstLineChars="0" w:firstLine="0"/>
              <w:jc w:val="center"/>
              <w:rPr>
                <w:rFonts w:ascii="Times New Roman" w:eastAsia="方正黑体_GBK" w:hAnsi="Times New Roman"/>
                <w:bCs/>
                <w:sz w:val="24"/>
                <w:szCs w:val="24"/>
              </w:rPr>
            </w:pPr>
            <w:r>
              <w:rPr>
                <w:rFonts w:ascii="Times New Roman" w:eastAsia="方正黑体_GBK" w:hAnsi="Times New Roman"/>
                <w:bCs/>
                <w:sz w:val="24"/>
                <w:szCs w:val="24"/>
              </w:rPr>
              <w:t>序号</w:t>
            </w:r>
          </w:p>
        </w:tc>
        <w:tc>
          <w:tcPr>
            <w:tcW w:w="1680" w:type="dxa"/>
            <w:vAlign w:val="center"/>
          </w:tcPr>
          <w:p>
            <w:pPr>
              <w:spacing w:line="320" w:lineRule="exact"/>
              <w:ind w:firstLineChars="0" w:firstLine="0"/>
              <w:jc w:val="center"/>
              <w:rPr>
                <w:rFonts w:ascii="Times New Roman" w:eastAsia="方正黑体_GBK" w:hAnsi="Times New Roman"/>
                <w:bCs/>
                <w:sz w:val="24"/>
                <w:szCs w:val="24"/>
              </w:rPr>
            </w:pPr>
            <w:r>
              <w:rPr>
                <w:rFonts w:ascii="Times New Roman" w:eastAsia="方正黑体_GBK" w:hAnsi="Times New Roman"/>
                <w:bCs/>
                <w:sz w:val="24"/>
                <w:szCs w:val="24"/>
              </w:rPr>
              <w:t>单位（集体）名称</w:t>
            </w:r>
          </w:p>
        </w:tc>
        <w:tc>
          <w:tcPr>
            <w:tcW w:w="1408" w:type="dxa"/>
            <w:vAlign w:val="center"/>
          </w:tcPr>
          <w:p>
            <w:pPr>
              <w:spacing w:line="320" w:lineRule="exact"/>
              <w:ind w:firstLineChars="0" w:firstLine="0"/>
              <w:jc w:val="center"/>
              <w:rPr>
                <w:rFonts w:ascii="Times New Roman" w:eastAsia="方正黑体_GBK" w:hAnsi="Times New Roman"/>
                <w:bCs/>
                <w:sz w:val="24"/>
                <w:szCs w:val="24"/>
              </w:rPr>
            </w:pPr>
            <w:r>
              <w:rPr>
                <w:rFonts w:ascii="Times New Roman" w:eastAsia="方正黑体_GBK" w:hAnsi="Times New Roman"/>
                <w:bCs/>
                <w:sz w:val="24"/>
                <w:szCs w:val="24"/>
              </w:rPr>
              <w:t>行政</w:t>
            </w:r>
          </w:p>
          <w:p>
            <w:pPr>
              <w:spacing w:line="320" w:lineRule="exact"/>
              <w:ind w:firstLineChars="0" w:firstLine="0"/>
              <w:jc w:val="center"/>
              <w:rPr>
                <w:rFonts w:ascii="Times New Roman" w:eastAsia="方正黑体_GBK" w:hAnsi="Times New Roman"/>
                <w:bCs/>
                <w:sz w:val="24"/>
                <w:szCs w:val="24"/>
              </w:rPr>
            </w:pPr>
            <w:r>
              <w:rPr>
                <w:rFonts w:ascii="Times New Roman" w:eastAsia="方正黑体_GBK" w:hAnsi="Times New Roman"/>
                <w:bCs/>
                <w:sz w:val="24"/>
                <w:szCs w:val="24"/>
              </w:rPr>
              <w:t>级别</w:t>
            </w:r>
          </w:p>
        </w:tc>
        <w:tc>
          <w:tcPr>
            <w:tcW w:w="9680" w:type="dxa"/>
          </w:tcPr>
          <w:p>
            <w:pPr>
              <w:spacing w:line="320" w:lineRule="exact"/>
              <w:ind w:firstLineChars="0" w:firstLine="0"/>
              <w:jc w:val="center"/>
              <w:rPr>
                <w:rFonts w:ascii="Times New Roman" w:eastAsia="方正黑体_GBK" w:hAnsi="Times New Roman"/>
                <w:bCs/>
                <w:sz w:val="24"/>
                <w:szCs w:val="24"/>
              </w:rPr>
            </w:pPr>
            <w:r>
              <w:rPr>
                <w:rFonts w:ascii="Times New Roman" w:eastAsia="方正黑体_GBK" w:hAnsi="Times New Roman" w:hint="eastAsia"/>
                <w:bCs/>
                <w:sz w:val="24"/>
                <w:szCs w:val="24"/>
              </w:rPr>
              <w:t>简要事迹</w:t>
            </w:r>
          </w:p>
        </w:tc>
      </w:tr>
      <w:tr>
        <w:trPr>
          <w:trHeight w:val="694"/>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1</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无锡市科技创新服务中心</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副处级</w:t>
            </w:r>
          </w:p>
        </w:tc>
        <w:tc>
          <w:tcPr>
            <w:tcW w:w="9680" w:type="dxa"/>
          </w:tcPr>
          <w:p>
            <w:pPr>
              <w:snapToGrid w:val="0"/>
              <w:spacing w:line="320" w:lineRule="exact"/>
              <w:rPr>
                <w:rFonts w:ascii="仿宋" w:eastAsia="仿宋" w:cs="仿宋"/>
                <w:szCs w:val="21"/>
              </w:rPr>
            </w:pPr>
            <w:r>
              <w:rPr>
                <w:rFonts w:ascii="仿宋" w:eastAsia="仿宋" w:cs="仿宋" w:hint="eastAsia"/>
                <w:szCs w:val="21"/>
              </w:rPr>
              <w:t>中心围绕服务科技创新、开拓科技创新管理新局面，积极推进科创载体建设，构建科技人才服务新模式，提高决策咨询服务水平。</w:t>
            </w:r>
          </w:p>
          <w:p>
            <w:pPr>
              <w:snapToGrid w:val="0"/>
              <w:spacing w:line="320" w:lineRule="exact"/>
              <w:rPr>
                <w:rFonts w:ascii="仿宋" w:eastAsia="仿宋" w:cs="仿宋"/>
                <w:szCs w:val="21"/>
              </w:rPr>
            </w:pPr>
            <w:r>
              <w:rPr>
                <w:rFonts w:ascii="仿宋" w:eastAsia="仿宋" w:cs="仿宋" w:hint="eastAsia"/>
                <w:szCs w:val="21"/>
              </w:rPr>
              <w:t>积极推进科创载体建设。参与编制《无锡市科技创业载体管理办法（试行）》，为我市科创载体高质量发展提供方向性指引。今年以来，无锡市4家众创社区获得省孵育计划立项，位居全省第二，共获得1670万元经费支持；新备案省级众创空间20家、国家级众创空间5家、新认定省级科技企业孵化器4家。</w:t>
            </w:r>
          </w:p>
          <w:p>
            <w:pPr>
              <w:snapToGrid w:val="0"/>
              <w:spacing w:line="320" w:lineRule="exact"/>
              <w:rPr>
                <w:rFonts w:ascii="仿宋" w:eastAsia="仿宋" w:cs="仿宋"/>
                <w:szCs w:val="21"/>
              </w:rPr>
            </w:pPr>
            <w:r>
              <w:rPr>
                <w:rFonts w:ascii="仿宋" w:eastAsia="仿宋" w:cs="仿宋" w:hint="eastAsia"/>
                <w:szCs w:val="21"/>
              </w:rPr>
              <w:t>构建科技人才服务新模式。以“一窗联办”为抓手，打造外专服务“无锡模式”。外专窗口全年累计办件5319件，发放外国人来华工作许可通知840份，办理外国人来华工作证4479张，为企业提供快递服务3000余件。收到锦旗4面、感谢信15封，连续获评“创新示范窗”。目前，我市拥有来华工作的外国高端人才和专业人才3838人，在全省13个地级城市中列第二。</w:t>
            </w:r>
          </w:p>
          <w:p>
            <w:pPr>
              <w:spacing w:line="280" w:lineRule="exact"/>
              <w:rPr>
                <w:rFonts w:ascii="Times New Roman" w:eastAsia="方正仿宋_GBK" w:hAnsi="Times New Roman"/>
                <w:bCs/>
                <w:sz w:val="24"/>
                <w:szCs w:val="24"/>
              </w:rPr>
            </w:pPr>
            <w:r>
              <w:rPr>
                <w:rFonts w:ascii="仿宋" w:eastAsia="仿宋" w:cs="仿宋" w:hint="eastAsia"/>
                <w:szCs w:val="21"/>
              </w:rPr>
              <w:t>提高决策咨询服务水平。着力加强科技情报研究，《从深势科技看 AI 制药产业》获市委市政府主要领导批示。2022年度省厅软科学研究项目《全面推进乡村振兴背景下的数字农业发展新路径研究》获立项公示，是无锡地区唯一入选的软课题项目，《无锡市科技档案资源开发利用初探》一文获江苏省档案学会2022年度全省档案学术论文优秀奖。</w:t>
            </w:r>
          </w:p>
        </w:tc>
      </w:tr>
      <w:tr>
        <w:trPr>
          <w:trHeight w:val="694"/>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2</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江阴市科学技术局</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正科级</w:t>
            </w:r>
          </w:p>
        </w:tc>
        <w:tc>
          <w:tcPr>
            <w:tcW w:w="9680" w:type="dxa"/>
          </w:tcPr>
          <w:p>
            <w:pPr>
              <w:spacing w:beforeLines="35" w:before="109" w:afterLines="15" w:after="47" w:line="0" w:lineRule="atLeast"/>
              <w:rPr>
                <w:rFonts w:ascii="仿宋" w:eastAsia="仿宋" w:cs="仿宋"/>
                <w:szCs w:val="21"/>
              </w:rPr>
            </w:pPr>
            <w:r>
              <w:rPr>
                <w:rFonts w:ascii="仿宋" w:eastAsia="仿宋" w:cs="仿宋" w:hint="eastAsia"/>
                <w:szCs w:val="21"/>
              </w:rPr>
              <w:t>创新科技管理工作机制  县域创新能力不断提升。面对新形势、新要求，江阴不断创新科技管理工作机制，充分调动乡镇作为县域科技创新体系“神经末梢”的积极性和主动性，充分发挥乡镇对县域科技创新的支撑作用。探索开展乡镇创新发展监测评价指数课题研究，形成乡镇创新发展评价体系，为我市创新驱动发展“精准画像”，开拓了我市科技创新管理工作新局面。乡镇创新发展监测评价体系科学、客观、系统地展示江阴市乡镇创新驱动发展的特点和趋势，以及发展不足和未来展望，并明确乡镇创新驱动发展目标、任务和措施，为全国乡镇创新驱动发展指数研究先行先试、提供借鉴。同步开展企业创新能力监测，围绕科创人才、科创投入、科创平台、科创成果等核心要素，对企业创新发展水平进行综合评价，引导企业加大创新投入、提升创新能力。2022年我市以优异成绩通过国家创新型县（市）验收，被科技部农村中心列入科技创新成果“进园入县”行动试点县（市）。</w:t>
            </w:r>
          </w:p>
        </w:tc>
      </w:tr>
      <w:tr>
        <w:trPr>
          <w:trHeight w:val="694"/>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3</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江苏省惠山高新技术产业开发区（筹）管理委员会</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正处级</w:t>
            </w:r>
          </w:p>
        </w:tc>
        <w:tc>
          <w:tcPr>
            <w:tcW w:w="9680" w:type="dxa"/>
          </w:tcPr>
          <w:p>
            <w:pPr>
              <w:spacing w:line="280" w:lineRule="exact"/>
              <w:rPr>
                <w:rFonts w:ascii="仿宋" w:eastAsia="仿宋" w:cs="仿宋"/>
                <w:szCs w:val="21"/>
              </w:rPr>
            </w:pPr>
            <w:r>
              <w:rPr>
                <w:rFonts w:ascii="仿宋" w:eastAsia="仿宋" w:cs="仿宋" w:hint="eastAsia"/>
                <w:szCs w:val="21"/>
              </w:rPr>
              <w:t>一、体制机制改革取得新进展。将城铁惠山站区和无锡科教城以“科创联动区”的方式纳入惠山高新区（筹）管理，将现有产业、人才、投融资等政策全部覆盖至各联动园区。抓好专班实体化运作，整合科技、统计等部门力量，抽调相关部门人员创新组建惠山高新区创新驱动高质量发展评价中心，作为惠山高新区内设机构，成立工作专班，实体化办公，指导监督各条线部门围绕高新区建设制定针对性工作专项计划，定期跟踪科技统计指标完成情况，确保惠山高新区尽早实现新旧动能转换、提质进位。</w:t>
            </w:r>
          </w:p>
          <w:p>
            <w:pPr>
              <w:spacing w:line="280" w:lineRule="exact"/>
              <w:rPr>
                <w:rFonts w:ascii="仿宋" w:eastAsia="仿宋" w:cs="仿宋"/>
                <w:szCs w:val="21"/>
              </w:rPr>
            </w:pPr>
            <w:r>
              <w:rPr>
                <w:rFonts w:ascii="仿宋" w:eastAsia="仿宋" w:cs="仿宋" w:hint="eastAsia"/>
                <w:szCs w:val="21"/>
              </w:rPr>
              <w:t>二、科创政策体系取得新成效。围绕以创新驱动打造现代产业体系推动高质量发展，在落实上级政策的基础上，结合高新区工作实际，制定发布惠山高新区“1+1+3”系列政策，即1个实施意见、1个政策措施和航空航天、未来汽车、智慧物流3个产业专项政策。其中，在壮大高成长企业群体、加强新型研发机构建设和发展、推动前沿科技创业与科技成果转化、完善创业载体建设与服务支持、集聚科技服务机构和平台、引育高层次人才团队等方面，进一步加强政策扶持力度，推动创新型企业培育和区域创新创业生态建设。</w:t>
            </w:r>
          </w:p>
        </w:tc>
      </w:tr>
      <w:tr>
        <w:trPr>
          <w:trHeight w:val="694"/>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4</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sz w:val="24"/>
              </w:rPr>
              <w:t>宜兴经济技术开发区科学技术局</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正科级</w:t>
            </w:r>
          </w:p>
        </w:tc>
        <w:tc>
          <w:tcPr>
            <w:tcW w:w="9680" w:type="dxa"/>
          </w:tcPr>
          <w:p>
            <w:pPr>
              <w:spacing w:line="280" w:lineRule="exact"/>
              <w:rPr>
                <w:rFonts w:ascii="Times New Roman" w:eastAsia="方正仿宋_GBK" w:hAnsi="Times New Roman"/>
                <w:bCs/>
                <w:sz w:val="24"/>
                <w:szCs w:val="24"/>
              </w:rPr>
            </w:pPr>
            <w:r>
              <w:rPr>
                <w:rFonts w:ascii="仿宋" w:eastAsia="仿宋" w:cs="仿宋" w:hint="eastAsia"/>
                <w:szCs w:val="21"/>
              </w:rPr>
              <w:t>宜兴经开区</w:t>
            </w:r>
            <w:r>
              <w:rPr>
                <w:rFonts w:ascii="仿宋" w:eastAsia="仿宋" w:cs="仿宋"/>
                <w:szCs w:val="21"/>
              </w:rPr>
              <w:t>锚定</w:t>
            </w:r>
            <w:r>
              <w:rPr>
                <w:rFonts w:ascii="仿宋" w:eastAsia="仿宋" w:cs="仿宋" w:hint="eastAsia"/>
                <w:szCs w:val="21"/>
              </w:rPr>
              <w:t>打造国际化、现代化一流园区的</w:t>
            </w:r>
            <w:r>
              <w:rPr>
                <w:rFonts w:ascii="仿宋" w:eastAsia="仿宋" w:cs="仿宋"/>
                <w:szCs w:val="21"/>
              </w:rPr>
              <w:t>目标</w:t>
            </w:r>
            <w:r>
              <w:rPr>
                <w:rFonts w:ascii="仿宋" w:eastAsia="仿宋" w:cs="仿宋" w:hint="eastAsia"/>
                <w:szCs w:val="21"/>
              </w:rPr>
              <w:t>，坚定不移把科技创新作为驱动高质量发展的核心引擎，聚力培育创新生态、构筑科创高地。一是精心绘制科创“顶层设计”。按照“转型提升传统产业、培育壮大新兴产业、提前布局未来产业”的总体思路，着力构建以新能源、集成电路、生命健康、智能装备四大战略性新兴产业为主导的“4+2+N”现代产业体系和产业科创体系，科学确定各产业特色园区的分区战略和空间结构，为科创项目引进、创新人才培育提供精准导向。二是全面构建高效组织体系。以区街一体化改革为契机，成立由园区主要负责同志担任组长，区属11个职能部门、下辖3个街道主要负责同志担任成员的科技创新工作、人才工作、双招双引工作领导小组，科学整合三个街道的创新资源，凝聚起建设创新园区、活力园区的强大合力。三是积极探索创新路径模式。围绕四大主导产业分别建立招商专班，全面重塑“领导+专班、部门+街道”的双招双引体系，同时聘请15位产业招商大使和美、欧、日、韩等7位区域招商大使；立足更高水平的省级智慧园区建设，紧紧围绕产业集群发展所需，建立经济数据库和人才数据库，发布“两图一目录”数字化平台，有效提升科技招商的精准化、专业化水平。</w:t>
            </w:r>
          </w:p>
        </w:tc>
      </w:tr>
      <w:tr>
        <w:trPr>
          <w:trHeight w:val="694"/>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5</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清华大学无锡应用技术研究院</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无</w:t>
            </w:r>
          </w:p>
        </w:tc>
        <w:tc>
          <w:tcPr>
            <w:tcW w:w="9680" w:type="dxa"/>
          </w:tcPr>
          <w:p>
            <w:pPr>
              <w:snapToGrid w:val="0"/>
              <w:spacing w:line="240" w:lineRule="auto"/>
              <w:rPr>
                <w:rFonts w:ascii="仿宋" w:eastAsia="仿宋" w:cs="仿宋"/>
                <w:szCs w:val="21"/>
              </w:rPr>
            </w:pPr>
            <w:r>
              <w:rPr>
                <w:rFonts w:ascii="仿宋" w:eastAsia="仿宋" w:cs="仿宋" w:hint="eastAsia"/>
                <w:szCs w:val="21"/>
              </w:rPr>
              <w:t>清华无锡研究院坚持探索科技创新及成果转化全周期工作新模式。</w:t>
            </w:r>
          </w:p>
          <w:p>
            <w:pPr>
              <w:snapToGrid w:val="0"/>
              <w:spacing w:line="240" w:lineRule="auto"/>
              <w:rPr>
                <w:rFonts w:ascii="仿宋" w:eastAsia="仿宋" w:cs="仿宋"/>
                <w:szCs w:val="21"/>
              </w:rPr>
            </w:pPr>
            <w:r>
              <w:rPr>
                <w:rFonts w:ascii="仿宋" w:eastAsia="仿宋" w:cs="仿宋" w:hint="eastAsia"/>
                <w:szCs w:val="21"/>
              </w:rPr>
              <w:t>研究院依托清华大学雄厚基础科研和人才优势，坚持源头创新和产业聚焦，以延展基础研究创新成果、打造高端科技创新平台为基础，持续支持技术团队开展重点产业领域核心应用技术研发；在形成面向市场的可转化技术成果后，以作价入股产业化公司方式，实现科技成果转化落地；并充分发挥专业服务、资源整合优势，助力成果转化企业高速发展；最后研究院再以产业化收益部分支持校内教授团队开展应用型基础研究。从而形成校内基础研究</w:t>
            </w:r>
            <w:r>
              <w:rPr>
                <w:rFonts w:ascii="仿宋" w:eastAsia="仿宋" w:cs="仿宋"/>
                <w:szCs w:val="21"/>
              </w:rPr>
              <w:t>→</w:t>
            </w:r>
            <w:r>
              <w:rPr>
                <w:rFonts w:ascii="仿宋" w:eastAsia="仿宋" w:cs="仿宋" w:hint="eastAsia"/>
                <w:szCs w:val="21"/>
              </w:rPr>
              <w:t>平台应用研发</w:t>
            </w:r>
            <w:r>
              <w:rPr>
                <w:rFonts w:ascii="仿宋" w:eastAsia="仿宋" w:cs="仿宋"/>
                <w:szCs w:val="21"/>
              </w:rPr>
              <w:t>→</w:t>
            </w:r>
            <w:r>
              <w:rPr>
                <w:rFonts w:ascii="仿宋" w:eastAsia="仿宋" w:cs="仿宋" w:hint="eastAsia"/>
                <w:szCs w:val="21"/>
              </w:rPr>
              <w:t>公司产业化</w:t>
            </w:r>
            <w:r>
              <w:rPr>
                <w:rFonts w:ascii="仿宋" w:eastAsia="仿宋" w:cs="仿宋"/>
                <w:szCs w:val="21"/>
              </w:rPr>
              <w:t>→</w:t>
            </w:r>
            <w:r>
              <w:rPr>
                <w:rFonts w:ascii="仿宋" w:eastAsia="仿宋" w:cs="仿宋" w:hint="eastAsia"/>
                <w:szCs w:val="21"/>
              </w:rPr>
              <w:t>校内基础研究的全周期转化链条。</w:t>
            </w:r>
          </w:p>
          <w:p>
            <w:pPr>
              <w:spacing w:line="240" w:lineRule="auto"/>
              <w:rPr>
                <w:rFonts w:ascii="仿宋" w:eastAsia="仿宋" w:cs="仿宋"/>
                <w:szCs w:val="21"/>
              </w:rPr>
            </w:pPr>
            <w:r>
              <w:rPr>
                <w:rFonts w:ascii="仿宋" w:eastAsia="仿宋" w:cs="仿宋" w:hint="eastAsia"/>
                <w:szCs w:val="21"/>
              </w:rPr>
              <w:t>研究院结合地方优势产业特点，围绕集成电路、两机、先进制造等重点领域建设科研平台，建成高水平研究中心</w:t>
            </w:r>
            <w:r>
              <w:rPr>
                <w:rFonts w:ascii="仿宋" w:eastAsia="仿宋" w:cs="仿宋"/>
                <w:szCs w:val="21"/>
              </w:rPr>
              <w:t>34</w:t>
            </w:r>
            <w:r>
              <w:rPr>
                <w:rFonts w:ascii="仿宋" w:eastAsia="仿宋" w:cs="仿宋" w:hint="eastAsia"/>
                <w:szCs w:val="21"/>
              </w:rPr>
              <w:t>个。累计授权专利1</w:t>
            </w:r>
            <w:r>
              <w:rPr>
                <w:rFonts w:ascii="仿宋" w:eastAsia="仿宋" w:cs="仿宋"/>
                <w:szCs w:val="21"/>
              </w:rPr>
              <w:t>07</w:t>
            </w:r>
            <w:r>
              <w:rPr>
                <w:rFonts w:ascii="仿宋" w:eastAsia="仿宋" w:cs="仿宋" w:hint="eastAsia"/>
                <w:szCs w:val="21"/>
              </w:rPr>
              <w:t>项，其中发明专利7</w:t>
            </w:r>
            <w:r>
              <w:rPr>
                <w:rFonts w:ascii="仿宋" w:eastAsia="仿宋" w:cs="仿宋"/>
                <w:szCs w:val="21"/>
              </w:rPr>
              <w:t>7</w:t>
            </w:r>
            <w:r>
              <w:rPr>
                <w:rFonts w:ascii="仿宋" w:eastAsia="仿宋" w:cs="仿宋" w:hint="eastAsia"/>
                <w:szCs w:val="21"/>
              </w:rPr>
              <w:t>项。研究院持续激励技术团队进行成果转化，微纳实验室可重构加密芯片技术、燃气轮机中心热端部件加工及修复技术等自主研发技术均实现成果转化落地。自2019年起，研究院通过清华大学知识成果处置入股无锡沐创、江苏源清动力等高科技企业，累计投后估值超18亿元，相关技术的成果产业化帮助团队瞄准经济主战场，凝练科研方向，促进了学校基础研究。</w:t>
            </w:r>
          </w:p>
        </w:tc>
      </w:tr>
      <w:tr>
        <w:trPr>
          <w:trHeight w:val="694"/>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6</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无锡市人民医院</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无</w:t>
            </w:r>
          </w:p>
        </w:tc>
        <w:tc>
          <w:tcPr>
            <w:tcW w:w="9680" w:type="dxa"/>
          </w:tcPr>
          <w:p>
            <w:pPr>
              <w:snapToGrid w:val="0"/>
              <w:spacing w:line="240" w:lineRule="auto"/>
              <w:rPr>
                <w:rFonts w:ascii="仿宋" w:eastAsia="仿宋" w:cs="仿宋"/>
                <w:szCs w:val="21"/>
              </w:rPr>
            </w:pPr>
            <w:r>
              <w:rPr>
                <w:rFonts w:ascii="仿宋" w:eastAsia="仿宋" w:cs="仿宋" w:hint="eastAsia"/>
                <w:szCs w:val="21"/>
              </w:rPr>
              <w:t>新发展形势下，无锡市人民医院在</w:t>
            </w:r>
            <w:r>
              <w:rPr>
                <w:rFonts w:ascii="仿宋" w:eastAsia="仿宋" w:cs="仿宋"/>
                <w:szCs w:val="21"/>
              </w:rPr>
              <w:t>科技创新</w:t>
            </w:r>
            <w:r>
              <w:rPr>
                <w:rFonts w:ascii="仿宋" w:eastAsia="仿宋" w:cs="仿宋" w:hint="eastAsia"/>
                <w:szCs w:val="21"/>
              </w:rPr>
              <w:t>方面积极开拓</w:t>
            </w:r>
            <w:r>
              <w:rPr>
                <w:rFonts w:ascii="仿宋" w:eastAsia="仿宋" w:cs="仿宋"/>
                <w:szCs w:val="21"/>
              </w:rPr>
              <w:t>管理新局面，提出科技创新工作新机制、新模式、新思路</w:t>
            </w:r>
            <w:r>
              <w:rPr>
                <w:rFonts w:ascii="仿宋" w:eastAsia="仿宋" w:cs="仿宋" w:hint="eastAsia"/>
                <w:szCs w:val="21"/>
              </w:rPr>
              <w:t>。</w:t>
            </w:r>
          </w:p>
          <w:p>
            <w:pPr>
              <w:snapToGrid w:val="0"/>
              <w:spacing w:line="240" w:lineRule="auto"/>
              <w:rPr>
                <w:rFonts w:ascii="仿宋" w:eastAsia="仿宋" w:cs="仿宋"/>
                <w:szCs w:val="21"/>
              </w:rPr>
            </w:pPr>
            <w:r>
              <w:rPr>
                <w:rFonts w:ascii="仿宋" w:eastAsia="仿宋" w:cs="仿宋" w:hint="eastAsia"/>
                <w:szCs w:val="21"/>
              </w:rPr>
              <w:t>一是扩大科研经费自主管理权。医院引入了新的科研经费管理系统，通过合理制定拨付计划、简化预算编制方式、提升预算调剂权等措施，让院内科技项目负责人经费管理更为灵活、自主，切实保障科研活动需求。</w:t>
            </w:r>
          </w:p>
          <w:p>
            <w:pPr>
              <w:snapToGrid w:val="0"/>
              <w:spacing w:line="240" w:lineRule="auto"/>
              <w:rPr>
                <w:rFonts w:ascii="仿宋" w:eastAsia="仿宋" w:cs="仿宋"/>
                <w:szCs w:val="21"/>
              </w:rPr>
            </w:pPr>
            <w:r>
              <w:rPr>
                <w:rFonts w:ascii="仿宋" w:eastAsia="仿宋" w:cs="仿宋" w:hint="eastAsia"/>
                <w:szCs w:val="21"/>
              </w:rPr>
              <w:t>二是加强临床研究规范化管理。制定了多个临床研究管理条例，更新了临床试验管理委员会、科学委员会和伦理委员成员，采用国家医学研究信息备案登记系统，对临床研究的科学性审查和伦理审查进行线上登记和全流程规范管理。</w:t>
            </w:r>
          </w:p>
          <w:p>
            <w:pPr>
              <w:snapToGrid w:val="0"/>
              <w:spacing w:line="240" w:lineRule="auto"/>
              <w:rPr>
                <w:rFonts w:ascii="仿宋" w:eastAsia="仿宋" w:cs="仿宋"/>
                <w:szCs w:val="21"/>
              </w:rPr>
            </w:pPr>
            <w:r>
              <w:rPr>
                <w:rFonts w:ascii="仿宋" w:eastAsia="仿宋" w:cs="仿宋" w:hint="eastAsia"/>
                <w:szCs w:val="21"/>
              </w:rPr>
              <w:t>三是减轻科研人员事务性负担。医院调整人员招聘政策，允许院内PI自主招聘科研助理，协助完成科研过程中的文书、报销手续等工作。同时，医院逐步改进报销管理方式，对科研活动确实需要而应邀参加医院主办的学术会议的专家、学者，其差旅费用在会议费中报销。</w:t>
            </w:r>
          </w:p>
          <w:p>
            <w:pPr>
              <w:snapToGrid w:val="0"/>
              <w:spacing w:line="240" w:lineRule="auto"/>
              <w:rPr>
                <w:rFonts w:ascii="Times New Roman" w:eastAsia="方正仿宋_GBK" w:hAnsi="Times New Roman"/>
                <w:bCs/>
                <w:sz w:val="24"/>
                <w:szCs w:val="24"/>
              </w:rPr>
            </w:pPr>
            <w:r>
              <w:rPr>
                <w:rFonts w:ascii="仿宋" w:eastAsia="仿宋" w:cs="仿宋" w:hint="eastAsia"/>
                <w:szCs w:val="21"/>
              </w:rPr>
              <w:t>四是实施科技创新人才激励措施。医院积极推进市卫健委“三名”战略（办名院、建名科、增名医），与院士、知名专家学者联合建立太湖人才医学专家团队，在专家指导下提升医疗水平、开展科学研究，医院给予鼓励资助和绩效奖励。</w:t>
            </w:r>
          </w:p>
        </w:tc>
      </w:tr>
      <w:tr>
        <w:trPr>
          <w:trHeight w:val="694"/>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7</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太湖实验室信息总体技术研究所</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无</w:t>
            </w:r>
          </w:p>
        </w:tc>
        <w:tc>
          <w:tcPr>
            <w:tcW w:w="9680" w:type="dxa"/>
          </w:tcPr>
          <w:p>
            <w:pPr>
              <w:snapToGrid w:val="0"/>
              <w:spacing w:before="20" w:line="240" w:lineRule="auto"/>
              <w:ind w:right="28"/>
              <w:rPr>
                <w:rFonts w:ascii="Times New Roman" w:eastAsia="方正仿宋_GBK" w:hAnsi="Times New Roman"/>
                <w:bCs/>
                <w:sz w:val="24"/>
                <w:szCs w:val="24"/>
              </w:rPr>
            </w:pPr>
            <w:r>
              <w:rPr>
                <w:rFonts w:ascii="仿宋" w:eastAsia="仿宋" w:cs="仿宋" w:hint="eastAsia"/>
                <w:szCs w:val="21"/>
              </w:rPr>
              <w:t>信息总体技术研究所是深海技术科学太湖实验室的战略性研究部门及创新特区，围绕装备总体性能跨越提升、装备新概念孕育，以顶层研究为抓手，整合本领域在国内的优势研发力量，形成了融合传统专业、信息化前沿技术的国家级研发团队。依托所牵头的重大科研专项，信息总体技术研究所聚焦人工智能、数据科学、先进控制、系统工程等前沿专业，近三年从国内外引进了三十余位青年科技人才，为他们提供了宽松的研究环境、丰厚的研究资源、灵活的容错机制，形成了项目育人与人才赋能项目的良性发展态势。团队牵头论证并获批了多项国家级重大专项，经费总额近十亿元，构建了包含省内外近百家研究机构与高科技公司在内的研发生态圈，为新兴技术的加速发展及应用显效奠定了雄厚的基础。</w:t>
            </w:r>
          </w:p>
        </w:tc>
      </w:tr>
      <w:tr>
        <w:trPr>
          <w:trHeight w:val="694"/>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8</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锡山经济技术开发区管理委员会</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正处级</w:t>
            </w:r>
          </w:p>
        </w:tc>
        <w:tc>
          <w:tcPr>
            <w:tcW w:w="9680" w:type="dxa"/>
          </w:tcPr>
          <w:p>
            <w:pPr>
              <w:spacing w:line="280" w:lineRule="exact"/>
              <w:rPr>
                <w:rFonts w:ascii="Times New Roman" w:eastAsia="方正仿宋_GBK" w:hAnsi="Times New Roman"/>
                <w:bCs/>
                <w:sz w:val="24"/>
                <w:szCs w:val="24"/>
              </w:rPr>
            </w:pPr>
            <w:r>
              <w:rPr>
                <w:rFonts w:ascii="仿宋" w:eastAsia="仿宋" w:cs="仿宋" w:hint="eastAsia"/>
                <w:szCs w:val="21"/>
              </w:rPr>
              <w:t>深化改革创新，持续激发新活力。推进市场化运作，“管委会+开发公司”运营模式基本构建，科技创新活力不断释放。积极探索“投资人+EPC+O”、“特许经营+联合开发”等开发新模式，灵活运用TOD、EOD、REITs等新型投融资模式，引入国企、基金、专业运营商等多元投资力量，推动宛山湖生态科技城开发。优化科技创新环境，充分发挥政策引领作用，出台实施“科技人才发展资金”、“芯片十条”、“光电八条”等科技创新政策。加强科创载体建设，构建高效便利的创新创业服务体系。构建“离岸协同”体系，在北京、深圳、上海、西安设立4家离岸孵化器，加强与异地科技资源的深度对接，打造高端产业创新生态体系。累计孵化导入企业16家，其中高层次人才创业企业13家，当年销售超千万元2家，估值超亿元3家。探索“拨投结合”模式，与省产业技术研究院合作，采用拨款与股权投资相结合的方式支持新引进科创项目，提高资金使用效率，已对接君霖科技水下光通讯等意向项目。搭建重大科创平台，长三角集成电路工业应用技术创新中心纳入长三角国家技术创新中心体系，湖南大学无锡半导体先进制造创新中心揭牌运营，上海交通大学无锡碳中和动力技术创新中心事业平台和公司平台已成立，清华大学无锡碳中和示范基地签约落地并开展规划工作。</w:t>
            </w:r>
          </w:p>
        </w:tc>
      </w:tr>
      <w:tr>
        <w:trPr>
          <w:trHeight w:val="503"/>
        </w:trPr>
        <w:tc>
          <w:tcPr>
            <w:tcW w:w="97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9</w:t>
            </w:r>
          </w:p>
        </w:tc>
        <w:tc>
          <w:tcPr>
            <w:tcW w:w="1680"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江南大学国家大学科技园</w:t>
            </w:r>
          </w:p>
        </w:tc>
        <w:tc>
          <w:tcPr>
            <w:tcW w:w="140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无</w:t>
            </w:r>
          </w:p>
        </w:tc>
        <w:tc>
          <w:tcPr>
            <w:tcW w:w="9680" w:type="dxa"/>
          </w:tcPr>
          <w:p>
            <w:pPr>
              <w:spacing w:line="280" w:lineRule="exact"/>
              <w:rPr>
                <w:rFonts w:ascii="仿宋" w:eastAsia="仿宋" w:cs="仿宋"/>
                <w:szCs w:val="21"/>
              </w:rPr>
            </w:pPr>
            <w:r>
              <w:rPr>
                <w:rFonts w:ascii="仿宋" w:eastAsia="仿宋" w:cs="仿宋" w:hint="eastAsia"/>
                <w:szCs w:val="21"/>
              </w:rPr>
              <w:t>聚焦无锡市“465”现代产业体系领域，依托市校共建合作契机，发挥国家级孵化器和校友资源等协同优势，联合江南大学社会资源处，创新发起以“天下江南人|智汇太湖湾”为主题的江南大学校友创新创业大赛。与市科技局、滨湖区及宜兴市人民政府通力协作，通过赛事联动、资源互通、政策共享等全方位合作，大力推动校地协同创新服务无锡高质量发展。</w:t>
            </w:r>
          </w:p>
          <w:p>
            <w:pPr>
              <w:spacing w:line="280" w:lineRule="exact"/>
              <w:rPr>
                <w:rFonts w:ascii="仿宋" w:eastAsia="仿宋" w:cs="仿宋"/>
                <w:szCs w:val="21"/>
              </w:rPr>
            </w:pPr>
            <w:r>
              <w:rPr>
                <w:rFonts w:ascii="仿宋" w:eastAsia="仿宋" w:cs="仿宋" w:hint="eastAsia"/>
                <w:szCs w:val="21"/>
              </w:rPr>
              <w:t>1、校地多方协同，全面合作引才。</w:t>
            </w:r>
          </w:p>
          <w:p>
            <w:pPr>
              <w:spacing w:line="280" w:lineRule="exact"/>
              <w:rPr>
                <w:rFonts w:ascii="仿宋" w:eastAsia="仿宋" w:cs="仿宋"/>
                <w:szCs w:val="21"/>
              </w:rPr>
            </w:pPr>
            <w:r>
              <w:rPr>
                <w:rFonts w:ascii="仿宋" w:eastAsia="仿宋" w:cs="仿宋" w:hint="eastAsia"/>
                <w:szCs w:val="21"/>
              </w:rPr>
              <w:t>2、园地紧密互动，优化创业服务。</w:t>
            </w:r>
          </w:p>
          <w:p>
            <w:pPr>
              <w:spacing w:line="280" w:lineRule="exact"/>
              <w:rPr>
                <w:rFonts w:ascii="仿宋" w:eastAsia="仿宋" w:cs="仿宋"/>
                <w:szCs w:val="21"/>
              </w:rPr>
            </w:pPr>
            <w:r>
              <w:rPr>
                <w:rFonts w:ascii="仿宋" w:eastAsia="仿宋" w:cs="仿宋" w:hint="eastAsia"/>
                <w:szCs w:val="21"/>
              </w:rPr>
              <w:t>3、投贷无缝联动，培育优质企业。</w:t>
            </w:r>
          </w:p>
          <w:p>
            <w:pPr>
              <w:spacing w:line="280" w:lineRule="exact"/>
              <w:rPr>
                <w:rFonts w:ascii="Times New Roman" w:eastAsia="方正仿宋_GBK" w:hAnsi="Times New Roman"/>
                <w:bCs/>
                <w:sz w:val="24"/>
                <w:szCs w:val="24"/>
              </w:rPr>
            </w:pPr>
            <w:r>
              <w:rPr>
                <w:rFonts w:ascii="仿宋" w:eastAsia="仿宋" w:cs="仿宋" w:hint="eastAsia"/>
                <w:szCs w:val="21"/>
              </w:rPr>
              <w:t>4、孵化器提档升级，助力产业发展。</w:t>
            </w:r>
          </w:p>
        </w:tc>
      </w:tr>
    </w:tbl>
    <w:p>
      <w:pPr>
        <w:spacing w:line="590" w:lineRule="exact"/>
        <w:ind w:firstLineChars="0" w:firstLine="0"/>
        <w:jc w:val="center"/>
        <w:rPr>
          <w:rFonts w:ascii="Times New Roman" w:eastAsia="方正黑体_GBK" w:hAnsi="Times New Roman"/>
          <w:bCs/>
          <w:sz w:val="32"/>
          <w:szCs w:val="32"/>
        </w:rPr>
      </w:pPr>
    </w:p>
    <w:p>
      <w:pPr>
        <w:spacing w:line="590" w:lineRule="exact"/>
        <w:ind w:firstLineChars="0" w:firstLine="0"/>
        <w:jc w:val="center"/>
        <w:rPr>
          <w:rFonts w:ascii="Times New Roman" w:eastAsia="方正黑体_GBK" w:hAnsi="Times New Roman"/>
          <w:bCs/>
          <w:sz w:val="32"/>
          <w:szCs w:val="32"/>
        </w:rPr>
      </w:pPr>
    </w:p>
    <w:p>
      <w:pPr>
        <w:spacing w:line="590" w:lineRule="exact"/>
        <w:ind w:firstLineChars="0" w:firstLine="0"/>
        <w:jc w:val="center"/>
        <w:rPr>
          <w:rFonts w:ascii="Times New Roman" w:eastAsia="方正黑体_GBK" w:hAnsi="Times New Roman"/>
          <w:bCs/>
          <w:sz w:val="32"/>
          <w:szCs w:val="32"/>
        </w:rPr>
      </w:pPr>
    </w:p>
    <w:p>
      <w:pPr>
        <w:spacing w:line="590" w:lineRule="exact"/>
        <w:ind w:firstLineChars="0" w:firstLine="0"/>
        <w:jc w:val="center"/>
        <w:rPr>
          <w:rFonts w:ascii="Times New Roman" w:eastAsia="方正黑体_GBK" w:hAnsi="Times New Roman"/>
          <w:bCs/>
          <w:sz w:val="32"/>
          <w:szCs w:val="32"/>
        </w:rPr>
      </w:pPr>
      <w:r>
        <w:rPr>
          <w:rFonts w:ascii="Times New Roman" w:eastAsia="方正黑体_GBK" w:hAnsi="Times New Roman" w:hint="eastAsia"/>
          <w:bCs/>
          <w:sz w:val="32"/>
          <w:szCs w:val="32"/>
        </w:rPr>
        <w:t>二、</w:t>
      </w:r>
      <w:r>
        <w:rPr>
          <w:rFonts w:ascii="Times New Roman" w:eastAsia="方正黑体_GBK" w:hAnsi="Times New Roman"/>
          <w:bCs/>
          <w:sz w:val="32"/>
          <w:szCs w:val="32"/>
        </w:rPr>
        <w:t>江苏省科技创新发展奖</w:t>
      </w:r>
      <w:r>
        <w:rPr>
          <w:rFonts w:ascii="Times New Roman" w:eastAsia="方正黑体_GBK" w:hAnsi="Times New Roman" w:hint="eastAsia"/>
          <w:bCs/>
          <w:sz w:val="32"/>
          <w:szCs w:val="32"/>
        </w:rPr>
        <w:t>优秀企业</w:t>
      </w:r>
      <w:r>
        <w:rPr>
          <w:rFonts w:ascii="Times New Roman" w:eastAsia="方正黑体_GBK" w:hAnsi="Times New Roman"/>
          <w:bCs/>
          <w:sz w:val="32"/>
          <w:szCs w:val="32"/>
        </w:rPr>
        <w:t>推荐对象汇总表</w:t>
      </w:r>
    </w:p>
    <w:tbl>
      <w:tblPr>
        <w:jc w:val="center"/>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2699"/>
        <w:gridCol w:w="9355"/>
      </w:tblGrid>
      <w:tr>
        <w:trPr>
          <w:trHeight w:val="503"/>
        </w:trPr>
        <w:tc>
          <w:tcPr>
            <w:tcW w:w="1271" w:type="dxa"/>
            <w:vAlign w:val="center"/>
          </w:tcPr>
          <w:p>
            <w:pPr>
              <w:spacing w:line="320" w:lineRule="exact"/>
              <w:ind w:firstLineChars="0" w:firstLine="0"/>
              <w:jc w:val="center"/>
              <w:rPr>
                <w:rFonts w:ascii="Times New Roman" w:eastAsia="方正仿宋_GBK" w:hAnsi="Times New Roman"/>
                <w:bCs/>
                <w:sz w:val="24"/>
                <w:szCs w:val="24"/>
              </w:rPr>
            </w:pPr>
            <w:r>
              <w:rPr>
                <w:rFonts w:ascii="仿宋" w:eastAsia="仿宋"/>
                <w:b/>
                <w:sz w:val="24"/>
                <w:szCs w:val="24"/>
              </w:rPr>
              <w:t>序号</w:t>
            </w:r>
          </w:p>
        </w:tc>
        <w:tc>
          <w:tcPr>
            <w:tcW w:w="2699" w:type="dxa"/>
            <w:vAlign w:val="center"/>
          </w:tcPr>
          <w:p>
            <w:pPr>
              <w:spacing w:line="320" w:lineRule="exact"/>
              <w:ind w:firstLineChars="0" w:firstLine="0"/>
              <w:jc w:val="center"/>
              <w:rPr>
                <w:rFonts w:ascii="Times New Roman" w:eastAsia="方正仿宋_GBK" w:hAnsi="Times New Roman"/>
                <w:bCs/>
                <w:sz w:val="24"/>
                <w:szCs w:val="24"/>
              </w:rPr>
            </w:pPr>
            <w:r>
              <w:rPr>
                <w:rFonts w:ascii="仿宋" w:eastAsia="仿宋"/>
                <w:b/>
                <w:sz w:val="24"/>
                <w:szCs w:val="24"/>
              </w:rPr>
              <w:t>企业名称</w:t>
            </w:r>
          </w:p>
        </w:tc>
        <w:tc>
          <w:tcPr>
            <w:tcW w:w="9355" w:type="dxa"/>
            <w:vAlign w:val="center"/>
          </w:tcPr>
          <w:p>
            <w:pPr>
              <w:spacing w:line="320" w:lineRule="exact"/>
              <w:ind w:firstLineChars="0" w:firstLine="0"/>
              <w:jc w:val="center"/>
              <w:rPr>
                <w:rFonts w:ascii="Times New Roman" w:eastAsia="方正仿宋_GBK" w:hAnsi="Times New Roman"/>
                <w:bCs/>
                <w:sz w:val="24"/>
                <w:szCs w:val="24"/>
              </w:rPr>
            </w:pPr>
            <w:r>
              <w:rPr>
                <w:rFonts w:ascii="仿宋" w:eastAsia="仿宋" w:hint="eastAsia"/>
                <w:b/>
                <w:sz w:val="24"/>
                <w:szCs w:val="24"/>
              </w:rPr>
              <w:t>简要事迹</w:t>
            </w:r>
          </w:p>
        </w:tc>
      </w:tr>
      <w:tr>
        <w:trPr>
          <w:trHeight w:val="733"/>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1</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无锡日联科技股份有限公司</w:t>
            </w:r>
          </w:p>
        </w:tc>
        <w:tc>
          <w:tcPr>
            <w:tcW w:w="9355" w:type="dxa"/>
            <w:vAlign w:val="center"/>
          </w:tcPr>
          <w:p>
            <w:pPr>
              <w:spacing w:line="240" w:lineRule="auto"/>
              <w:jc w:val="left"/>
              <w:rPr>
                <w:rFonts w:ascii="仿宋" w:eastAsia="仿宋"/>
                <w:bCs/>
                <w:sz w:val="24"/>
                <w:szCs w:val="24"/>
              </w:rPr>
            </w:pPr>
            <w:r>
              <w:rPr>
                <w:rFonts w:ascii="仿宋" w:eastAsia="仿宋" w:hint="eastAsia"/>
                <w:bCs/>
                <w:sz w:val="24"/>
                <w:szCs w:val="24"/>
              </w:rPr>
              <w:t>公司的创新体系建设是以市场为导向，以提高自主创新能力和国际竞争力为重点，集中力量开发具有自主知识产权主导产品和关键技术的技术创新体系和机制建设，加快企业技术进步和产业升级，为企业发展壮大注入新的活力。主要通过创新主体、创新基础设施、创新资源、创新环境、外界互动等五大要素的相互联系、作用来实现。具体措施如下：</w:t>
            </w:r>
          </w:p>
          <w:p>
            <w:pPr>
              <w:spacing w:line="240" w:lineRule="auto"/>
              <w:jc w:val="left"/>
              <w:rPr>
                <w:rFonts w:ascii="仿宋" w:eastAsia="仿宋"/>
                <w:bCs/>
                <w:sz w:val="24"/>
                <w:szCs w:val="24"/>
              </w:rPr>
            </w:pPr>
            <w:r>
              <w:rPr>
                <w:rFonts w:ascii="仿宋" w:eastAsia="仿宋"/>
                <w:bCs/>
                <w:sz w:val="24"/>
                <w:szCs w:val="24"/>
              </w:rPr>
              <w:t>1</w:t>
            </w:r>
            <w:r>
              <w:rPr>
                <w:rFonts w:ascii="仿宋" w:eastAsia="仿宋" w:hint="eastAsia"/>
                <w:bCs/>
                <w:sz w:val="24"/>
                <w:szCs w:val="24"/>
              </w:rPr>
              <w:t>、多措并举，建立保障体系 。无锡日联建有“江苏省高精密</w:t>
            </w:r>
            <w:r>
              <w:rPr>
                <w:rFonts w:ascii="仿宋" w:eastAsia="仿宋"/>
                <w:bCs/>
                <w:sz w:val="24"/>
                <w:szCs w:val="24"/>
              </w:rPr>
              <w:t>X</w:t>
            </w:r>
            <w:r>
              <w:rPr>
                <w:rFonts w:ascii="仿宋" w:eastAsia="仿宋" w:hint="eastAsia"/>
                <w:bCs/>
                <w:sz w:val="24"/>
                <w:szCs w:val="24"/>
              </w:rPr>
              <w:t>射线影像检测工程技术研究中心</w:t>
            </w:r>
            <w:r>
              <w:rPr>
                <w:rFonts w:ascii="仿宋" w:eastAsia="仿宋"/>
                <w:bCs/>
                <w:sz w:val="24"/>
                <w:szCs w:val="24"/>
              </w:rPr>
              <w:t>”</w:t>
            </w:r>
            <w:r>
              <w:rPr>
                <w:rFonts w:ascii="仿宋" w:eastAsia="仿宋" w:hint="eastAsia"/>
                <w:bCs/>
                <w:sz w:val="24"/>
                <w:szCs w:val="24"/>
              </w:rPr>
              <w:t>、“江苏省企业技术中心”，占地</w:t>
            </w:r>
            <w:r>
              <w:rPr>
                <w:rFonts w:ascii="仿宋" w:eastAsia="仿宋"/>
                <w:bCs/>
                <w:sz w:val="24"/>
                <w:szCs w:val="24"/>
              </w:rPr>
              <w:t>2000</w:t>
            </w:r>
            <w:r>
              <w:rPr>
                <w:rFonts w:ascii="仿宋" w:eastAsia="仿宋" w:hint="eastAsia"/>
                <w:bCs/>
                <w:sz w:val="24"/>
                <w:szCs w:val="24"/>
              </w:rPr>
              <w:t>平米，拥有</w:t>
            </w:r>
            <w:r>
              <w:rPr>
                <w:rFonts w:ascii="仿宋" w:eastAsia="仿宋"/>
                <w:bCs/>
                <w:sz w:val="24"/>
                <w:szCs w:val="24"/>
              </w:rPr>
              <w:t>10</w:t>
            </w:r>
            <w:r>
              <w:rPr>
                <w:rFonts w:ascii="仿宋" w:eastAsia="仿宋" w:hint="eastAsia"/>
                <w:bCs/>
                <w:sz w:val="24"/>
                <w:szCs w:val="24"/>
              </w:rPr>
              <w:t>多个现代实验室，引进一批具有国际先进水平的实验室仪器和检测设备。</w:t>
            </w:r>
          </w:p>
          <w:p>
            <w:pPr>
              <w:spacing w:line="240" w:lineRule="auto"/>
              <w:jc w:val="left"/>
              <w:rPr>
                <w:rFonts w:ascii="仿宋" w:eastAsia="仿宋"/>
                <w:bCs/>
                <w:sz w:val="24"/>
                <w:szCs w:val="24"/>
              </w:rPr>
            </w:pPr>
            <w:r>
              <w:rPr>
                <w:rFonts w:ascii="仿宋" w:eastAsia="仿宋"/>
                <w:bCs/>
                <w:sz w:val="24"/>
                <w:szCs w:val="24"/>
              </w:rPr>
              <w:t>2</w:t>
            </w:r>
            <w:r>
              <w:rPr>
                <w:rFonts w:ascii="仿宋" w:eastAsia="仿宋" w:hint="eastAsia"/>
                <w:bCs/>
                <w:sz w:val="24"/>
                <w:szCs w:val="24"/>
              </w:rPr>
              <w:t xml:space="preserve">、拓宽渠道，建设创新主体队伍。广纳贤才，积极培养创新人才队伍，积极参与高校科研单位联合进行培养，研究中心拥有一支 </w:t>
            </w:r>
            <w:r>
              <w:rPr>
                <w:rFonts w:ascii="仿宋" w:eastAsia="仿宋"/>
                <w:bCs/>
                <w:sz w:val="24"/>
                <w:szCs w:val="24"/>
              </w:rPr>
              <w:t xml:space="preserve">60 </w:t>
            </w:r>
            <w:r>
              <w:rPr>
                <w:rFonts w:ascii="仿宋" w:eastAsia="仿宋" w:hint="eastAsia"/>
                <w:bCs/>
                <w:sz w:val="24"/>
                <w:szCs w:val="24"/>
              </w:rPr>
              <w:t>余人组成的具备物理、化学、机械、电子、计算机、自动化、数据处理等多学科、高学历背景的固定科研人才队伍，有充足的人力资源保证项目进度。</w:t>
            </w:r>
          </w:p>
          <w:p>
            <w:pPr>
              <w:spacing w:line="240" w:lineRule="auto"/>
              <w:jc w:val="left"/>
              <w:rPr>
                <w:rFonts w:ascii="仿宋" w:eastAsia="仿宋"/>
                <w:bCs/>
                <w:sz w:val="24"/>
                <w:szCs w:val="24"/>
              </w:rPr>
            </w:pPr>
            <w:r>
              <w:rPr>
                <w:rFonts w:ascii="仿宋" w:eastAsia="仿宋" w:hint="eastAsia"/>
                <w:bCs/>
                <w:sz w:val="24"/>
                <w:szCs w:val="24"/>
              </w:rPr>
              <w:t>3、重点突破，提升设施支撑。创新基础设施是科技创新的基础支撑，只有夯实基础支撑，才能形成长效的创新能力。</w:t>
            </w:r>
          </w:p>
          <w:p>
            <w:pPr>
              <w:spacing w:line="240" w:lineRule="auto"/>
              <w:jc w:val="left"/>
              <w:rPr>
                <w:rFonts w:ascii="仿宋" w:eastAsia="仿宋"/>
                <w:bCs/>
                <w:sz w:val="24"/>
                <w:szCs w:val="24"/>
              </w:rPr>
            </w:pPr>
            <w:r>
              <w:rPr>
                <w:rFonts w:ascii="仿宋" w:eastAsia="仿宋" w:hint="eastAsia"/>
                <w:bCs/>
                <w:sz w:val="24"/>
                <w:szCs w:val="24"/>
              </w:rPr>
              <w:t>4、强化激励机制，营造创新环境。注重知识产权保护，鼓励申请专利，充分体现科技人员的劳动价值，激励他们创造更多的创新成果；调整企业内部分配结构，使企业技术骨干的收入率先与人才市场接轨。</w:t>
            </w:r>
          </w:p>
          <w:p>
            <w:pPr>
              <w:spacing w:line="240" w:lineRule="auto"/>
              <w:jc w:val="left"/>
              <w:rPr>
                <w:rFonts w:ascii="仿宋" w:eastAsia="仿宋"/>
                <w:bCs/>
                <w:sz w:val="24"/>
                <w:szCs w:val="24"/>
              </w:rPr>
            </w:pPr>
            <w:r>
              <w:rPr>
                <w:rFonts w:ascii="仿宋" w:eastAsia="仿宋" w:hint="eastAsia"/>
                <w:bCs/>
                <w:sz w:val="24"/>
                <w:szCs w:val="24"/>
              </w:rPr>
              <w:t>5、资源整合，不断加强技术中心建设。面向市场开发创新，面向行业提供服务，面向社会整合资源，形成开放式的技术中心运行机制。瞄准国际同行业先进水平，制定企业技术创新战略，确立技术中心的目标和定位，高起点推进企业技术中心建设。</w:t>
            </w:r>
          </w:p>
          <w:p>
            <w:pPr>
              <w:spacing w:line="240" w:lineRule="auto"/>
              <w:jc w:val="left"/>
              <w:rPr>
                <w:rFonts w:ascii="仿宋" w:eastAsia="仿宋"/>
                <w:bCs/>
                <w:sz w:val="24"/>
                <w:szCs w:val="24"/>
              </w:rPr>
            </w:pPr>
            <w:r>
              <w:rPr>
                <w:rFonts w:ascii="仿宋" w:eastAsia="仿宋" w:hint="eastAsia"/>
                <w:bCs/>
                <w:sz w:val="24"/>
                <w:szCs w:val="24"/>
              </w:rPr>
              <w:t>6、通过跨领域的交叉应用促进技术的创新升级 公司在技术发展过程中，不断地将原有产品领域中的相关技术应用到新的产品领域中，同时又将新产品领域中的技术创新反过来应用到原有产品领域中，实现跨领域的技术融合。</w:t>
            </w:r>
          </w:p>
          <w:p>
            <w:pPr>
              <w:spacing w:line="260" w:lineRule="exact"/>
              <w:ind w:firstLineChars="0" w:firstLine="0"/>
              <w:jc w:val="center"/>
              <w:rPr>
                <w:rFonts w:ascii="仿宋" w:eastAsia="仿宋"/>
                <w:bCs/>
                <w:sz w:val="24"/>
                <w:szCs w:val="24"/>
              </w:rPr>
            </w:pPr>
          </w:p>
        </w:tc>
      </w:tr>
      <w:tr>
        <w:trPr>
          <w:trHeight w:val="827"/>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2</w:t>
            </w:r>
          </w:p>
        </w:tc>
        <w:tc>
          <w:tcPr>
            <w:tcW w:w="2699" w:type="dxa"/>
            <w:vAlign w:val="center"/>
          </w:tcPr>
          <w:p>
            <w:pPr>
              <w:tabs>
                <w:tab w:val="left" w:pos="355"/>
              </w:tabs>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无锡派克新材料科技股份有限公司</w:t>
            </w:r>
          </w:p>
        </w:tc>
        <w:tc>
          <w:tcPr>
            <w:tcW w:w="9355" w:type="dxa"/>
            <w:vAlign w:val="center"/>
          </w:tcPr>
          <w:p>
            <w:pPr>
              <w:spacing w:line="240" w:lineRule="auto"/>
              <w:rPr>
                <w:rFonts w:ascii="仿宋" w:eastAsia="仿宋"/>
                <w:bCs/>
                <w:sz w:val="24"/>
                <w:szCs w:val="24"/>
              </w:rPr>
            </w:pPr>
            <w:r>
              <w:rPr>
                <w:rFonts w:ascii="仿宋" w:eastAsia="仿宋" w:hint="eastAsia"/>
                <w:bCs/>
                <w:sz w:val="24"/>
                <w:szCs w:val="24"/>
              </w:rPr>
              <w:t>无锡派克新材料科技股份有限公司成立于 2006  年 6月，位于无锡市滨湖区，注册资本 12117.0892 万元,于 2020上交所主板上市，股票代码为 605123。公司现有在职人员909 人，其中博士 1 人，硕士 29 人，本科 247 人。公司拥有授权专利 74 项，其中发明专利 43 项，占比 58.11%。公司主营业务是各类铝合金、钛合金、高温合金、结构钢、不锈钢等金属材料环锻件、自由锻件及模锻件的生产制造，产品服务横跨航空航天、风力发电、石油化工、矿山机械、核电燃机等多个领域，目前已成为国内少数几家可供应航空、航天等领域环形锻件的企业之一。在航空领域，公司产品已覆盖在役及在研阶段的多个型号航空发动机；在航天领域，公司参与了长征系列及远征上面级等系列型号运载火箭和多个型号导弹的研制和配套，是国内唯一一家环件产品可覆盖外径  200~10000mm ，高度30~1600mm 的所有规格尺寸的公司，是该领域国家级制造业单项冠军企业、国家级别专精特新小巨人企业，军工产业链环形锻件龙头企业。</w:t>
            </w:r>
          </w:p>
        </w:tc>
      </w:tr>
      <w:tr>
        <w:trPr>
          <w:trHeight w:val="1757"/>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3</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中科微至科技股份有限公司</w:t>
            </w:r>
          </w:p>
        </w:tc>
        <w:tc>
          <w:tcPr>
            <w:tcW w:w="9355" w:type="dxa"/>
            <w:vAlign w:val="center"/>
          </w:tcPr>
          <w:p>
            <w:pPr>
              <w:spacing w:line="360" w:lineRule="exact"/>
              <w:rPr>
                <w:rFonts w:ascii="仿宋" w:eastAsia="仿宋"/>
                <w:bCs/>
                <w:sz w:val="24"/>
                <w:szCs w:val="24"/>
              </w:rPr>
            </w:pPr>
            <w:r>
              <w:rPr>
                <w:rFonts w:ascii="仿宋" w:eastAsia="仿宋"/>
                <w:bCs/>
                <w:sz w:val="24"/>
                <w:szCs w:val="24"/>
              </w:rPr>
              <w:t>中科微至科技股份有限公司</w:t>
            </w:r>
            <w:r>
              <w:rPr>
                <w:rFonts w:ascii="仿宋" w:eastAsia="仿宋" w:hint="eastAsia"/>
                <w:bCs/>
                <w:sz w:val="24"/>
                <w:szCs w:val="24"/>
              </w:rPr>
              <w:t>成立于2016年5月，由中国科学院微电子研究所孵化，公司是国内少数具备智能物流分拣系统及其核心部件自主研发、设计、生产一体化能力的企业之一，能够为客户提供智能物流分拣系统综合解决方案，通过对快递物流行业关键核心技术进行长期深入攻关，在自动分拣领域取得了突破性成果，成功研发了国内唯一集成十大自主核心技术的快递包裹自动分拣设备。公司是高新技术企业、江苏省专精特新小巨人企业，中国科学院最高等级科技成果产业化项目“弘光”专项支持对象，研发团队获得2019年度中国科学院科技促进发展奖，2021年度无锡市腾飞奖。公司银行资信情况良好，2018年通过ISO19001质量体系，</w:t>
            </w:r>
            <w:r>
              <w:rPr>
                <w:rFonts w:ascii="仿宋" w:eastAsia="仿宋"/>
                <w:bCs/>
                <w:sz w:val="24"/>
                <w:szCs w:val="24"/>
              </w:rPr>
              <w:t>连续多年纳税信用级别为 A。</w:t>
            </w:r>
            <w:r>
              <w:rPr>
                <w:rFonts w:ascii="仿宋" w:eastAsia="仿宋" w:hint="eastAsia"/>
                <w:bCs/>
                <w:sz w:val="24"/>
                <w:szCs w:val="24"/>
              </w:rPr>
              <w:t>是省高新技术企业、江苏省民营科技型企业、无锡市瞪羚入库企业、“万人计划”企业，荣获2021年度无锡市腾飞奖，被多家客户评为“优质供应商”。</w:t>
            </w:r>
          </w:p>
          <w:p>
            <w:pPr>
              <w:spacing w:line="260" w:lineRule="exact"/>
              <w:ind w:firstLineChars="0" w:firstLine="0"/>
              <w:rPr>
                <w:rFonts w:ascii="仿宋" w:eastAsia="仿宋"/>
                <w:bCs/>
                <w:sz w:val="24"/>
                <w:szCs w:val="24"/>
              </w:rPr>
            </w:pPr>
            <w:r>
              <w:rPr>
                <w:rFonts w:ascii="仿宋" w:eastAsia="仿宋" w:hint="eastAsia"/>
                <w:bCs/>
                <w:sz w:val="24"/>
                <w:szCs w:val="24"/>
              </w:rPr>
              <w:t>公司的主导产品为智能分拣设备</w:t>
            </w:r>
            <w:r>
              <w:rPr>
                <w:rFonts w:ascii="仿宋" w:eastAsia="仿宋"/>
                <w:bCs/>
                <w:sz w:val="24"/>
                <w:szCs w:val="24"/>
              </w:rPr>
              <w:t>，在快递、电商领域，中科微至智能物流装备系统可实现对国内近35%快递包裹的分拣和输送。根据</w:t>
            </w:r>
            <w:r>
              <w:rPr>
                <w:rFonts w:ascii="仿宋" w:eastAsia="仿宋" w:hint="eastAsia"/>
                <w:bCs/>
                <w:sz w:val="24"/>
                <w:szCs w:val="24"/>
              </w:rPr>
              <w:t>国家邮政局发展研究中心</w:t>
            </w:r>
            <w:r>
              <w:rPr>
                <w:rFonts w:ascii="仿宋" w:eastAsia="仿宋"/>
                <w:bCs/>
                <w:sz w:val="24"/>
                <w:szCs w:val="24"/>
              </w:rPr>
              <w:t>出具的《</w:t>
            </w:r>
            <w:r>
              <w:rPr>
                <w:rFonts w:ascii="仿宋" w:eastAsia="仿宋" w:hint="eastAsia"/>
                <w:bCs/>
                <w:sz w:val="24"/>
                <w:szCs w:val="24"/>
              </w:rPr>
              <w:t>智能分拣设备市场发展调查分析报告</w:t>
            </w:r>
            <w:r>
              <w:rPr>
                <w:rFonts w:ascii="仿宋" w:eastAsia="仿宋"/>
                <w:bCs/>
                <w:sz w:val="24"/>
                <w:szCs w:val="24"/>
              </w:rPr>
              <w:t>》，2021</w:t>
            </w:r>
            <w:r>
              <w:rPr>
                <w:rFonts w:ascii="仿宋" w:eastAsia="仿宋" w:hint="eastAsia"/>
                <w:bCs/>
                <w:sz w:val="24"/>
                <w:szCs w:val="24"/>
              </w:rPr>
              <w:t xml:space="preserve">年公司向客户交付智能分拣设备的销售额约为 </w:t>
            </w:r>
            <w:r>
              <w:rPr>
                <w:rFonts w:ascii="仿宋" w:eastAsia="仿宋"/>
                <w:bCs/>
                <w:sz w:val="24"/>
                <w:szCs w:val="24"/>
              </w:rPr>
              <w:t xml:space="preserve">21 </w:t>
            </w:r>
            <w:r>
              <w:rPr>
                <w:rFonts w:ascii="仿宋" w:eastAsia="仿宋" w:hint="eastAsia"/>
                <w:bCs/>
                <w:sz w:val="24"/>
                <w:szCs w:val="24"/>
              </w:rPr>
              <w:t xml:space="preserve">亿元，全球市场占有率约为 </w:t>
            </w:r>
            <w:r>
              <w:rPr>
                <w:rFonts w:ascii="仿宋" w:eastAsia="仿宋"/>
                <w:bCs/>
                <w:sz w:val="24"/>
                <w:szCs w:val="24"/>
              </w:rPr>
              <w:t>18%</w:t>
            </w:r>
            <w:r>
              <w:rPr>
                <w:rFonts w:ascii="仿宋" w:eastAsia="仿宋" w:hint="eastAsia"/>
                <w:bCs/>
                <w:sz w:val="24"/>
                <w:szCs w:val="24"/>
              </w:rPr>
              <w:t>，全球排名前三，国内市场占有率为</w:t>
            </w:r>
            <w:r>
              <w:rPr>
                <w:rFonts w:ascii="仿宋" w:eastAsia="仿宋"/>
                <w:bCs/>
                <w:sz w:val="24"/>
                <w:szCs w:val="24"/>
              </w:rPr>
              <w:t>35%</w:t>
            </w:r>
            <w:r>
              <w:rPr>
                <w:rFonts w:ascii="仿宋" w:eastAsia="仿宋" w:hint="eastAsia"/>
                <w:bCs/>
                <w:sz w:val="24"/>
                <w:szCs w:val="24"/>
              </w:rPr>
              <w:t>，</w:t>
            </w:r>
            <w:r>
              <w:rPr>
                <w:rFonts w:ascii="仿宋" w:eastAsia="仿宋"/>
                <w:bCs/>
                <w:sz w:val="24"/>
                <w:szCs w:val="24"/>
              </w:rPr>
              <w:t>中科微至已位于中国快递快运智能物流装备市场解决方案提供商领域第一梯队，是中国快递快运智能物流装备领域的代表性企业之一</w:t>
            </w:r>
            <w:r>
              <w:rPr>
                <w:rFonts w:ascii="仿宋" w:eastAsia="仿宋" w:hint="eastAsia"/>
                <w:bCs/>
                <w:sz w:val="24"/>
                <w:szCs w:val="24"/>
              </w:rPr>
              <w:t>。</w:t>
            </w:r>
          </w:p>
        </w:tc>
      </w:tr>
      <w:tr>
        <w:trPr>
          <w:trHeight w:val="841"/>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4</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无锡化工装备股份有限公司</w:t>
            </w:r>
          </w:p>
        </w:tc>
        <w:tc>
          <w:tcPr>
            <w:tcW w:w="9355" w:type="dxa"/>
            <w:vAlign w:val="center"/>
          </w:tcPr>
          <w:p>
            <w:pPr>
              <w:snapToGrid w:val="0"/>
              <w:spacing w:line="240" w:lineRule="auto"/>
              <w:rPr>
                <w:rFonts w:ascii="仿宋" w:eastAsia="仿宋"/>
                <w:bCs/>
                <w:sz w:val="24"/>
                <w:szCs w:val="24"/>
              </w:rPr>
            </w:pPr>
            <w:r>
              <w:rPr>
                <w:rFonts w:ascii="仿宋" w:eastAsia="仿宋" w:hint="eastAsia"/>
                <w:bCs/>
                <w:sz w:val="24"/>
                <w:szCs w:val="24"/>
              </w:rPr>
              <w:t>无锡化工装备股份有限公司成</w:t>
            </w:r>
            <w:r>
              <w:rPr>
                <w:rFonts w:ascii="仿宋" w:eastAsia="仿宋"/>
                <w:bCs/>
                <w:sz w:val="24"/>
                <w:szCs w:val="24"/>
              </w:rPr>
              <w:t>立于1984年</w:t>
            </w:r>
            <w:r>
              <w:rPr>
                <w:rFonts w:ascii="仿宋" w:eastAsia="仿宋" w:hint="eastAsia"/>
                <w:bCs/>
                <w:sz w:val="24"/>
                <w:szCs w:val="24"/>
              </w:rPr>
              <w:t>，位于无锡经开区，注册资本</w:t>
            </w:r>
            <w:r>
              <w:rPr>
                <w:rFonts w:ascii="仿宋" w:eastAsia="仿宋"/>
                <w:bCs/>
                <w:sz w:val="24"/>
                <w:szCs w:val="24"/>
              </w:rPr>
              <w:t>8000</w:t>
            </w:r>
            <w:r>
              <w:rPr>
                <w:rFonts w:ascii="仿宋" w:eastAsia="仿宋" w:hint="eastAsia"/>
                <w:bCs/>
                <w:sz w:val="24"/>
                <w:szCs w:val="24"/>
              </w:rPr>
              <w:t>万元。在职员工</w:t>
            </w:r>
            <w:r>
              <w:rPr>
                <w:rFonts w:ascii="仿宋" w:eastAsia="仿宋"/>
                <w:bCs/>
                <w:sz w:val="24"/>
                <w:szCs w:val="24"/>
              </w:rPr>
              <w:t>737</w:t>
            </w:r>
            <w:r>
              <w:rPr>
                <w:rFonts w:ascii="仿宋" w:eastAsia="仿宋" w:hint="eastAsia"/>
                <w:bCs/>
                <w:sz w:val="24"/>
                <w:szCs w:val="24"/>
              </w:rPr>
              <w:t>人，其中研发人员9</w:t>
            </w:r>
            <w:r>
              <w:rPr>
                <w:rFonts w:ascii="仿宋" w:eastAsia="仿宋"/>
                <w:bCs/>
                <w:sz w:val="24"/>
                <w:szCs w:val="24"/>
              </w:rPr>
              <w:t>2</w:t>
            </w:r>
            <w:r>
              <w:rPr>
                <w:rFonts w:ascii="仿宋" w:eastAsia="仿宋" w:hint="eastAsia"/>
                <w:bCs/>
                <w:sz w:val="24"/>
                <w:szCs w:val="24"/>
              </w:rPr>
              <w:t>人，2</w:t>
            </w:r>
            <w:r>
              <w:rPr>
                <w:rFonts w:ascii="仿宋" w:eastAsia="仿宋"/>
                <w:bCs/>
                <w:sz w:val="24"/>
                <w:szCs w:val="24"/>
              </w:rPr>
              <w:t>021</w:t>
            </w:r>
            <w:r>
              <w:rPr>
                <w:rFonts w:ascii="仿宋" w:eastAsia="仿宋" w:hint="eastAsia"/>
                <w:bCs/>
                <w:sz w:val="24"/>
                <w:szCs w:val="24"/>
              </w:rPr>
              <w:t>年公司营业收入1</w:t>
            </w:r>
            <w:r>
              <w:rPr>
                <w:rFonts w:ascii="仿宋" w:eastAsia="仿宋"/>
                <w:bCs/>
                <w:sz w:val="24"/>
                <w:szCs w:val="24"/>
              </w:rPr>
              <w:t>0.12</w:t>
            </w:r>
            <w:r>
              <w:rPr>
                <w:rFonts w:ascii="仿宋" w:eastAsia="仿宋" w:hint="eastAsia"/>
                <w:bCs/>
                <w:sz w:val="24"/>
                <w:szCs w:val="24"/>
              </w:rPr>
              <w:t>亿元，研发支出3</w:t>
            </w:r>
            <w:r>
              <w:rPr>
                <w:rFonts w:ascii="仿宋" w:eastAsia="仿宋"/>
                <w:bCs/>
                <w:sz w:val="24"/>
                <w:szCs w:val="24"/>
              </w:rPr>
              <w:t>653.07</w:t>
            </w:r>
            <w:r>
              <w:rPr>
                <w:rFonts w:ascii="仿宋" w:eastAsia="仿宋" w:hint="eastAsia"/>
                <w:bCs/>
                <w:sz w:val="24"/>
                <w:szCs w:val="24"/>
              </w:rPr>
              <w:t>万元，研发占比3</w:t>
            </w:r>
            <w:r>
              <w:rPr>
                <w:rFonts w:ascii="仿宋" w:eastAsia="仿宋"/>
                <w:bCs/>
                <w:sz w:val="24"/>
                <w:szCs w:val="24"/>
              </w:rPr>
              <w:t>.61%</w:t>
            </w:r>
            <w:r>
              <w:rPr>
                <w:rFonts w:ascii="仿宋" w:eastAsia="仿宋" w:hint="eastAsia"/>
                <w:bCs/>
                <w:sz w:val="24"/>
                <w:szCs w:val="24"/>
              </w:rPr>
              <w:t>，2</w:t>
            </w:r>
            <w:r>
              <w:rPr>
                <w:rFonts w:ascii="仿宋" w:eastAsia="仿宋"/>
                <w:bCs/>
                <w:sz w:val="24"/>
                <w:szCs w:val="24"/>
              </w:rPr>
              <w:t>021</w:t>
            </w:r>
            <w:r>
              <w:rPr>
                <w:rFonts w:ascii="仿宋" w:eastAsia="仿宋" w:hint="eastAsia"/>
                <w:bCs/>
                <w:sz w:val="24"/>
                <w:szCs w:val="24"/>
              </w:rPr>
              <w:t>年公司总资产1</w:t>
            </w:r>
            <w:r>
              <w:rPr>
                <w:rFonts w:ascii="仿宋" w:eastAsia="仿宋"/>
                <w:bCs/>
                <w:sz w:val="24"/>
                <w:szCs w:val="24"/>
              </w:rPr>
              <w:t>5.51</w:t>
            </w:r>
            <w:r>
              <w:rPr>
                <w:rFonts w:ascii="仿宋" w:eastAsia="仿宋" w:hint="eastAsia"/>
                <w:bCs/>
                <w:sz w:val="24"/>
                <w:szCs w:val="24"/>
              </w:rPr>
              <w:t>亿元。</w:t>
            </w:r>
          </w:p>
          <w:p>
            <w:pPr>
              <w:snapToGrid w:val="0"/>
              <w:spacing w:line="240" w:lineRule="auto"/>
              <w:rPr>
                <w:rFonts w:ascii="仿宋" w:eastAsia="仿宋"/>
                <w:bCs/>
                <w:sz w:val="24"/>
                <w:szCs w:val="24"/>
              </w:rPr>
            </w:pPr>
            <w:r>
              <w:rPr>
                <w:rFonts w:ascii="仿宋" w:eastAsia="仿宋" w:hint="eastAsia"/>
                <w:bCs/>
                <w:sz w:val="24"/>
                <w:szCs w:val="24"/>
              </w:rPr>
              <w:t>公司主要从事金属压力容器的研发、设计、制造、销售及相关技术服务，目前已形成以换热压力容器、反应压力容器、储存压力容器、分离压力容器和海洋油气装置模块为主的非标压力容器产品系列，产品主要应用于炼油及石油化工、基础化工、核电及太阳能发电、高技术船舶及海洋工程等领域。</w:t>
            </w:r>
          </w:p>
          <w:p>
            <w:pPr>
              <w:snapToGrid w:val="0"/>
              <w:spacing w:line="240" w:lineRule="auto"/>
              <w:rPr>
                <w:rFonts w:ascii="仿宋" w:eastAsia="仿宋" w:hint="eastAsia"/>
                <w:bCs/>
                <w:sz w:val="24"/>
                <w:szCs w:val="24"/>
              </w:rPr>
            </w:pPr>
            <w:r>
              <w:rPr>
                <w:rFonts w:ascii="仿宋" w:eastAsia="仿宋" w:hint="eastAsia"/>
                <w:bCs/>
                <w:sz w:val="24"/>
                <w:szCs w:val="24"/>
              </w:rPr>
              <w:t>公司拥有国家核安全局颁发的2、3级民用核安全设备制造许可证，国家市场管理监督总局颁发的</w:t>
            </w:r>
            <w:r>
              <w:rPr>
                <w:rFonts w:ascii="仿宋" w:eastAsia="仿宋"/>
                <w:bCs/>
                <w:sz w:val="24"/>
                <w:szCs w:val="24"/>
              </w:rPr>
              <w:t>A1</w:t>
            </w:r>
            <w:r>
              <w:rPr>
                <w:rFonts w:ascii="仿宋" w:eastAsia="仿宋" w:hint="eastAsia"/>
                <w:bCs/>
                <w:sz w:val="24"/>
                <w:szCs w:val="24"/>
              </w:rPr>
              <w:t>级大型高压容器制造许可证和固定式压力容器规则设计许可证，美国机械工程师协会</w:t>
            </w:r>
            <w:r>
              <w:rPr>
                <w:rFonts w:ascii="仿宋" w:eastAsia="仿宋"/>
                <w:bCs/>
                <w:sz w:val="24"/>
                <w:szCs w:val="24"/>
              </w:rPr>
              <w:t>ASME</w:t>
            </w:r>
            <w:r>
              <w:rPr>
                <w:rFonts w:ascii="仿宋" w:eastAsia="仿宋" w:hint="eastAsia"/>
                <w:bCs/>
                <w:sz w:val="24"/>
                <w:szCs w:val="24"/>
              </w:rPr>
              <w:t>颁发的锅炉和压力容器制造</w:t>
            </w:r>
            <w:r>
              <w:rPr>
                <w:rFonts w:ascii="仿宋" w:eastAsia="仿宋"/>
                <w:bCs/>
                <w:sz w:val="24"/>
                <w:szCs w:val="24"/>
              </w:rPr>
              <w:t xml:space="preserve"> </w:t>
            </w:r>
            <w:r>
              <w:rPr>
                <w:rFonts w:ascii="仿宋" w:eastAsia="仿宋" w:hint="eastAsia"/>
                <w:bCs/>
                <w:sz w:val="24"/>
                <w:szCs w:val="24"/>
              </w:rPr>
              <w:t>“</w:t>
            </w:r>
            <w:r>
              <w:rPr>
                <w:rFonts w:ascii="仿宋" w:eastAsia="仿宋"/>
                <w:bCs/>
                <w:sz w:val="24"/>
                <w:szCs w:val="24"/>
              </w:rPr>
              <w:t>U</w:t>
            </w:r>
            <w:r>
              <w:rPr>
                <w:rFonts w:ascii="仿宋" w:eastAsia="仿宋" w:hint="eastAsia"/>
                <w:bCs/>
                <w:sz w:val="24"/>
                <w:szCs w:val="24"/>
              </w:rPr>
              <w:t>”、“</w:t>
            </w:r>
            <w:r>
              <w:rPr>
                <w:rFonts w:ascii="仿宋" w:eastAsia="仿宋"/>
                <w:bCs/>
                <w:sz w:val="24"/>
                <w:szCs w:val="24"/>
              </w:rPr>
              <w:t>U2</w:t>
            </w:r>
            <w:r>
              <w:rPr>
                <w:rFonts w:ascii="仿宋" w:eastAsia="仿宋" w:hint="eastAsia"/>
                <w:bCs/>
                <w:sz w:val="24"/>
                <w:szCs w:val="24"/>
              </w:rPr>
              <w:t>”、“</w:t>
            </w:r>
            <w:r>
              <w:rPr>
                <w:rFonts w:ascii="仿宋" w:eastAsia="仿宋"/>
                <w:bCs/>
                <w:sz w:val="24"/>
                <w:szCs w:val="24"/>
              </w:rPr>
              <w:t>S</w:t>
            </w:r>
            <w:r>
              <w:rPr>
                <w:rFonts w:ascii="仿宋" w:eastAsia="仿宋" w:hint="eastAsia"/>
                <w:bCs/>
                <w:sz w:val="24"/>
                <w:szCs w:val="24"/>
              </w:rPr>
              <w:t>”钢印证书，美国国家锅炉与压力容器检验委员会</w:t>
            </w:r>
            <w:r>
              <w:rPr>
                <w:rFonts w:ascii="仿宋" w:eastAsia="仿宋"/>
                <w:bCs/>
                <w:sz w:val="24"/>
                <w:szCs w:val="24"/>
              </w:rPr>
              <w:t>NBBI</w:t>
            </w:r>
            <w:r>
              <w:rPr>
                <w:rFonts w:ascii="仿宋" w:eastAsia="仿宋" w:hint="eastAsia"/>
                <w:bCs/>
                <w:sz w:val="24"/>
                <w:szCs w:val="24"/>
              </w:rPr>
              <w:t>颁发的“</w:t>
            </w:r>
            <w:r>
              <w:rPr>
                <w:rFonts w:ascii="仿宋" w:eastAsia="仿宋"/>
                <w:bCs/>
                <w:sz w:val="24"/>
                <w:szCs w:val="24"/>
              </w:rPr>
              <w:t>R</w:t>
            </w:r>
            <w:r>
              <w:rPr>
                <w:rFonts w:ascii="仿宋" w:eastAsia="仿宋" w:hint="eastAsia"/>
                <w:bCs/>
                <w:sz w:val="24"/>
                <w:szCs w:val="24"/>
              </w:rPr>
              <w:t>”、“</w:t>
            </w:r>
            <w:r>
              <w:rPr>
                <w:rFonts w:ascii="仿宋" w:eastAsia="仿宋"/>
                <w:bCs/>
                <w:sz w:val="24"/>
                <w:szCs w:val="24"/>
              </w:rPr>
              <w:t>NB</w:t>
            </w:r>
            <w:r>
              <w:rPr>
                <w:rFonts w:ascii="仿宋" w:eastAsia="仿宋" w:hint="eastAsia"/>
                <w:bCs/>
                <w:sz w:val="24"/>
                <w:szCs w:val="24"/>
              </w:rPr>
              <w:t>”钢印证书，美国</w:t>
            </w:r>
            <w:r>
              <w:rPr>
                <w:rFonts w:ascii="仿宋" w:eastAsia="仿宋"/>
                <w:bCs/>
                <w:sz w:val="24"/>
                <w:szCs w:val="24"/>
              </w:rPr>
              <w:t>ABS</w:t>
            </w:r>
            <w:r>
              <w:rPr>
                <w:rFonts w:ascii="仿宋" w:eastAsia="仿宋" w:hint="eastAsia"/>
                <w:bCs/>
                <w:sz w:val="24"/>
                <w:szCs w:val="24"/>
              </w:rPr>
              <w:t>颁发的ISO9001、ISO14001、ISO45001管理体系认证证书，公司还取得了中国CCS、挪威</w:t>
            </w:r>
            <w:r>
              <w:rPr>
                <w:rFonts w:ascii="仿宋" w:eastAsia="仿宋"/>
                <w:bCs/>
                <w:sz w:val="24"/>
                <w:szCs w:val="24"/>
              </w:rPr>
              <w:t>DNV</w:t>
            </w:r>
            <w:r>
              <w:rPr>
                <w:rFonts w:ascii="仿宋" w:eastAsia="仿宋" w:hint="eastAsia"/>
                <w:bCs/>
                <w:sz w:val="24"/>
                <w:szCs w:val="24"/>
              </w:rPr>
              <w:t>-GL、法国</w:t>
            </w:r>
            <w:r>
              <w:rPr>
                <w:rFonts w:ascii="仿宋" w:eastAsia="仿宋"/>
                <w:bCs/>
                <w:sz w:val="24"/>
                <w:szCs w:val="24"/>
              </w:rPr>
              <w:t>BV</w:t>
            </w:r>
            <w:r>
              <w:rPr>
                <w:rFonts w:ascii="仿宋" w:eastAsia="仿宋" w:hint="eastAsia"/>
                <w:bCs/>
                <w:sz w:val="24"/>
                <w:szCs w:val="24"/>
              </w:rPr>
              <w:t xml:space="preserve">、英国 </w:t>
            </w:r>
            <w:r>
              <w:rPr>
                <w:rFonts w:ascii="仿宋" w:eastAsia="仿宋"/>
                <w:bCs/>
                <w:sz w:val="24"/>
                <w:szCs w:val="24"/>
              </w:rPr>
              <w:t xml:space="preserve"> LR</w:t>
            </w:r>
            <w:r>
              <w:rPr>
                <w:rFonts w:ascii="仿宋" w:eastAsia="仿宋" w:hint="eastAsia"/>
                <w:bCs/>
                <w:sz w:val="24"/>
                <w:szCs w:val="24"/>
              </w:rPr>
              <w:t>和韩国KR等船级社的企业资质认证。</w:t>
            </w:r>
          </w:p>
        </w:tc>
      </w:tr>
      <w:tr>
        <w:trPr>
          <w:trHeight w:val="1140"/>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5</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江苏微导纳米科技股份有限公司</w:t>
            </w:r>
          </w:p>
        </w:tc>
        <w:tc>
          <w:tcPr>
            <w:tcW w:w="9355" w:type="dxa"/>
            <w:vAlign w:val="center"/>
          </w:tcPr>
          <w:p>
            <w:pPr>
              <w:spacing w:line="240" w:lineRule="auto"/>
              <w:rPr>
                <w:rFonts w:ascii="仿宋" w:eastAsia="仿宋" w:hint="eastAsia"/>
                <w:bCs/>
                <w:sz w:val="24"/>
                <w:szCs w:val="24"/>
              </w:rPr>
            </w:pPr>
            <w:r>
              <w:rPr>
                <w:rFonts w:ascii="仿宋" w:eastAsia="仿宋" w:hint="eastAsia"/>
                <w:bCs/>
                <w:sz w:val="24"/>
                <w:szCs w:val="24"/>
              </w:rPr>
              <w:t>江苏微导纳米科技股份有限公司（简称“微导纳米”）成立于2015 年12 月，是一家面向全球的高端设备制造商。公司以原子层沉积（ALD）技术为核心，专注于先进微米级、纳米级薄膜沉积设备的研发、生产与应用。公司业务涵盖集成电路、光伏、LED、MEMS 等半导体相关领域，以及新能源和柔性电子领域；主要产品为应用于逻辑芯片、存储芯片、硅基微显示和3D封装等半导体及泛半导体ALD 设备和技术，以及应用于柔性电子、新一代高效太阳能电池的薄膜设备和量产解决方案。</w:t>
            </w:r>
          </w:p>
          <w:p>
            <w:pPr>
              <w:spacing w:line="240" w:lineRule="auto"/>
              <w:rPr>
                <w:rFonts w:ascii="仿宋" w:eastAsia="仿宋" w:hint="eastAsia"/>
                <w:bCs/>
                <w:sz w:val="24"/>
                <w:szCs w:val="24"/>
              </w:rPr>
            </w:pPr>
            <w:r>
              <w:rPr>
                <w:rFonts w:ascii="仿宋" w:eastAsia="仿宋" w:hint="eastAsia"/>
                <w:bCs/>
                <w:sz w:val="24"/>
                <w:szCs w:val="24"/>
              </w:rPr>
              <w:t>微导纳米是国内首家成功将量产型High-k原子层沉积设备应用于28nm节点集成电路制造前道生产线的国产设备公司。其设备有效填补国内空白、达到国际先进水平，成功解决了一项半导体设备“卡脖子”难题。</w:t>
            </w:r>
          </w:p>
          <w:p>
            <w:pPr>
              <w:spacing w:line="240" w:lineRule="auto"/>
              <w:ind w:firstLineChars="0" w:firstLine="0"/>
              <w:rPr>
                <w:rFonts w:ascii="仿宋" w:eastAsia="仿宋"/>
                <w:bCs/>
                <w:sz w:val="24"/>
                <w:szCs w:val="24"/>
              </w:rPr>
            </w:pPr>
            <w:r>
              <w:rPr>
                <w:rFonts w:ascii="仿宋" w:eastAsia="仿宋" w:hint="eastAsia"/>
                <w:bCs/>
                <w:sz w:val="24"/>
                <w:szCs w:val="24"/>
              </w:rPr>
              <w:t>公司2022年度预计实现营业收入6.47亿元到7.16亿元，同比增加51.33%到67.26%。截至2022年9月底，在手订单金额近20亿元。2022年12月23日，公司在上交所科创板正式挂牌上市（688147.SH），发行价格为24.21元/股，本次发行募集资金总额为11亿元。截至2023年1月31日收盘，公司最新市值约为145亿元。</w:t>
            </w:r>
          </w:p>
        </w:tc>
      </w:tr>
      <w:tr>
        <w:trPr>
          <w:trHeight w:val="884"/>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6</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江苏博砚电子科技股份有限公司</w:t>
            </w:r>
          </w:p>
        </w:tc>
        <w:tc>
          <w:tcPr>
            <w:tcW w:w="9355" w:type="dxa"/>
            <w:vAlign w:val="center"/>
          </w:tcPr>
          <w:p>
            <w:pPr>
              <w:spacing w:line="240" w:lineRule="auto"/>
              <w:rPr>
                <w:rFonts w:ascii="仿宋" w:eastAsia="仿宋"/>
                <w:bCs/>
                <w:sz w:val="24"/>
                <w:szCs w:val="24"/>
              </w:rPr>
            </w:pPr>
            <w:r>
              <w:rPr>
                <w:rFonts w:ascii="仿宋" w:eastAsia="仿宋" w:hint="eastAsia"/>
                <w:bCs/>
                <w:sz w:val="24"/>
                <w:szCs w:val="24"/>
              </w:rPr>
              <w:t>江苏博砚电子科技股份有限公司成立于2014年7月，位于江苏省宜兴市徐舍工业集中区，注册资金2.33亿元人民币，是一家专业从事半导体显示用光刻胶的高新技术企业。</w:t>
            </w:r>
          </w:p>
          <w:p>
            <w:pPr>
              <w:spacing w:line="240" w:lineRule="auto"/>
              <w:rPr>
                <w:rFonts w:ascii="仿宋" w:eastAsia="仿宋"/>
                <w:bCs/>
                <w:sz w:val="24"/>
                <w:szCs w:val="24"/>
              </w:rPr>
            </w:pPr>
            <w:r>
              <w:rPr>
                <w:rFonts w:ascii="仿宋" w:eastAsia="仿宋" w:hint="eastAsia"/>
                <w:bCs/>
                <w:sz w:val="24"/>
                <w:szCs w:val="24"/>
              </w:rPr>
              <w:t>为了打破国内企业在半导体显示用光刻胶行业中的空白，我公司从国外引进了整条产品评价设备，组建了全球先进的光刻胶评价和分析实验室。同时，公司引进研发经验丰富的日、韩资深专家，突破本土制造的长期技术瓶颈，打破国内企业在半导体面板用光刻胶行业中的空白。</w:t>
            </w:r>
          </w:p>
          <w:p>
            <w:pPr>
              <w:spacing w:line="240" w:lineRule="auto"/>
              <w:rPr>
                <w:rFonts w:ascii="仿宋" w:eastAsia="仿宋"/>
                <w:bCs/>
                <w:sz w:val="24"/>
                <w:szCs w:val="24"/>
              </w:rPr>
            </w:pPr>
            <w:r>
              <w:rPr>
                <w:rFonts w:ascii="仿宋" w:eastAsia="仿宋" w:hint="eastAsia"/>
                <w:bCs/>
                <w:sz w:val="24"/>
                <w:szCs w:val="24"/>
              </w:rPr>
              <w:t>目前，博砚电子公司已经完成了黑色光刻胶（BM）的开发和量产工作，黑色光刻胶产品已在京东方、华星光电、南京熊猫、上海仪电、天马、华佳彩、莱宝实现了批量供应，成为国内首家，世界少数的能够设计和生产平板显示用黑色光刻胶并拥有自主知识产权的企业。</w:t>
            </w:r>
          </w:p>
          <w:p>
            <w:pPr>
              <w:spacing w:line="240" w:lineRule="auto"/>
              <w:rPr>
                <w:rFonts w:ascii="仿宋" w:eastAsia="仿宋"/>
                <w:bCs/>
                <w:sz w:val="24"/>
                <w:szCs w:val="24"/>
              </w:rPr>
            </w:pPr>
            <w:r>
              <w:rPr>
                <w:rFonts w:ascii="仿宋" w:eastAsia="仿宋" w:hint="eastAsia"/>
                <w:bCs/>
                <w:sz w:val="24"/>
                <w:szCs w:val="24"/>
              </w:rPr>
              <w:t>公司光刻胶材料已通过科技成果鉴定会，其主要技术指标达到甚至超过了当前国际上同类产品的水平，整体技术达到国际先进。项目的实施打破了外国对我国高端电子化学品的技术封锁，推动电子行业的可持续发展，提高公司的综合竞争力。</w:t>
            </w:r>
          </w:p>
        </w:tc>
      </w:tr>
      <w:tr>
        <w:trPr>
          <w:trHeight w:val="1427"/>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7</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江苏长电科技股份有限公司</w:t>
            </w:r>
          </w:p>
        </w:tc>
        <w:tc>
          <w:tcPr>
            <w:tcW w:w="9355" w:type="dxa"/>
            <w:vAlign w:val="center"/>
          </w:tcPr>
          <w:p>
            <w:pPr>
              <w:spacing w:line="240" w:lineRule="auto"/>
              <w:rPr>
                <w:rFonts w:ascii="仿宋" w:eastAsia="仿宋"/>
                <w:bCs/>
                <w:sz w:val="24"/>
                <w:szCs w:val="24"/>
              </w:rPr>
            </w:pPr>
            <w:r>
              <w:rPr>
                <w:rFonts w:ascii="仿宋" w:eastAsia="仿宋" w:hint="eastAsia"/>
                <w:bCs/>
                <w:sz w:val="24"/>
                <w:szCs w:val="24"/>
              </w:rPr>
              <w:t>江苏长电科技股份有限公司是全球领先的半导体微系统集成和封装测试服务提供商，营收规模位居行业内全球前三，中国大陆第一。长电科技深耕集成电路领域近50年，是全球半导体行业当中，包括设计、晶圆制造、封装测试、材料和装备五大板块里面，唯一一个行业排名进入世界前三的中国大陆企业。</w:t>
            </w:r>
          </w:p>
          <w:p>
            <w:pPr>
              <w:spacing w:line="240" w:lineRule="auto"/>
              <w:rPr>
                <w:rFonts w:ascii="仿宋" w:eastAsia="仿宋"/>
                <w:bCs/>
                <w:sz w:val="24"/>
                <w:szCs w:val="24"/>
              </w:rPr>
            </w:pPr>
            <w:r>
              <w:rPr>
                <w:rFonts w:ascii="仿宋" w:eastAsia="仿宋" w:hint="eastAsia"/>
                <w:bCs/>
                <w:sz w:val="24"/>
                <w:szCs w:val="24"/>
              </w:rPr>
              <w:t>长电科技成立于1972年，在中国、韩国和新加坡设有六大生产基地和两大研发中心，在超过22个国家和地区设有业务机构，可与全球客户进行紧密的技术合作并提供高效的产业链支持。公司拥有国家级企业技术中心、博士后科研工作站和高密度集成电路国家工程实验室，拥有的专利技术全面覆盖了中、高端封测领域。“高密度高可靠电子封装关键技术及成套工艺”项目荣获“2020年度国家科学技术进步一等奖.</w:t>
            </w:r>
          </w:p>
          <w:p>
            <w:pPr>
              <w:spacing w:line="240" w:lineRule="auto"/>
              <w:rPr>
                <w:rFonts w:ascii="仿宋" w:eastAsia="仿宋"/>
                <w:bCs/>
                <w:sz w:val="24"/>
                <w:szCs w:val="24"/>
              </w:rPr>
            </w:pPr>
            <w:r>
              <w:rPr>
                <w:rFonts w:ascii="仿宋" w:eastAsia="仿宋" w:hint="eastAsia"/>
                <w:bCs/>
                <w:sz w:val="24"/>
                <w:szCs w:val="24"/>
              </w:rPr>
              <w:t>为广大客户提供全方位的微系统集成一站式服务，包括集成电路的系统集成封装设计、特性仿真、各类中高端封装测试等，涵盖了集成电路系统应用的所有领域。</w:t>
            </w:r>
          </w:p>
          <w:p>
            <w:pPr>
              <w:spacing w:line="260" w:lineRule="exact"/>
              <w:ind w:firstLineChars="0" w:firstLine="0"/>
              <w:jc w:val="center"/>
              <w:rPr>
                <w:rFonts w:ascii="仿宋" w:eastAsia="仿宋"/>
                <w:bCs/>
                <w:sz w:val="24"/>
                <w:szCs w:val="24"/>
              </w:rPr>
            </w:pPr>
          </w:p>
        </w:tc>
      </w:tr>
      <w:tr>
        <w:trPr>
          <w:trHeight w:val="820"/>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8</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航天新气象科技有限公司</w:t>
            </w:r>
          </w:p>
        </w:tc>
        <w:tc>
          <w:tcPr>
            <w:tcW w:w="9355" w:type="dxa"/>
            <w:vAlign w:val="center"/>
          </w:tcPr>
          <w:p>
            <w:pPr>
              <w:spacing w:line="240" w:lineRule="auto"/>
              <w:rPr>
                <w:rFonts w:ascii="仿宋" w:eastAsia="仿宋" w:hint="eastAsia"/>
                <w:bCs/>
                <w:sz w:val="24"/>
                <w:szCs w:val="24"/>
              </w:rPr>
            </w:pPr>
            <w:r>
              <w:rPr>
                <w:rFonts w:ascii="仿宋" w:eastAsia="仿宋" w:hint="eastAsia"/>
                <w:bCs/>
                <w:sz w:val="24"/>
                <w:szCs w:val="24"/>
              </w:rPr>
              <w:t>航天新气象科技有限公司是经国家财政部【财防（2016）362号】批准、由江苏省无线电科学研究所有限公司、中国航天科工集团二院23所和商业航天基金共同设立的混合所有制高新技术企业。目前，江苏省无线电科学研究所有限公司和23所（气象事业部）已将双方的全部气象业务（包含资产、资质、业务、人员及其他与经营相关资源）全部注入航天新气象科技有限公司（以下简称为航天新气象）。公司注册地位于江苏省无锡市滨湖区未名路28号，以无锡作为总部基地，并在北京设立分公司。公司总员工477余人，技术人员占比85%以上，博士15人，硕士97人，中高级职称134人。</w:t>
            </w:r>
          </w:p>
          <w:p>
            <w:pPr>
              <w:spacing w:line="240" w:lineRule="auto"/>
              <w:rPr>
                <w:rFonts w:ascii="仿宋" w:eastAsia="仿宋"/>
                <w:bCs/>
                <w:sz w:val="24"/>
                <w:szCs w:val="24"/>
              </w:rPr>
            </w:pPr>
            <w:r>
              <w:rPr>
                <w:rFonts w:ascii="仿宋" w:eastAsia="仿宋" w:hint="eastAsia"/>
                <w:bCs/>
                <w:sz w:val="24"/>
                <w:szCs w:val="24"/>
              </w:rPr>
              <w:t>公司在集聚了原“无锡所”自动气象站、23所北斗探空仪和风廓线雷达等传统优势技术、产品和技术骨干的基础上，积极拓展天基、海基气象探测领域，成为国内唯一覆盖“空天地海”一体化的综合性气象探测仪器装备及服务提供商。核心技术覆盖气象传感器、气象设备集成、探空系统、气象雷达集成和数据反演、空天地一体化大数据融合与应用、专业气象服务解决方案等。</w:t>
            </w:r>
          </w:p>
        </w:tc>
      </w:tr>
      <w:tr>
        <w:trPr>
          <w:trHeight w:val="1100"/>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9</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无锡透平叶片有限公司</w:t>
            </w:r>
          </w:p>
        </w:tc>
        <w:tc>
          <w:tcPr>
            <w:tcW w:w="9355" w:type="dxa"/>
            <w:vAlign w:val="center"/>
          </w:tcPr>
          <w:p>
            <w:pPr>
              <w:spacing w:line="240" w:lineRule="auto"/>
              <w:rPr>
                <w:rFonts w:ascii="仿宋" w:eastAsia="仿宋" w:hint="eastAsia"/>
                <w:bCs/>
                <w:sz w:val="24"/>
                <w:szCs w:val="24"/>
              </w:rPr>
            </w:pPr>
            <w:r>
              <w:rPr>
                <w:rFonts w:ascii="仿宋" w:eastAsia="仿宋" w:hint="eastAsia"/>
                <w:bCs/>
                <w:sz w:val="24"/>
                <w:szCs w:val="24"/>
              </w:rPr>
              <w:t>无锡透平叶片有限公司（简称“WTB”）建于1979年，是上海电气集团旗下上海集优机械有限公司的全资子公司。WTB是一家全球化、专业化的高端动力部件制造企业，以先进的装备、精湛的技术、良好的服务满足客户的定制化需求，优质服务于全球能源和航空装备市场。</w:t>
            </w:r>
          </w:p>
          <w:p>
            <w:pPr>
              <w:spacing w:line="240" w:lineRule="auto"/>
              <w:rPr>
                <w:rFonts w:ascii="仿宋" w:eastAsia="仿宋" w:hint="eastAsia"/>
                <w:bCs/>
                <w:sz w:val="24"/>
                <w:szCs w:val="24"/>
              </w:rPr>
            </w:pPr>
            <w:r>
              <w:rPr>
                <w:rFonts w:ascii="仿宋" w:eastAsia="仿宋" w:hint="eastAsia"/>
                <w:bCs/>
                <w:sz w:val="24"/>
                <w:szCs w:val="24"/>
              </w:rPr>
              <w:t>公司位于无锡惠山经济开发区，占地面积23万平方米，注册资金7.13亿元；现有正式员工790人，其中本科以上学历300余人，中高职称100余人。2021年销售收入11.1亿元，净利润6500万元，2022年预计实现销售收入12亿元，同比增长约8%。</w:t>
            </w:r>
          </w:p>
          <w:p>
            <w:pPr>
              <w:spacing w:line="240" w:lineRule="auto"/>
              <w:rPr>
                <w:rFonts w:ascii="仿宋" w:eastAsia="仿宋" w:hint="eastAsia"/>
                <w:bCs/>
                <w:sz w:val="24"/>
                <w:szCs w:val="24"/>
              </w:rPr>
            </w:pPr>
            <w:r>
              <w:rPr>
                <w:rFonts w:ascii="仿宋" w:eastAsia="仿宋" w:hint="eastAsia"/>
                <w:bCs/>
                <w:sz w:val="24"/>
                <w:szCs w:val="24"/>
              </w:rPr>
              <w:t>公司主导产业聚焦航空、能源装备领域，主要为航空发动机、飞机、重型燃气轮机、舰船动力、航天器、核电汽轮机、清洁火电汽轮机等国家重大装备研制和生产各类叶片、盘轴件、高性能结构件、高温涡轮叶片等关键核心部件。</w:t>
            </w:r>
          </w:p>
          <w:p>
            <w:pPr>
              <w:spacing w:line="240" w:lineRule="auto"/>
              <w:rPr>
                <w:rFonts w:ascii="仿宋" w:eastAsia="仿宋"/>
                <w:bCs/>
                <w:sz w:val="24"/>
                <w:szCs w:val="24"/>
              </w:rPr>
            </w:pPr>
            <w:r>
              <w:rPr>
                <w:rFonts w:ascii="仿宋" w:eastAsia="仿宋" w:hint="eastAsia"/>
                <w:bCs/>
                <w:sz w:val="24"/>
                <w:szCs w:val="24"/>
              </w:rPr>
              <w:t>经过十年的转型发展，公司已逐步实现从传统能源领域的汽轮机产业向航空、航天、燃气轮机的产业跨越；实现从单一的能源叶片业务向航空各类叶片、关键核心部件、热端部件等高端产品的升级，成长为我国“两机”领域关键核心部件的龙头制造企业。2021年航空、航天业务占比50%，加上燃气轮机后的”两机”业务占比近70%，产业结构呈现高端化、多元化、均衡化的良好发展态势，预计“十四五”期间产业结构持续向着重点战略方向进一步优化。</w:t>
            </w:r>
          </w:p>
        </w:tc>
      </w:tr>
      <w:tr>
        <w:trPr>
          <w:trHeight w:val="893"/>
        </w:trPr>
        <w:tc>
          <w:tcPr>
            <w:tcW w:w="1271" w:type="dxa"/>
            <w:vAlign w:val="center"/>
          </w:tcPr>
          <w:p>
            <w:pPr>
              <w:spacing w:line="26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10</w:t>
            </w:r>
          </w:p>
        </w:tc>
        <w:tc>
          <w:tcPr>
            <w:tcW w:w="2699" w:type="dxa"/>
            <w:vAlign w:val="center"/>
          </w:tcPr>
          <w:p>
            <w:pPr>
              <w:spacing w:line="260" w:lineRule="exact"/>
              <w:ind w:firstLineChars="0" w:firstLine="0"/>
              <w:rPr>
                <w:rFonts w:ascii="Times New Roman" w:eastAsia="方正仿宋_GBK" w:hAnsi="Times New Roman"/>
                <w:bCs/>
                <w:sz w:val="24"/>
                <w:szCs w:val="24"/>
              </w:rPr>
            </w:pPr>
            <w:r>
              <w:rPr>
                <w:rFonts w:ascii="Times New Roman" w:eastAsia="方正仿宋_GBK" w:hAnsi="Times New Roman" w:hint="eastAsia"/>
                <w:bCs/>
                <w:sz w:val="24"/>
                <w:szCs w:val="24"/>
              </w:rPr>
              <w:t>一汽解放汽车有限公司无锡柴油机厂</w:t>
            </w:r>
          </w:p>
        </w:tc>
        <w:tc>
          <w:tcPr>
            <w:tcW w:w="9355" w:type="dxa"/>
            <w:vAlign w:val="center"/>
          </w:tcPr>
          <w:p>
            <w:pPr>
              <w:spacing w:line="260" w:lineRule="exact"/>
              <w:rPr>
                <w:rFonts w:ascii="仿宋" w:eastAsia="仿宋"/>
                <w:bCs/>
                <w:sz w:val="24"/>
                <w:szCs w:val="24"/>
              </w:rPr>
            </w:pPr>
            <w:r>
              <w:rPr>
                <w:rFonts w:ascii="仿宋" w:eastAsia="仿宋" w:hint="eastAsia"/>
                <w:bCs/>
                <w:sz w:val="24"/>
                <w:szCs w:val="24"/>
              </w:rPr>
              <w:t>1943年，锡柴(中央农具实验制造厂)在战火纷飞中诞生，从农机起步，逐步向车用柴油机发展，创造出国内多项“第一”，以“出人才、出产品、出经验”享誉业内。2017年10月，根据一汽集团和解放公司全面深化改革的部署，以一汽解放汽车有限公司无锡柴油机厂为主体，整合了道依茨一汽（大连）柴油机有限公司、一汽无锡油泵油嘴研究所、解放商用车开发院发动机部，成立了一汽解放发动机事业部（以下简称“发动机事业部”）。成立后,事业部分布于无锡、长春、大连三地七区，总部设立于无锡，总占地面积超过86万平方米，从业人员总数近7000人，主要产品包括柴油机、燃气机、再制造产品、喷油泵，其中发动机产品共有奥威、铂威、劲威三大品牌，形成了排量覆盖2-16升、功率覆盖110-750马力的产品序列，产品功率可以满足各个细分市场需求。2022年11月9日，根据解放公司部署，将原发动机事业部、传动事业部整合为动力总成事业部。旨在通过建立端到端、适配产业线发展的组织架构和管理机制，打造“中国第一、世界一流”的安全绿色高效可靠的智慧动力域，支撑解放公司持续领航。</w:t>
            </w:r>
          </w:p>
        </w:tc>
      </w:tr>
    </w:tbl>
    <w:p>
      <w:pPr>
        <w:spacing w:line="590" w:lineRule="exact"/>
        <w:ind w:firstLineChars="0" w:firstLine="0"/>
        <w:jc w:val="center"/>
        <w:rPr>
          <w:rFonts w:ascii="Times New Roman" w:eastAsia="方正黑体_GBK" w:hAnsi="Times New Roman"/>
          <w:bCs/>
          <w:sz w:val="32"/>
          <w:szCs w:val="32"/>
        </w:rPr>
      </w:pPr>
    </w:p>
    <w:p>
      <w:pPr>
        <w:spacing w:line="590" w:lineRule="exact"/>
        <w:ind w:firstLineChars="0" w:firstLine="0"/>
        <w:jc w:val="center"/>
        <w:rPr>
          <w:rFonts w:ascii="Times New Roman" w:eastAsia="方正黑体_GBK" w:hAnsi="Times New Roman"/>
          <w:bCs/>
          <w:sz w:val="32"/>
          <w:szCs w:val="32"/>
        </w:rPr>
      </w:pPr>
    </w:p>
    <w:p>
      <w:pPr>
        <w:spacing w:line="590" w:lineRule="exact"/>
        <w:ind w:firstLineChars="0" w:firstLine="0"/>
        <w:jc w:val="center"/>
        <w:rPr>
          <w:rFonts w:ascii="Times New Roman" w:eastAsia="方正黑体_GBK" w:hAnsi="Times New Roman"/>
          <w:bCs/>
          <w:sz w:val="32"/>
          <w:szCs w:val="32"/>
        </w:rPr>
      </w:pPr>
    </w:p>
    <w:p>
      <w:pPr>
        <w:pStyle w:val="15"/>
        <w:ind w:firstLineChars="200" w:firstLine="420"/>
      </w:pPr>
    </w:p>
    <w:p>
      <w:pPr>
        <w:ind w:firstLineChars="200" w:firstLine="420"/>
      </w:pPr>
      <w:bookmarkStart w:id="0" w:name="_GoBack"/>
      <w:bookmarkEnd w:id="0"/>
    </w:p>
    <w:p>
      <w:pPr>
        <w:spacing w:line="590" w:lineRule="exact"/>
        <w:ind w:firstLineChars="0" w:firstLine="0"/>
        <w:jc w:val="center"/>
        <w:rPr>
          <w:rFonts w:ascii="Times New Roman" w:eastAsia="方正黑体_GBK" w:hAnsi="Times New Roman"/>
          <w:bCs/>
          <w:sz w:val="32"/>
          <w:szCs w:val="32"/>
        </w:rPr>
      </w:pPr>
      <w:r>
        <w:rPr>
          <w:rFonts w:ascii="Times New Roman" w:eastAsia="方正黑体_GBK" w:hAnsi="Times New Roman" w:hint="eastAsia"/>
          <w:bCs/>
          <w:sz w:val="32"/>
          <w:szCs w:val="32"/>
        </w:rPr>
        <w:t>三、</w:t>
      </w:r>
      <w:r>
        <w:rPr>
          <w:rFonts w:ascii="Times New Roman" w:eastAsia="方正黑体_GBK" w:hAnsi="Times New Roman"/>
          <w:bCs/>
          <w:sz w:val="32"/>
          <w:szCs w:val="32"/>
        </w:rPr>
        <w:t>江苏省科技创新发展奖</w:t>
      </w:r>
      <w:r>
        <w:rPr>
          <w:rFonts w:ascii="Times New Roman" w:eastAsia="方正黑体_GBK" w:hAnsi="Times New Roman" w:hint="eastAsia"/>
          <w:bCs/>
          <w:sz w:val="32"/>
          <w:szCs w:val="32"/>
        </w:rPr>
        <w:t>先进个人</w:t>
      </w:r>
      <w:r>
        <w:rPr>
          <w:rFonts w:ascii="Times New Roman" w:eastAsia="方正黑体_GBK" w:hAnsi="Times New Roman"/>
          <w:bCs/>
          <w:sz w:val="32"/>
          <w:szCs w:val="32"/>
        </w:rPr>
        <w:t>推荐对象汇总表</w:t>
      </w:r>
    </w:p>
    <w:tbl>
      <w:tblPr>
        <w:jc w:val="center"/>
        <w:tblW w:w="13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6"/>
        <w:gridCol w:w="1134"/>
        <w:gridCol w:w="992"/>
        <w:gridCol w:w="1418"/>
        <w:gridCol w:w="9053"/>
      </w:tblGrid>
      <w:tr>
        <w:trPr>
          <w:trHeight w:val="503"/>
        </w:trPr>
        <w:tc>
          <w:tcPr>
            <w:tcW w:w="846" w:type="dxa"/>
            <w:vAlign w:val="center"/>
          </w:tcPr>
          <w:p>
            <w:pPr>
              <w:spacing w:line="320" w:lineRule="exact"/>
              <w:ind w:firstLineChars="0" w:firstLine="0"/>
              <w:jc w:val="center"/>
              <w:rPr>
                <w:rFonts w:ascii="Times New Roman" w:eastAsia="方正仿宋_GBK" w:hAnsi="Times New Roman"/>
                <w:bCs/>
                <w:sz w:val="24"/>
                <w:szCs w:val="24"/>
              </w:rPr>
            </w:pPr>
            <w:r>
              <w:rPr>
                <w:rFonts w:ascii="Times New Roman" w:eastAsia="方正黑体_GBK" w:hAnsi="Times New Roman"/>
                <w:bCs/>
                <w:sz w:val="24"/>
                <w:szCs w:val="24"/>
              </w:rPr>
              <w:t>序号</w:t>
            </w:r>
          </w:p>
        </w:tc>
        <w:tc>
          <w:tcPr>
            <w:tcW w:w="1134" w:type="dxa"/>
            <w:vAlign w:val="center"/>
          </w:tcPr>
          <w:p>
            <w:pPr>
              <w:spacing w:line="320" w:lineRule="exact"/>
              <w:ind w:firstLineChars="0" w:firstLine="0"/>
              <w:jc w:val="center"/>
              <w:rPr>
                <w:rFonts w:ascii="Times New Roman" w:eastAsia="方正仿宋_GBK" w:hAnsi="Times New Roman"/>
                <w:bCs/>
                <w:sz w:val="24"/>
                <w:szCs w:val="24"/>
              </w:rPr>
            </w:pPr>
            <w:r>
              <w:rPr>
                <w:rFonts w:ascii="Times New Roman" w:eastAsia="方正黑体_GBK" w:hAnsi="Times New Roman"/>
                <w:bCs/>
                <w:sz w:val="24"/>
                <w:szCs w:val="24"/>
              </w:rPr>
              <w:t>姓  名</w:t>
            </w:r>
          </w:p>
        </w:tc>
        <w:tc>
          <w:tcPr>
            <w:tcW w:w="992" w:type="dxa"/>
            <w:vAlign w:val="center"/>
          </w:tcPr>
          <w:p>
            <w:pPr>
              <w:spacing w:line="320" w:lineRule="exact"/>
              <w:ind w:firstLineChars="0" w:firstLine="0"/>
              <w:jc w:val="center"/>
              <w:rPr>
                <w:rFonts w:ascii="Times New Roman" w:eastAsia="方正仿宋_GBK" w:hAnsi="Times New Roman"/>
                <w:bCs/>
                <w:sz w:val="24"/>
                <w:szCs w:val="24"/>
              </w:rPr>
            </w:pPr>
            <w:r>
              <w:rPr>
                <w:rFonts w:ascii="Times New Roman" w:eastAsia="方正黑体_GBK" w:hAnsi="Times New Roman"/>
                <w:bCs/>
                <w:sz w:val="24"/>
                <w:szCs w:val="24"/>
              </w:rPr>
              <w:t>性别</w:t>
            </w:r>
          </w:p>
        </w:tc>
        <w:tc>
          <w:tcPr>
            <w:tcW w:w="1418" w:type="dxa"/>
            <w:vAlign w:val="center"/>
          </w:tcPr>
          <w:p>
            <w:pPr>
              <w:spacing w:line="320" w:lineRule="exact"/>
              <w:ind w:firstLineChars="0" w:firstLine="0"/>
              <w:jc w:val="center"/>
              <w:rPr>
                <w:rFonts w:ascii="Times New Roman" w:eastAsia="方正仿宋_GBK" w:hAnsi="Times New Roman"/>
                <w:bCs/>
                <w:sz w:val="24"/>
                <w:szCs w:val="24"/>
              </w:rPr>
            </w:pPr>
            <w:r>
              <w:rPr>
                <w:rFonts w:ascii="Times New Roman" w:eastAsia="方正黑体_GBK" w:hAnsi="Times New Roman"/>
                <w:bCs/>
                <w:sz w:val="24"/>
                <w:szCs w:val="24"/>
              </w:rPr>
              <w:t>工作单位及职务职级</w:t>
            </w:r>
          </w:p>
        </w:tc>
        <w:tc>
          <w:tcPr>
            <w:tcW w:w="9053" w:type="dxa"/>
            <w:vAlign w:val="center"/>
          </w:tcPr>
          <w:p>
            <w:pPr>
              <w:spacing w:line="320" w:lineRule="exact"/>
              <w:ind w:firstLineChars="0" w:firstLine="0"/>
              <w:jc w:val="center"/>
              <w:rPr>
                <w:rFonts w:ascii="Times New Roman" w:eastAsia="方正黑体_GBK" w:hAnsi="Times New Roman" w:hint="eastAsia"/>
                <w:bCs/>
                <w:sz w:val="24"/>
                <w:szCs w:val="24"/>
              </w:rPr>
            </w:pPr>
            <w:r>
              <w:rPr>
                <w:rFonts w:ascii="Times New Roman" w:eastAsia="方正黑体_GBK" w:hAnsi="Times New Roman" w:hint="eastAsia"/>
                <w:bCs/>
                <w:sz w:val="24"/>
                <w:szCs w:val="24"/>
              </w:rPr>
              <w:t>简要事迹</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1</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赵建平</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男</w:t>
            </w:r>
          </w:p>
        </w:tc>
        <w:tc>
          <w:tcPr>
            <w:tcW w:w="141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sz w:val="24"/>
                <w:szCs w:val="24"/>
              </w:rPr>
              <w:t>无锡市科学技术局局长</w:t>
            </w:r>
          </w:p>
        </w:tc>
        <w:tc>
          <w:tcPr>
            <w:tcW w:w="9053" w:type="dxa"/>
            <w:vAlign w:val="center"/>
          </w:tcPr>
          <w:p>
            <w:pPr>
              <w:spacing w:line="240" w:lineRule="auto"/>
              <w:rPr>
                <w:rFonts w:ascii="仿宋" w:eastAsia="仿宋" w:cs="仿宋"/>
                <w:szCs w:val="21"/>
              </w:rPr>
            </w:pPr>
            <w:r>
              <w:rPr>
                <w:rFonts w:ascii="仿宋" w:eastAsia="仿宋" w:cs="仿宋"/>
                <w:szCs w:val="21"/>
              </w:rPr>
              <w:t>深耕科技、经验丰富。从高校科研管理岗位到地方科技主管部门，深耕科技管理工作20多年。先后多次被评为无锡市科技工作先进个人，带领无锡市科技局被江苏省政府授予“首届科技创新发展奖先进集体”、“江苏省巾帼建功先进集体”。</w:t>
            </w:r>
          </w:p>
          <w:p>
            <w:pPr>
              <w:spacing w:line="240" w:lineRule="auto"/>
              <w:rPr>
                <w:rFonts w:ascii="仿宋" w:eastAsia="仿宋" w:cs="仿宋"/>
                <w:szCs w:val="21"/>
              </w:rPr>
            </w:pPr>
            <w:r>
              <w:rPr>
                <w:rFonts w:ascii="仿宋" w:eastAsia="仿宋" w:cs="仿宋"/>
                <w:szCs w:val="21"/>
              </w:rPr>
              <w:t>科学管理、凝聚合力。将SOP、OKR等现代管理学方法引入机关工作之中，主导制定了一系列工作管理办法，规范业务流程，有力提升了部门工作质效。建立科学有效的工作考评体系及激励机制，不断加强干部队伍建设，激发广大科技干部干事创业的热情，无锡科技局多次在市“担当使命作贡献”季季评活动中荣获真抓实干奖。</w:t>
            </w:r>
          </w:p>
          <w:p>
            <w:pPr>
              <w:spacing w:line="240" w:lineRule="auto"/>
              <w:rPr>
                <w:rFonts w:ascii="仿宋" w:eastAsia="仿宋" w:cs="仿宋" w:hint="eastAsia"/>
                <w:szCs w:val="21"/>
              </w:rPr>
            </w:pPr>
            <w:r>
              <w:rPr>
                <w:rFonts w:ascii="仿宋" w:eastAsia="仿宋" w:cs="仿宋"/>
                <w:szCs w:val="21"/>
              </w:rPr>
              <w:t>创新工作、成效显著。在无锡科技局工作期间，狠抓科技指标，无锡科技进步贡献率连续10年位居江苏省第一。因科技企业孵化器运行成效明显且地方给予资金安排等多次获省政府督查激励。在国家72个创新型城市创新能力评价排名中，无锡位居全国第13位、地级市第2位。</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2</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缪文彬</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男</w:t>
            </w:r>
          </w:p>
        </w:tc>
        <w:tc>
          <w:tcPr>
            <w:tcW w:w="141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双良集团有限公司董事长</w:t>
            </w:r>
          </w:p>
        </w:tc>
        <w:tc>
          <w:tcPr>
            <w:tcW w:w="9053" w:type="dxa"/>
            <w:vAlign w:val="center"/>
          </w:tcPr>
          <w:p>
            <w:pPr>
              <w:spacing w:line="240" w:lineRule="auto"/>
              <w:rPr>
                <w:rFonts w:ascii="仿宋" w:eastAsia="仿宋" w:cs="仿宋"/>
                <w:szCs w:val="21"/>
              </w:rPr>
            </w:pPr>
            <w:r>
              <w:rPr>
                <w:rFonts w:ascii="仿宋" w:eastAsia="仿宋" w:cs="仿宋" w:hint="eastAsia"/>
                <w:szCs w:val="21"/>
              </w:rPr>
              <w:t>2004年，缪文彬同志加入双良后，负责企业经营战略及发展规划，把科技创新放到第一位，作为企业战略转型发展的引擎，通过在研发机构、科技政策、体系改革上的创新，逐步形成了新时期“双碳”背景下双良技术创新体系。2015年主导组建了新型研发机构双良低碳研究院及技术专家委员会，负责技术引进孵化及人才培养，将产品创新与前瞻技术研发、未来技术布局进行区分，研究院与技术中心、各事业部技术部各有侧重，逐步形成了“十四五”期间双良在光伏、氢能、储能、数字化、清洁能源供热、碳中和上的技术创新格局。</w:t>
            </w:r>
          </w:p>
          <w:p>
            <w:pPr>
              <w:spacing w:line="240" w:lineRule="auto"/>
              <w:rPr>
                <w:rFonts w:ascii="仿宋" w:eastAsia="仿宋" w:cs="仿宋"/>
                <w:szCs w:val="21"/>
              </w:rPr>
            </w:pPr>
            <w:r>
              <w:rPr>
                <w:rFonts w:ascii="仿宋" w:eastAsia="仿宋" w:cs="仿宋" w:hint="eastAsia"/>
                <w:szCs w:val="21"/>
              </w:rPr>
              <w:t>在科技政策上，他延续了双良“研发成功有重奖，研发失败不追究”的创新理念， 2022年进一步升华细化创新激励办法，通过政策支持引导员工加强绿色技术创新。正是因为这种持之以恒的改革创新精神，双良第三次战略转型成功的转向了以“清洁能源”、“数字化”为核心业务，在包头布局的清洁能源项目40GW单晶硅硅片、5GW光伏组件项目成功投产，清洁能源供热公司慧居科技正在筹备港股上市，数字化双良混沌能源公司近亿元A轮融资。</w:t>
            </w:r>
          </w:p>
          <w:p>
            <w:pPr>
              <w:spacing w:line="280" w:lineRule="exact"/>
              <w:rPr>
                <w:rFonts w:ascii="Times New Roman" w:eastAsia="方正仿宋_GBK" w:hAnsi="Times New Roman"/>
                <w:bCs/>
                <w:sz w:val="24"/>
                <w:szCs w:val="24"/>
              </w:rPr>
            </w:pPr>
            <w:r>
              <w:rPr>
                <w:rFonts w:ascii="仿宋" w:eastAsia="仿宋" w:cs="仿宋" w:hint="eastAsia"/>
                <w:szCs w:val="21"/>
              </w:rPr>
              <w:t>时至今日，双良集团旗下拥有A股上市公司1家，高新技术企业10家，拥有1351项核心专利、行业及国家标准35项，承担国家重点研发项目子课题2项、省部级课题3项，荣获两次中国工业大奖，溴化锂制冷机、全钢结构冷却塔两项产品荣获工信部制造业单项冠军产品。</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3</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唐其君</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男</w:t>
            </w:r>
          </w:p>
        </w:tc>
        <w:tc>
          <w:tcPr>
            <w:tcW w:w="1418" w:type="dxa"/>
            <w:vAlign w:val="center"/>
          </w:tcPr>
          <w:p>
            <w:pPr>
              <w:spacing w:line="280" w:lineRule="exact"/>
              <w:ind w:firstLineChars="0" w:firstLine="0"/>
              <w:jc w:val="center"/>
              <w:rPr>
                <w:rFonts w:ascii="仿宋" w:eastAsia="仿宋" w:cs="仿宋"/>
                <w:szCs w:val="21"/>
              </w:rPr>
            </w:pPr>
            <w:r>
              <w:rPr>
                <w:rFonts w:ascii="Times New Roman" w:eastAsia="方正仿宋_GBK" w:hAnsi="Times New Roman"/>
                <w:bCs/>
                <w:sz w:val="24"/>
                <w:szCs w:val="24"/>
              </w:rPr>
              <w:t>宜兴市科学技术局局长</w:t>
            </w:r>
          </w:p>
        </w:tc>
        <w:tc>
          <w:tcPr>
            <w:tcW w:w="9053" w:type="dxa"/>
            <w:vAlign w:val="center"/>
          </w:tcPr>
          <w:p>
            <w:pPr>
              <w:spacing w:line="280" w:lineRule="exact"/>
              <w:rPr>
                <w:rFonts w:ascii="仿宋" w:eastAsia="仿宋" w:cs="仿宋"/>
                <w:szCs w:val="21"/>
              </w:rPr>
            </w:pPr>
            <w:r>
              <w:rPr>
                <w:rFonts w:ascii="仿宋" w:eastAsia="仿宋" w:cs="仿宋" w:hint="eastAsia"/>
                <w:szCs w:val="21"/>
              </w:rPr>
              <w:t>在唐其君局长的谋划、协调和推动下，近年来，宜兴坚定实施创新驱动核心战略、产业强市主导战略，牢固树立科技赋能产业、产业承载科技的发展理念，坚持以打造区域性国际化中心城市为总体目标，以加快科创国际化为引领，以构建落实产业科技创新体系为导向，以大力实施科创宜兴“331”行动计划为抓手，科技招商工作破题起势，科创载体建设稳步推进，生命健康产业加速聚能，科技赋能产业持续发力，科创企业培育梯次壮大，创新创业环境日益优化。2022年，全市新增科技型企业2171家，增量领跑无锡大市；科技型中小企业评价入库2124家，入库总数位列全省县级市第二；中环领先、远东复合等5家企业成功立项省科技成果转化项目，共获省级资金支持6300万元，实现单类计划立项项目、资金总额“双突破”；鹏鹞环保科技创新园众创空间等14家单位通过无锡市级备案，通过总数列无锡大市第一；全市高新技术产业产值突破2000亿元，连续多年保持12%以上的增速；集成电路、新能源、生命健康三大新兴产业持续壮大，始终保持20%以上的产值增幅。宜兴获评国家创新型示范城市、国家可持续发展实验区等重大荣誉，连续四年蝉联全国科技创新百强县市第七名。</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4</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虞  洁</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女</w:t>
            </w:r>
          </w:p>
        </w:tc>
        <w:tc>
          <w:tcPr>
            <w:tcW w:w="141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惠山区人民政府副区长</w:t>
            </w:r>
          </w:p>
        </w:tc>
        <w:tc>
          <w:tcPr>
            <w:tcW w:w="9053" w:type="dxa"/>
            <w:vAlign w:val="center"/>
          </w:tcPr>
          <w:p>
            <w:pPr>
              <w:spacing w:line="280" w:lineRule="exact"/>
              <w:rPr>
                <w:rFonts w:ascii="仿宋" w:eastAsia="仿宋" w:cs="仿宋"/>
                <w:szCs w:val="21"/>
              </w:rPr>
            </w:pPr>
            <w:r>
              <w:rPr>
                <w:rFonts w:ascii="仿宋" w:eastAsia="仿宋" w:cs="仿宋" w:hint="eastAsia"/>
                <w:szCs w:val="21"/>
              </w:rPr>
              <w:t>围绕区域产业转型升级，推动组建了华中科技大学无锡研究院、东北大学无锡研究院、哈工大无锡新材料研究院、南京航空航天大学无锡研究院等，形成了“一镇一院一产业”的发展路径，探索走出了“政产学研”合作新模式。面对新形势新变化，立足惠山产业发展需求，探索“一镇一院一产业”升级版，针对性地引进知名院校、顶尖人才，院区融合开展产业技术创新，加快技术引进和成果转化，建成无锡航空发动机基础部件产业创新研究院、天津大学无锡研究院等14家新型研发机构，在数字信息、生物医药、航空航天、新能源汽车、高端装备、新材料、绿色低碳等“三新四强”产业领域，建立了全链条科技成果转移转化平台，成为区内中小企业“蚂蚁军团”转型升级的坚强支撑，典型经验被《人民日报》头版报道，并入选全国组干学院教学案例。2021年12月，惠山区成功入选全省首批、全市唯一创新型示范县（市、区）。</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5</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赵云波</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男</w:t>
            </w:r>
          </w:p>
        </w:tc>
        <w:tc>
          <w:tcPr>
            <w:tcW w:w="141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无锡市锡山区锡北镇经发局科技科科长</w:t>
            </w:r>
          </w:p>
        </w:tc>
        <w:tc>
          <w:tcPr>
            <w:tcW w:w="9053" w:type="dxa"/>
            <w:vAlign w:val="center"/>
          </w:tcPr>
          <w:p>
            <w:pPr>
              <w:spacing w:line="280" w:lineRule="exact"/>
              <w:rPr>
                <w:rFonts w:ascii="仿宋" w:eastAsia="仿宋" w:cs="仿宋"/>
                <w:szCs w:val="21"/>
              </w:rPr>
            </w:pPr>
            <w:r>
              <w:rPr>
                <w:rFonts w:ascii="仿宋" w:eastAsia="仿宋" w:cs="仿宋" w:hint="eastAsia"/>
                <w:szCs w:val="21"/>
              </w:rPr>
              <w:t>主要成绩 1：深入实施创新驱动核心战略。引导企业加快研发和创新项目产业化进程，通过 3 年的努力，2022 年锡北镇高新技术产业产值达 147 亿元，同比增长 53.47%，占规上工业的比重突破 60%达到 64.76%，两项指标均位列全区第一。高新技术企业达 84 家大力培育新兴产业的雏鹰、瞪羚和独角兽企业,累计入库雏鹰企业 32 家、蹬羚企业 45 家准独角兽企业 4 家，同时认定蹬羚企业 5 家，准独角兽企业 2 家。科技型中小企业评价入库累计达 327 家/次。充分利用厂房改造，打造特色专业科技创新平台，打造创之岛科创中心，入驻院士工作站 1 个，尖端超导磁体研究院 1 个，研究生工作站 2 个，其中连城凯克斯院士工作站已认定为省级院士工作站，今年全市仅认定 2 个。同时引进我区唯一一家具有资质的知识产权代理公司，同时获批无锡市知识产权保护中心锡北镇工作站全区唯一，2022 年全镇授权发明专利超百件，同比增长 200%。同时大力推进企业研发中心建设，3 年内全镇新增省级工程技术中心 3 家，市级工程中心 21 家。我镇集成电路装备装备制造园参与的集成电路设计制造基地被评为国家火炬特色产业基地，是无锡市唯一入选的基地。</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6</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陈盛君</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女</w:t>
            </w:r>
          </w:p>
        </w:tc>
        <w:tc>
          <w:tcPr>
            <w:tcW w:w="141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江阴天江药业有限公司/副总经理</w:t>
            </w:r>
          </w:p>
        </w:tc>
        <w:tc>
          <w:tcPr>
            <w:tcW w:w="9053" w:type="dxa"/>
          </w:tcPr>
          <w:p>
            <w:pPr>
              <w:spacing w:before="1" w:line="240" w:lineRule="auto"/>
              <w:ind w:left="22"/>
              <w:rPr>
                <w:rFonts w:ascii="仿宋" w:eastAsia="仿宋" w:cs="仿宋"/>
                <w:szCs w:val="21"/>
              </w:rPr>
            </w:pPr>
            <w:r>
              <w:rPr>
                <w:rFonts w:ascii="仿宋" w:eastAsia="仿宋" w:cs="仿宋"/>
                <w:szCs w:val="21"/>
              </w:rPr>
              <w:t>具有较高科技管理专业水平</w:t>
            </w:r>
            <w:r>
              <w:rPr>
                <w:rFonts w:ascii="仿宋" w:eastAsia="仿宋" w:cs="仿宋" w:hint="eastAsia"/>
                <w:szCs w:val="21"/>
              </w:rPr>
              <w:t>。</w:t>
            </w:r>
            <w:r>
              <w:rPr>
                <w:rFonts w:ascii="仿宋" w:eastAsia="仿宋" w:cs="仿宋"/>
                <w:szCs w:val="21"/>
              </w:rPr>
              <w:t>陈盛君博士长期致力于科</w:t>
            </w:r>
            <w:r>
              <w:rPr>
                <w:rFonts w:ascii="仿宋" w:eastAsia="仿宋" w:cs="仿宋" w:hint="eastAsia"/>
                <w:szCs w:val="21"/>
              </w:rPr>
              <w:t>学研究和科技管理工作，</w:t>
            </w:r>
            <w:r>
              <w:rPr>
                <w:rFonts w:ascii="仿宋" w:eastAsia="仿宋" w:cs="仿宋"/>
                <w:szCs w:val="21"/>
              </w:rPr>
              <w:t>2016 年担任副总经理兼研究院院长以来，一方面，立足行业发展和主责主业，成立天江研究院，优化研发组织架构，制定研发规划战略，贯标研发管理体系，提出</w:t>
            </w:r>
            <w:r>
              <w:rPr>
                <w:rFonts w:ascii="仿宋" w:eastAsia="仿宋" w:cs="仿宋" w:hint="eastAsia"/>
                <w:szCs w:val="21"/>
              </w:rPr>
              <w:t>“</w:t>
            </w:r>
            <w:r>
              <w:rPr>
                <w:rFonts w:ascii="仿宋" w:eastAsia="仿宋" w:cs="仿宋"/>
                <w:szCs w:val="21"/>
              </w:rPr>
              <w:t>匠心传承，创新引领“的研发理念，全面建立中药全产业链大研发体系，即</w:t>
            </w:r>
            <w:r>
              <w:rPr>
                <w:rFonts w:ascii="仿宋" w:eastAsia="仿宋" w:cs="仿宋" w:hint="eastAsia"/>
                <w:szCs w:val="21"/>
              </w:rPr>
              <w:t>“</w:t>
            </w:r>
            <w:r>
              <w:rPr>
                <w:rFonts w:ascii="仿宋" w:eastAsia="仿宋" w:cs="仿宋"/>
                <w:szCs w:val="21"/>
              </w:rPr>
              <w:t>药材系统研究——制备工艺与智能制造关键技术研究——标准研究制定与质控体系建立——临床医学研究“全过程研发体系，打造行业创新能力最强的研发团队，引领配方颗粒行业高质量发展；另一方面，构建中药新药研发体系，组建新药研发团队，组织开展国家标准、国际标准研究制定和国际注册等相关工作，推动中药标准化、现代化、国际化进程。在承担重点项目方面，作为项目负责人和技术负责人主持或主要参加并完成国家重大新药创制专项经典名方研究开发、先进制药技术与信息化融合示范研究、国家工信部智能制造新模式项目等3 项，省成果转化项目等省部级项目20 余项；在研发平台建设方面，作为平台负责人成功获国家认定企业技术中心，先后建设省工程技术中心、省重点实验室</w:t>
            </w:r>
            <w:r>
              <w:rPr>
                <w:rFonts w:ascii="仿宋" w:eastAsia="仿宋" w:cs="仿宋" w:hint="eastAsia"/>
                <w:szCs w:val="21"/>
              </w:rPr>
              <w:t>等10余个省级科创平台，</w:t>
            </w:r>
            <w:r>
              <w:rPr>
                <w:rFonts w:ascii="仿宋" w:eastAsia="仿宋" w:cs="仿宋"/>
                <w:szCs w:val="21"/>
              </w:rPr>
              <w:t>依托科研平台，开展广泛产学研合作，全力推进科技创新成果转化，推动公司</w:t>
            </w:r>
            <w:r>
              <w:rPr>
                <w:rFonts w:ascii="仿宋" w:eastAsia="仿宋" w:cs="仿宋" w:hint="eastAsia"/>
                <w:szCs w:val="21"/>
              </w:rPr>
              <w:t>2022年再次入围“江苏省创新型企业“，并持续成为行业领跑者。</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7</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史卫利</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男</w:t>
            </w:r>
          </w:p>
        </w:tc>
        <w:tc>
          <w:tcPr>
            <w:tcW w:w="141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szCs w:val="21"/>
              </w:rPr>
              <w:t>无锡帝科电子材料股份有限公司董事长</w:t>
            </w:r>
          </w:p>
        </w:tc>
        <w:tc>
          <w:tcPr>
            <w:tcW w:w="9053" w:type="dxa"/>
            <w:vAlign w:val="center"/>
          </w:tcPr>
          <w:p>
            <w:pPr>
              <w:spacing w:line="240" w:lineRule="auto"/>
              <w:rPr>
                <w:rFonts w:ascii="仿宋" w:eastAsia="仿宋" w:cs="仿宋"/>
                <w:szCs w:val="21"/>
              </w:rPr>
            </w:pPr>
            <w:r>
              <w:rPr>
                <w:rFonts w:ascii="仿宋" w:eastAsia="仿宋" w:cs="仿宋" w:hint="eastAsia"/>
                <w:szCs w:val="21"/>
              </w:rPr>
              <w:t>史卫利博士，纽约州立大学博士，国际知名的纳米科技专家，曾任职于世界五百强企业。回国后带领团队成功开发出一系列太阳能电池导电浆料，公司于2020年在深交所创业板上市，成为中国首家光伏与半导体导电浆料上市公司。企业近三年累计销售收入5</w:t>
            </w:r>
            <w:r>
              <w:rPr>
                <w:rFonts w:ascii="仿宋" w:eastAsia="仿宋" w:cs="仿宋"/>
                <w:szCs w:val="21"/>
              </w:rPr>
              <w:t>6</w:t>
            </w:r>
            <w:r>
              <w:rPr>
                <w:rFonts w:ascii="仿宋" w:eastAsia="仿宋" w:cs="仿宋" w:hint="eastAsia"/>
                <w:szCs w:val="21"/>
              </w:rPr>
              <w:t>亿元，纳税</w:t>
            </w:r>
            <w:r>
              <w:rPr>
                <w:rFonts w:ascii="仿宋" w:eastAsia="仿宋" w:cs="仿宋"/>
                <w:szCs w:val="21"/>
              </w:rPr>
              <w:t>9778</w:t>
            </w:r>
            <w:r>
              <w:rPr>
                <w:rFonts w:ascii="仿宋" w:eastAsia="仿宋" w:cs="仿宋" w:hint="eastAsia"/>
                <w:szCs w:val="21"/>
              </w:rPr>
              <w:t>万元，新增就业岗位</w:t>
            </w:r>
            <w:r>
              <w:rPr>
                <w:rFonts w:ascii="仿宋" w:eastAsia="仿宋" w:cs="仿宋"/>
                <w:szCs w:val="21"/>
              </w:rPr>
              <w:t>125</w:t>
            </w:r>
            <w:r>
              <w:rPr>
                <w:rFonts w:ascii="仿宋" w:eastAsia="仿宋" w:cs="仿宋" w:hint="eastAsia"/>
                <w:szCs w:val="21"/>
              </w:rPr>
              <w:t>个。</w:t>
            </w:r>
            <w:r>
              <w:rPr>
                <w:rFonts w:ascii="仿宋" w:eastAsia="仿宋" w:cs="仿宋"/>
                <w:szCs w:val="21"/>
              </w:rPr>
              <w:t xml:space="preserve"> </w:t>
            </w:r>
          </w:p>
          <w:p>
            <w:pPr>
              <w:spacing w:line="240" w:lineRule="auto"/>
              <w:rPr>
                <w:rFonts w:ascii="仿宋" w:eastAsia="仿宋" w:cs="仿宋" w:hint="eastAsia"/>
                <w:szCs w:val="21"/>
              </w:rPr>
            </w:pPr>
            <w:r>
              <w:rPr>
                <w:rFonts w:ascii="仿宋" w:eastAsia="仿宋" w:cs="仿宋" w:hint="eastAsia"/>
                <w:szCs w:val="21"/>
              </w:rPr>
              <w:t>史博士2</w:t>
            </w:r>
            <w:r>
              <w:rPr>
                <w:rFonts w:ascii="仿宋" w:eastAsia="仿宋" w:cs="仿宋"/>
                <w:szCs w:val="21"/>
              </w:rPr>
              <w:t>017</w:t>
            </w:r>
            <w:r>
              <w:rPr>
                <w:rFonts w:ascii="仿宋" w:eastAsia="仿宋" w:cs="仿宋" w:hint="eastAsia"/>
                <w:szCs w:val="21"/>
              </w:rPr>
              <w:t>年作为项目负责人主持江苏省政策引导类（国际科技合作）项目；2</w:t>
            </w:r>
            <w:r>
              <w:rPr>
                <w:rFonts w:ascii="仿宋" w:eastAsia="仿宋" w:cs="仿宋"/>
                <w:szCs w:val="21"/>
              </w:rPr>
              <w:t>018</w:t>
            </w:r>
            <w:r>
              <w:rPr>
                <w:rFonts w:ascii="仿宋" w:eastAsia="仿宋" w:cs="仿宋" w:hint="eastAsia"/>
                <w:szCs w:val="21"/>
              </w:rPr>
              <w:t>年入选江苏省科技企业家，作为第一完成人获宜兴市科学技术进步奖一等奖；2</w:t>
            </w:r>
            <w:r>
              <w:rPr>
                <w:rFonts w:ascii="仿宋" w:eastAsia="仿宋" w:cs="仿宋"/>
                <w:szCs w:val="21"/>
              </w:rPr>
              <w:t>019</w:t>
            </w:r>
            <w:r>
              <w:rPr>
                <w:rFonts w:ascii="仿宋" w:eastAsia="仿宋" w:cs="仿宋" w:hint="eastAsia"/>
                <w:szCs w:val="21"/>
              </w:rPr>
              <w:t>年入选国家科技部创新人才推进计划、第十六批“六大人才高峰”高层次人才和江苏省留学回国先进个人，并作为项目负责人及技术带头人主持江苏省科技成果转化（C类后补助）项目，同年凭借在领导太阳能导电银浆供应链本土化中突出的技术与市场开拓领导工作获颁APVIA亚洲光伏产业贡献奖（个人奖）；2</w:t>
            </w:r>
            <w:r>
              <w:rPr>
                <w:rFonts w:ascii="仿宋" w:eastAsia="仿宋" w:cs="仿宋"/>
                <w:szCs w:val="21"/>
              </w:rPr>
              <w:t>020</w:t>
            </w:r>
            <w:r>
              <w:rPr>
                <w:rFonts w:ascii="仿宋" w:eastAsia="仿宋" w:cs="仿宋" w:hint="eastAsia"/>
                <w:szCs w:val="21"/>
              </w:rPr>
              <w:t>年入选无锡市百名科技之星和宜兴市优秀学术技术带头人；2021年入选无锡市“太湖人才计划”创业领军人才，作为项目负责人主持省级战略性新兴产业发展专项资金项目；2</w:t>
            </w:r>
            <w:r>
              <w:rPr>
                <w:rFonts w:ascii="仿宋" w:eastAsia="仿宋" w:cs="仿宋"/>
                <w:szCs w:val="21"/>
              </w:rPr>
              <w:t>022</w:t>
            </w:r>
            <w:r>
              <w:rPr>
                <w:rFonts w:ascii="仿宋" w:eastAsia="仿宋" w:cs="仿宋" w:hint="eastAsia"/>
                <w:szCs w:val="21"/>
              </w:rPr>
              <w:t>年入选江苏省</w:t>
            </w:r>
            <w:r>
              <w:rPr>
                <w:rFonts w:ascii="仿宋" w:eastAsia="仿宋" w:cs="仿宋"/>
                <w:szCs w:val="21"/>
              </w:rPr>
              <w:t>333高层次人才培养工程第三层次培养对象</w:t>
            </w:r>
            <w:r>
              <w:rPr>
                <w:rFonts w:ascii="仿宋" w:eastAsia="仿宋" w:cs="仿宋" w:hint="eastAsia"/>
                <w:szCs w:val="21"/>
              </w:rPr>
              <w:t>，被评为无锡市“十大科技人物”，作为课题负责人承担江苏省碳达峰碳中和科技创新专项资金项目子课题。</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8</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匡  宏</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男</w:t>
            </w:r>
          </w:p>
        </w:tc>
        <w:tc>
          <w:tcPr>
            <w:tcW w:w="141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无锡生命科学产业发展有限公司副总经理（主持日常工作）</w:t>
            </w:r>
          </w:p>
        </w:tc>
        <w:tc>
          <w:tcPr>
            <w:tcW w:w="9053" w:type="dxa"/>
            <w:vAlign w:val="center"/>
          </w:tcPr>
          <w:p>
            <w:pPr>
              <w:spacing w:line="280" w:lineRule="exact"/>
              <w:rPr>
                <w:rFonts w:ascii="仿宋" w:eastAsia="仿宋" w:cs="仿宋" w:hint="eastAsia"/>
                <w:szCs w:val="21"/>
              </w:rPr>
            </w:pPr>
            <w:r>
              <w:rPr>
                <w:rFonts w:ascii="仿宋" w:eastAsia="仿宋" w:cs="仿宋" w:hint="eastAsia"/>
                <w:szCs w:val="21"/>
              </w:rPr>
              <w:t>2022年度，在科技园区运营管理工作中通过创新举措，以投促引、以投促产，工作成效显著：园区主营业务收入实现连年攀升，从2020年的5700多万元到2022年超1亿元，年均增长率37%。园区全年营业收入超75亿元，税收4亿元。年内科技企业招引362家，其中，招引超亿元重大项目5个，符合科技人才培育项目53家；符合高企培育项目73家，外资到位1095.8万美元。</w:t>
            </w:r>
          </w:p>
          <w:p>
            <w:pPr>
              <w:spacing w:line="280" w:lineRule="exact"/>
              <w:rPr>
                <w:rFonts w:ascii="Times New Roman" w:eastAsia="方正仿宋_GBK" w:hAnsi="Times New Roman"/>
                <w:bCs/>
                <w:sz w:val="24"/>
                <w:szCs w:val="24"/>
              </w:rPr>
            </w:pPr>
            <w:r>
              <w:rPr>
                <w:rFonts w:ascii="仿宋" w:eastAsia="仿宋" w:cs="仿宋" w:hint="eastAsia"/>
                <w:szCs w:val="21"/>
              </w:rPr>
              <w:t>其中，园区投资总收益从2020年的265万元到2022年的2577万元，年均增长率超200%。由“房东”升级为“股东”，通过产发高创、金吴、无锡高创三个基金对园区内尚沃医疗、宇邦半导体、精致能量进行投资。成立园区专项基金（产发高创股权投资基金）：园区与阿斯利康、产业集团共同成立，专注于阿斯利康生态圈内更早期的科技创新项目投资，与阿斯利康中金大基金形成前后轮次的良性联动，深度参与优秀创新企业发展的全阶段，助力在园企业更好更快地成长。</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9</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杨渊斌</w:t>
            </w:r>
          </w:p>
        </w:tc>
        <w:tc>
          <w:tcPr>
            <w:tcW w:w="992"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男</w:t>
            </w:r>
          </w:p>
        </w:tc>
        <w:tc>
          <w:tcPr>
            <w:tcW w:w="1418"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无锡微纳产业发展有限公司董事长</w:t>
            </w:r>
          </w:p>
        </w:tc>
        <w:tc>
          <w:tcPr>
            <w:tcW w:w="9053" w:type="dxa"/>
            <w:vAlign w:val="center"/>
          </w:tcPr>
          <w:p>
            <w:pPr>
              <w:snapToGrid w:val="0"/>
              <w:spacing w:line="300" w:lineRule="atLeast"/>
              <w:rPr>
                <w:rFonts w:ascii="Times New Roman" w:eastAsia="方正仿宋_GBK" w:hAnsi="Times New Roman" w:hint="eastAsia"/>
                <w:sz w:val="24"/>
                <w:szCs w:val="24"/>
              </w:rPr>
            </w:pPr>
            <w:r>
              <w:rPr>
                <w:rFonts w:ascii="仿宋" w:eastAsia="仿宋" w:cs="仿宋"/>
                <w:szCs w:val="21"/>
              </w:rPr>
              <w:t>在杨渊斌董事长的经营管理下</w:t>
            </w:r>
            <w:r>
              <w:rPr>
                <w:rFonts w:ascii="仿宋" w:eastAsia="仿宋" w:cs="仿宋" w:hint="eastAsia"/>
                <w:szCs w:val="21"/>
              </w:rPr>
              <w:t>，</w:t>
            </w:r>
            <w:r>
              <w:rPr>
                <w:rFonts w:ascii="仿宋" w:eastAsia="仿宋" w:cs="仿宋"/>
                <w:szCs w:val="21"/>
              </w:rPr>
              <w:t>微纳园始终将高质量作为发展</w:t>
            </w:r>
            <w:r>
              <w:rPr>
                <w:rFonts w:ascii="仿宋" w:eastAsia="仿宋" w:cs="仿宋" w:hint="eastAsia"/>
                <w:szCs w:val="21"/>
              </w:rPr>
              <w:t>的</w:t>
            </w:r>
            <w:r>
              <w:rPr>
                <w:rFonts w:ascii="仿宋" w:eastAsia="仿宋" w:cs="仿宋"/>
                <w:szCs w:val="21"/>
              </w:rPr>
              <w:t>首要任务</w:t>
            </w:r>
            <w:r>
              <w:rPr>
                <w:rFonts w:ascii="仿宋" w:eastAsia="仿宋" w:cs="仿宋" w:hint="eastAsia"/>
                <w:szCs w:val="21"/>
              </w:rPr>
              <w:t>，深耕物联网、元宇宙及光子产业，2022年园区企业</w:t>
            </w:r>
            <w:r>
              <w:rPr>
                <w:rFonts w:ascii="仿宋" w:eastAsia="仿宋" w:cs="仿宋"/>
                <w:szCs w:val="21"/>
              </w:rPr>
              <w:t>营业总收入预计160亿元，税收</w:t>
            </w:r>
            <w:r>
              <w:rPr>
                <w:rFonts w:ascii="仿宋" w:eastAsia="仿宋" w:cs="仿宋" w:hint="eastAsia"/>
                <w:szCs w:val="21"/>
              </w:rPr>
              <w:t>超过9</w:t>
            </w:r>
            <w:r>
              <w:rPr>
                <w:rFonts w:ascii="仿宋" w:eastAsia="仿宋" w:cs="仿宋"/>
                <w:szCs w:val="21"/>
              </w:rPr>
              <w:t>亿元</w:t>
            </w:r>
            <w:r>
              <w:rPr>
                <w:rFonts w:ascii="仿宋" w:eastAsia="仿宋" w:cs="仿宋" w:hint="eastAsia"/>
                <w:szCs w:val="21"/>
              </w:rPr>
              <w:t>，</w:t>
            </w:r>
            <w:r>
              <w:rPr>
                <w:rFonts w:ascii="仿宋" w:eastAsia="仿宋" w:cs="仿宋"/>
                <w:szCs w:val="21"/>
              </w:rPr>
              <w:t>同比增长</w:t>
            </w:r>
            <w:r>
              <w:rPr>
                <w:rFonts w:ascii="仿宋" w:eastAsia="仿宋" w:cs="仿宋" w:hint="eastAsia"/>
                <w:szCs w:val="21"/>
              </w:rPr>
              <w:t>均为</w:t>
            </w:r>
            <w:r>
              <w:rPr>
                <w:rFonts w:ascii="仿宋" w:eastAsia="仿宋" w:cs="仿宋"/>
                <w:szCs w:val="21"/>
              </w:rPr>
              <w:t>20%以上。</w:t>
            </w:r>
            <w:r>
              <w:rPr>
                <w:rFonts w:ascii="仿宋" w:eastAsia="仿宋" w:cs="仿宋" w:hint="eastAsia"/>
                <w:szCs w:val="21"/>
              </w:rPr>
              <w:t>全年</w:t>
            </w:r>
            <w:r>
              <w:rPr>
                <w:rFonts w:ascii="仿宋" w:eastAsia="仿宋" w:cs="仿宋"/>
                <w:szCs w:val="21"/>
              </w:rPr>
              <w:t>一家企业主板报会（盛景微），两大顶级人才团队牵引，十大智能传感器园区全国第三，四个专精特新、国家级孵化器“四连A”</w:t>
            </w:r>
            <w:r>
              <w:rPr>
                <w:rFonts w:ascii="仿宋" w:eastAsia="仿宋" w:cs="仿宋" w:hint="eastAsia"/>
                <w:szCs w:val="21"/>
              </w:rPr>
              <w:t>，连续五年被评为“双招双引”优秀单位，</w:t>
            </w:r>
            <w:r>
              <w:rPr>
                <w:rFonts w:ascii="仿宋" w:eastAsia="仿宋" w:cs="仿宋"/>
                <w:szCs w:val="21"/>
              </w:rPr>
              <w:t>五大产业平台新突破（华进先进封测平台、8英寸MEMS研发平台、锡产微芯IDM平台、硅光代工平台、子基金投资平台）。园区集聚纳税企业630余家，在园办公企业</w:t>
            </w:r>
            <w:r>
              <w:rPr>
                <w:rFonts w:ascii="仿宋" w:eastAsia="仿宋" w:cs="仿宋" w:hint="eastAsia"/>
                <w:szCs w:val="21"/>
              </w:rPr>
              <w:t>281</w:t>
            </w:r>
            <w:r>
              <w:rPr>
                <w:rFonts w:ascii="仿宋" w:eastAsia="仿宋" w:cs="仿宋"/>
                <w:szCs w:val="21"/>
              </w:rPr>
              <w:t>家，累计注册企业1358家，国家高企122家。集聚各类人才6600余人，高层次人才及团队约100个，其中国家重大人才工程B类专家1名，省双创人才33名、省双创团队3个、省科技企业家4名，市科技企业家8名，市领军人才51名，区科技创业领军人才58名。</w:t>
            </w:r>
          </w:p>
        </w:tc>
      </w:tr>
      <w:tr>
        <w:trPr>
          <w:trHeight w:val="503"/>
        </w:trPr>
        <w:tc>
          <w:tcPr>
            <w:tcW w:w="846"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bCs/>
                <w:sz w:val="24"/>
                <w:szCs w:val="24"/>
              </w:rPr>
              <w:t>10</w:t>
            </w:r>
          </w:p>
        </w:tc>
        <w:tc>
          <w:tcPr>
            <w:tcW w:w="1134" w:type="dxa"/>
            <w:vAlign w:val="center"/>
          </w:tcPr>
          <w:p>
            <w:pPr>
              <w:spacing w:line="280" w:lineRule="exact"/>
              <w:ind w:firstLineChars="0" w:firstLine="0"/>
              <w:jc w:val="center"/>
              <w:rPr>
                <w:rFonts w:ascii="Times New Roman" w:eastAsia="方正仿宋_GBK" w:hAnsi="Times New Roman"/>
                <w:bCs/>
                <w:sz w:val="24"/>
                <w:szCs w:val="24"/>
              </w:rPr>
            </w:pPr>
            <w:r>
              <w:rPr>
                <w:rFonts w:ascii="Times New Roman" w:eastAsia="方正仿宋_GBK" w:hAnsi="Times New Roman" w:hint="eastAsia"/>
                <w:bCs/>
                <w:sz w:val="24"/>
                <w:szCs w:val="24"/>
              </w:rPr>
              <w:t>方  睿</w:t>
            </w:r>
          </w:p>
        </w:tc>
        <w:tc>
          <w:tcPr>
            <w:tcW w:w="992" w:type="dxa"/>
            <w:vAlign w:val="center"/>
          </w:tcPr>
          <w:p>
            <w:pPr>
              <w:spacing w:line="280" w:lineRule="exact"/>
              <w:ind w:firstLineChars="0" w:firstLine="0"/>
              <w:jc w:val="center"/>
              <w:rPr>
                <w:rFonts w:ascii="Times New Roman" w:eastAsia="方正仿宋_GBK" w:hAnsi="Times New Roman"/>
                <w:szCs w:val="21"/>
              </w:rPr>
            </w:pPr>
            <w:r>
              <w:rPr>
                <w:rFonts w:ascii="Times New Roman" w:eastAsia="方正仿宋_GBK" w:hAnsi="Times New Roman" w:hint="eastAsia"/>
                <w:szCs w:val="21"/>
              </w:rPr>
              <w:t>女</w:t>
            </w:r>
          </w:p>
        </w:tc>
        <w:tc>
          <w:tcPr>
            <w:tcW w:w="1418" w:type="dxa"/>
            <w:vAlign w:val="center"/>
          </w:tcPr>
          <w:p>
            <w:pPr>
              <w:spacing w:line="280" w:lineRule="exact"/>
              <w:ind w:firstLineChars="0" w:firstLine="0"/>
              <w:jc w:val="center"/>
              <w:rPr>
                <w:rFonts w:ascii="Times New Roman" w:eastAsia="方正仿宋_GBK" w:hAnsi="Times New Roman"/>
                <w:szCs w:val="21"/>
              </w:rPr>
            </w:pPr>
            <w:r>
              <w:rPr>
                <w:rFonts w:ascii="Times New Roman" w:eastAsia="方正仿宋_GBK" w:hAnsi="Times New Roman" w:hint="eastAsia"/>
                <w:szCs w:val="21"/>
              </w:rPr>
              <w:t>蠡园开发区经发局科技创新科科长</w:t>
            </w:r>
          </w:p>
        </w:tc>
        <w:tc>
          <w:tcPr>
            <w:tcW w:w="9053" w:type="dxa"/>
            <w:vAlign w:val="center"/>
          </w:tcPr>
          <w:p>
            <w:pPr>
              <w:spacing w:line="280" w:lineRule="exact"/>
              <w:rPr>
                <w:rFonts w:ascii="仿宋" w:eastAsia="仿宋" w:cs="仿宋" w:hint="eastAsia"/>
                <w:szCs w:val="21"/>
              </w:rPr>
            </w:pPr>
            <w:r>
              <w:rPr>
                <w:rFonts w:ascii="仿宋" w:eastAsia="仿宋" w:cs="仿宋" w:hint="eastAsia"/>
                <w:szCs w:val="21"/>
              </w:rPr>
              <w:t>高质量培育创新型企业集群</w:t>
            </w:r>
          </w:p>
          <w:p>
            <w:pPr>
              <w:spacing w:line="280" w:lineRule="exact"/>
              <w:rPr>
                <w:rFonts w:ascii="仿宋" w:eastAsia="仿宋" w:cs="仿宋" w:hint="eastAsia"/>
                <w:szCs w:val="21"/>
              </w:rPr>
            </w:pPr>
            <w:r>
              <w:rPr>
                <w:rFonts w:ascii="仿宋" w:eastAsia="仿宋" w:cs="仿宋" w:hint="eastAsia"/>
                <w:szCs w:val="21"/>
              </w:rPr>
              <w:t>一、全力推进高新技术企业培育。做好政策宣传和申报培训相关工作，提供上门一对一的精准服务。组织企业积极参加高企培育与政策培训，“上大课+开小灶”模式提供高效精准服务。2022年已累计开展高企申报培训400余人。截至目前，有效期内高新技术企业共计168家，高新技术企业培育入库40家。高新技术产业产值占规上工业比重达到 71.56%。</w:t>
            </w:r>
          </w:p>
          <w:p>
            <w:pPr>
              <w:spacing w:line="280" w:lineRule="exact"/>
              <w:rPr>
                <w:rFonts w:ascii="仿宋" w:eastAsia="仿宋" w:cs="仿宋" w:hint="eastAsia"/>
                <w:szCs w:val="21"/>
              </w:rPr>
            </w:pPr>
            <w:r>
              <w:rPr>
                <w:rFonts w:ascii="仿宋" w:eastAsia="仿宋" w:cs="仿宋" w:hint="eastAsia"/>
                <w:szCs w:val="21"/>
              </w:rPr>
              <w:t>二、重点抓好“三类”企业培育。全面挖掘优质中小企业资源，与科技型中小企业入库申报结合，组织发动小微企业申报雏鹰入库，做好重点企业申报准独角兽入库的动员及服务工作。中微亿芯等11家企业通过无锡市雏鹰瞪羚准独角兽企业遴选，入选数超全区三分之一；莱顿电子等35家市入三类企业培育。2家企业获评省潜在独角兽企业。</w:t>
            </w:r>
          </w:p>
          <w:p>
            <w:pPr>
              <w:spacing w:line="280" w:lineRule="exact"/>
              <w:rPr>
                <w:rFonts w:ascii="仿宋" w:eastAsia="仿宋" w:cs="仿宋" w:hint="eastAsia"/>
                <w:szCs w:val="21"/>
              </w:rPr>
            </w:pPr>
            <w:r>
              <w:rPr>
                <w:rFonts w:ascii="仿宋" w:eastAsia="仿宋" w:cs="仿宋" w:hint="eastAsia"/>
                <w:szCs w:val="21"/>
              </w:rPr>
              <w:t>三、精准化实施政产学研合作</w:t>
            </w:r>
          </w:p>
          <w:p>
            <w:pPr>
              <w:spacing w:line="280" w:lineRule="exact"/>
              <w:rPr>
                <w:rFonts w:ascii="仿宋" w:eastAsia="仿宋" w:cs="仿宋" w:hint="eastAsia"/>
                <w:szCs w:val="21"/>
              </w:rPr>
            </w:pPr>
            <w:r>
              <w:rPr>
                <w:rFonts w:ascii="仿宋" w:eastAsia="仿宋" w:cs="仿宋" w:hint="eastAsia"/>
                <w:szCs w:val="21"/>
              </w:rPr>
              <w:t>扎实推进院所共建工作。深化院地校地合作共建，积极组织参加“智汇滨湖”院所专场人才政策宣讲会、院企对接会，全面细致摸排辖区院所企业的创新资源和对接意向，通过精准对接，促进院企交流合作，完善高校院所科技成果就地转化促进体系，进一步构建了“资源共享、优势互补、共同发展”的工作新格局。</w:t>
            </w:r>
          </w:p>
          <w:p>
            <w:pPr>
              <w:spacing w:line="280" w:lineRule="exact"/>
              <w:rPr>
                <w:rFonts w:ascii="仿宋" w:eastAsia="仿宋" w:cs="仿宋" w:hint="eastAsia"/>
                <w:szCs w:val="21"/>
              </w:rPr>
            </w:pPr>
            <w:r>
              <w:rPr>
                <w:rFonts w:ascii="仿宋" w:eastAsia="仿宋" w:cs="仿宋" w:hint="eastAsia"/>
                <w:szCs w:val="21"/>
              </w:rPr>
              <w:t>四、多角度引育创新创业人才</w:t>
            </w:r>
          </w:p>
          <w:p>
            <w:pPr>
              <w:spacing w:line="280" w:lineRule="exact"/>
              <w:rPr>
                <w:rFonts w:ascii="Times New Roman" w:eastAsia="方正仿宋_GBK" w:hAnsi="Times New Roman"/>
                <w:szCs w:val="21"/>
              </w:rPr>
            </w:pPr>
            <w:r>
              <w:rPr>
                <w:rFonts w:ascii="仿宋" w:eastAsia="仿宋" w:cs="仿宋" w:hint="eastAsia"/>
                <w:szCs w:val="21"/>
              </w:rPr>
              <w:t>扩大“省双创”“太湖人才”“滨湖之光”等政策影响力，积极筹备“清华校友三创大赛”，举办“太湖创芯峰会”，依托“智汇滨湖·共创共赢”等招才引智活动，吸引更多高端紧缺型人才入驻。深入走访科研院所，加强沟通交流，挖掘高层次人才项目，服务全区国家及省级项目申报。申报江苏省省双创计划36 个；太湖人才创新创业领军人才 20个，滨湖之光创新创业立项13项。</w:t>
            </w:r>
          </w:p>
        </w:tc>
      </w:tr>
    </w:tbl>
    <w:p>
      <w:pPr>
        <w:spacing w:line="280" w:lineRule="exact"/>
        <w:ind w:firstLineChars="0" w:firstLine="0"/>
        <w:jc w:val="center"/>
        <w:rPr>
          <w:rFonts w:ascii="Times New Roman" w:eastAsia="方正黑体_GBK" w:hAnsi="Times New Roman"/>
          <w:bCs/>
          <w:sz w:val="32"/>
          <w:szCs w:val="32"/>
        </w:rPr>
      </w:pPr>
    </w:p>
    <w:sectPr>
      <w:headerReference w:type="default" r:id="rId2"/>
      <w:footerReference w:type="default" r:id="rId3"/>
      <w:pgSz w:w="16838" w:h="11906" w:orient="landscape"/>
      <w:pgMar w:top="1797" w:right="1440" w:bottom="1797"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0000000000000000000"/>
    <w:charset w:val="86"/>
    <w:family w:val="script"/>
    <w:pitch w:val="variable"/>
    <w:sig w:usb0="00000000" w:usb1="080E0000" w:usb2="00000010" w:usb3="00000000" w:csb0="00040000" w:csb1="00000000"/>
  </w:font>
  <w:font w:name="方正黑体_GBK">
    <w:altName w:val="微软雅黑"/>
    <w:panose1 w:val="00000000000000000000"/>
    <w:charset w:val="86"/>
    <w:family w:val="script"/>
    <w:pitch w:val="variable"/>
    <w:sig w:usb0="00000001" w:usb1="080E0000" w:usb2="00000010" w:usb3="00000000" w:csb0="00040000" w:csb1="00000000"/>
  </w:font>
  <w:font w:name="方正仿宋_GBK">
    <w:altName w:val="微软雅黑"/>
    <w:panose1 w:val="00000000000000000000"/>
    <w:charset w:val="86"/>
    <w:family w:val="auto"/>
    <w:pitch w:val="variable"/>
    <w:sig w:usb0="A00002BF" w:usb1="38CF7CFA" w:usb2="00082016" w:usb3="00000000" w:csb0="00040001"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Arial Unicode MS">
    <w:altName w:val="Malgun Gothic Semilight"/>
    <w:panose1 w:val="020B0604020202020204"/>
    <w:charset w:val="86"/>
    <w:family w:val="auto"/>
    <w:pitch w:val="variable"/>
    <w:sig w:usb0="FFFFFFFF" w:usb1="E9FFFFFF" w:usb2="0000003F" w:usb3="00000000" w:csb0="603F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560"/>
      <w:jc w:val="right"/>
      <w:rPr>
        <w:sz w:val="28"/>
        <w:szCs w:val="28"/>
      </w:rPr>
    </w:pPr>
    <w:r>
      <w:rPr>
        <w:sz w:val="28"/>
      </w:rPr>
      <mc:AlternateContent>
        <mc:Choice Requires="wps">
          <w:drawing>
            <wp:anchor distT="0" distB="0" distL="114300" distR="114300" simplePos="0" relativeHeight="12" behindDoc="0" locked="0" layoutInCell="1" hidden="0" allowOverlap="1">
              <wp:simplePos x="0" y="0"/>
              <wp:positionH relativeFrom="margin">
                <wp:align>right</wp:align>
              </wp:positionH>
              <wp:positionV relativeFrom="paragraph">
                <wp:posOffset>0</wp:posOffset>
              </wp:positionV>
              <wp:extent cx="974739" cy="148016"/>
              <wp:effectExtent l="0" t="0" r="0" b="0"/>
              <wp:wrapNone/>
              <wp:docPr id="1" name="文本框 1"/>
              <wp:cNvGraphicFramePr>
                <a:graphicFrameLocks noChangeAspect="0"/>
              </wp:cNvGraphicFramePr>
              <a:graphic>
                <a:graphicData uri="http://schemas.microsoft.com/office/word/2010/wordprocessingShape">
                  <wps:wsp>
                    <wps:cNvSpPr/>
                    <wps:spPr>
                      <a:xfrm rot="0">
                        <a:off x="0" y="0"/>
                        <a:ext cx="974739" cy="148016"/>
                      </a:xfrm>
                      <a:prstGeom prst="rect"/>
                      <a:noFill/>
                      <a:ln w="6350" cmpd="sng" cap="flat">
                        <a:noFill/>
                        <a:prstDash val="solid"/>
                        <a:round/>
                      </a:ln>
                    </wps:spPr>
                    <wps:txbx id="2">
                      <w:txbxContent>
                        <w:p>
                          <w:pPr>
                            <w:pStyle w:val="16"/>
                            <w:tabs>
                              <w:tab w:val="center" w:pos="4153"/>
                              <w:tab w:val="right" w:pos="8306"/>
                            </w:tabs>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92.800026pt;margin-top:0.0pt;width:76.751144pt;height:11.654815pt;z-index:12;mso-position-horizontal:right;mso-position-horizontal-relative:margin;mso-position-vertical:absolute;mso-wrap-style:none;">
              <v:stroke color="#000000"/>
              <v:textbox id="848" inset="0mm,0mm,0mm,0mm" o:insetmode="custom" style="layout-flow:horizontal;v-text-anchor:top;mso-fit-shape-to-text:t;">
                <w:txbxContent>
                  <w:p>
                    <w:pPr>
                      <w:pStyle w:val="16"/>
                      <w:tabs>
                        <w:tab w:val="center" w:pos="4153"/>
                        <w:tab w:val="right" w:pos="8306"/>
                      </w:tabs>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lear" w:pos="4153"/>
        <w:tab w:val="left" w:pos="7646"/>
        <w:tab w:val="right" w:pos="8306"/>
      </w:tabs>
      <w:jc w:val="both"/>
    </w:pPr>
    <w:r>
      <w:rPr>
        <w:rFonts w:hint="eastAsia"/>
      </w:rPr>
      <w:tab/>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ZmJiNGQzYzcwZDZiMmQ4YWJkOTQ3ZTFlMGQ4NjQxYj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spacing w:line="560" w:lineRule="atLeast"/>
      <w:ind w:firstLineChars="200" w:firstLine="20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Indent"/>
    <w:basedOn w:val="0"/>
    <w:next w:val="0"/>
  </w:style>
  <w:style w:type="paragraph" w:styleId="16">
    <w:name w:val="footer"/>
    <w:basedOn w:val="0"/>
    <w:pPr>
      <w:widowControl w:val="0"/>
      <w:tabs>
        <w:tab w:val="center" w:pos="4153"/>
        <w:tab w:val="right" w:pos="8306"/>
      </w:tabs>
      <w:snapToGrid w:val="0"/>
      <w:spacing w:line="240" w:lineRule="auto"/>
      <w:ind w:firstLineChars="0" w:firstLine="0"/>
      <w:jc w:val="left"/>
    </w:pPr>
    <w:rPr>
      <w:rFonts w:ascii="Calibri" w:eastAsia="宋体" w:cs="Arial" w:hAnsi="Calibri"/>
      <w:sz w:val="18"/>
      <w:szCs w:val="18"/>
    </w:rPr>
  </w:style>
  <w:style w:type="paragraph" w:styleId="17">
    <w:name w:val="header"/>
    <w:basedOn w:val="0"/>
    <w:pPr>
      <w:widowControl w:val="0"/>
      <w:pBdr>
        <w:bottom w:val="single" w:sz="6" w:space="1" w:color="auto"/>
      </w:pBdr>
      <w:tabs>
        <w:tab w:val="center" w:pos="4153"/>
        <w:tab w:val="right" w:pos="8306"/>
      </w:tabs>
      <w:snapToGrid w:val="0"/>
      <w:spacing w:line="240" w:lineRule="auto"/>
      <w:ind w:firstLineChars="0" w:firstLine="0"/>
      <w:jc w:val="center"/>
    </w:pPr>
    <w:rPr>
      <w:rFonts w:ascii="Calibri" w:eastAsia="宋体" w:cs="Arial" w:hAnsi="Calibri"/>
      <w:sz w:val="18"/>
      <w:szCs w:val="18"/>
    </w:rPr>
  </w:style>
  <w:style w:type="paragraph" w:customStyle="1" w:styleId="18">
    <w:name w:val="Table Paragraph"/>
    <w:basedOn w:val="0"/>
    <w:pPr>
      <w:widowControl w:val="0"/>
      <w:autoSpaceDE w:val="0"/>
      <w:autoSpaceDN w:val="0"/>
      <w:spacing w:line="240" w:lineRule="auto"/>
      <w:ind w:firstLineChars="0" w:firstLine="0"/>
      <w:jc w:val="left"/>
    </w:pPr>
    <w:rPr>
      <w:rFonts w:ascii="Arial Unicode MS" w:eastAsia="Arial Unicode MS" w:cs="Arial Unicode MS"/>
      <w:kern w:val="0"/>
      <w:sz w:val="22"/>
      <w:lang w:val="zh-CN" w:bidi="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68</TotalTime>
  <Application>Yozo_Office27021597764231179</Application>
  <Pages>15</Pages>
  <Words>13689</Words>
  <Characters>14297</Characters>
  <Lines>459</Lines>
  <Paragraphs>180</Paragraphs>
  <CharactersWithSpaces>14403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科技局</dc:creator>
  <cp:lastModifiedBy>yjy</cp:lastModifiedBy>
  <cp:revision>51</cp:revision>
  <cp:lastPrinted>2023-02-14T02:50:00Z</cp:lastPrinted>
  <dcterms:created xsi:type="dcterms:W3CDTF">2023-06-09T10:59:00Z</dcterms:created>
  <dcterms:modified xsi:type="dcterms:W3CDTF">2023-06-09T14:33:08Z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689786F18E774901AAE3F81E40620633_13</vt:lpwstr>
  </property>
</Properties>
</file>