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AD" w:rsidRDefault="002E73AD" w:rsidP="002E73AD">
      <w:pPr>
        <w:spacing w:line="640" w:lineRule="exact"/>
        <w:jc w:val="left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 w:rsidRPr="002E73AD">
        <w:rPr>
          <w:rFonts w:ascii="黑体" w:eastAsia="黑体" w:hAnsi="黑体"/>
          <w:kern w:val="0"/>
          <w:szCs w:val="32"/>
        </w:rPr>
        <w:t>附件2</w:t>
      </w:r>
    </w:p>
    <w:p w:rsidR="0006393B" w:rsidRPr="0006393B" w:rsidRDefault="0006393B" w:rsidP="0006393B">
      <w:pPr>
        <w:spacing w:line="64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 w:rsidRPr="0006393B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202</w:t>
      </w:r>
      <w:r w:rsidR="00F2481E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3</w:t>
      </w:r>
      <w:r w:rsidRPr="0006393B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年南京市专业技术人员继续教育专业</w:t>
      </w:r>
    </w:p>
    <w:p w:rsidR="0006393B" w:rsidRDefault="0006393B" w:rsidP="0006393B">
      <w:pPr>
        <w:spacing w:line="640" w:lineRule="exact"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 w:rsidRPr="0006393B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科目学时认定表</w:t>
      </w:r>
    </w:p>
    <w:p w:rsidR="002E73AD" w:rsidRPr="002E73AD" w:rsidRDefault="002E73AD" w:rsidP="002E73AD">
      <w:pPr>
        <w:rPr>
          <w:rFonts w:ascii="方正小标宋简体" w:eastAsia="方正小标宋简体" w:hAnsi="Times New Roman"/>
          <w:b/>
          <w:bCs/>
          <w:kern w:val="0"/>
          <w:sz w:val="22"/>
        </w:rPr>
      </w:pPr>
      <w:r w:rsidRPr="0006393B">
        <w:rPr>
          <w:rFonts w:asciiTheme="minorEastAsia" w:eastAsiaTheme="minorEastAsia" w:hAnsiTheme="minorEastAsia"/>
          <w:bCs/>
          <w:kern w:val="0"/>
          <w:sz w:val="21"/>
          <w:szCs w:val="21"/>
        </w:rPr>
        <w:t>单位名称（盖章） :                负责人：                 填报日期</w:t>
      </w:r>
      <w:r w:rsidRPr="0006393B">
        <w:rPr>
          <w:rFonts w:asciiTheme="minorEastAsia" w:eastAsiaTheme="minorEastAsia" w:hAnsiTheme="minorEastAsia"/>
          <w:b/>
          <w:bCs/>
          <w:kern w:val="0"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909"/>
        <w:gridCol w:w="3473"/>
        <w:gridCol w:w="2057"/>
      </w:tblGrid>
      <w:tr w:rsidR="0006393B" w:rsidRPr="0006393B" w:rsidTr="00E750C7">
        <w:trPr>
          <w:trHeight w:val="283"/>
          <w:jc w:val="center"/>
        </w:trPr>
        <w:tc>
          <w:tcPr>
            <w:tcW w:w="2060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382" w:type="dxa"/>
            <w:gridSpan w:val="2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pacing w:val="60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Cs/>
                <w:spacing w:val="6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  <w:t>拟申报专业</w:t>
            </w:r>
          </w:p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  <w:t>技术资格</w:t>
            </w:r>
          </w:p>
        </w:tc>
      </w:tr>
      <w:tr w:rsidR="0006393B" w:rsidRPr="0006393B" w:rsidTr="0006393B">
        <w:trPr>
          <w:trHeight w:val="654"/>
          <w:jc w:val="center"/>
        </w:trPr>
        <w:tc>
          <w:tcPr>
            <w:tcW w:w="2060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82" w:type="dxa"/>
            <w:gridSpan w:val="2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pacing w:val="60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Cs/>
                <w:spacing w:val="60"/>
                <w:kern w:val="0"/>
                <w:sz w:val="21"/>
                <w:szCs w:val="21"/>
              </w:rPr>
              <w:t>学时项目及计算标准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  <w:t>学时认定数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参加由各级人力资源社会保障部门、市行业主管部门和省、市继续教育基地举办的与专业相关的继续教育培训班、研修班学习，每天认定8学时;参加其他行业类培训进修、学术研讨活动（包括单位和企业自行组织的），每天可登记认定6个学时；没有明确授课时数只有授课天数的培训学习，按每天4学时认定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参加由各级人力资源社会保障部门、市行业主管部门和省、市继续教育基地提供的网络课件学习，按照课件标定的学时数进行认定。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参加国家级学术会议认定10学时，报告论文者，2000字以内另加20学时，2000字以上另加30学时；参加省、部级学术会议认定8学时，报告论文者，2000字以内另加15学时；2000字以上另加25学时。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参加境外培训，按实际培训学时认定；参加境外学术活动，按每半年40学时认定（在途时间不计算在内）。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讲授继续教育课程，按实际授课时数的2倍认定学时；讲授学术报告或讲座，按实际学时数的3倍认定学时。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参加与专业相关的在职学历教育，考试合格，当年度每门课程认定20学时。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参加专业技术资格、执（职）业资格、职业水平考试（含职称英语、职称计算机考试），成绩合格，当年度每门科目认定30学时。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在本专业正规刊物(有ISSN和CN刊号)上发表论文</w:t>
            </w:r>
          </w:p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独立或以第一作者发表论文按30学时认定，其他作者按10学时认定。独立或以第一作者公开出版专业著作、论著按60学时认定，其他作者按40学时认定。同一论文或著作，只计算一次，不重复认定学时。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  <w:p w:rsidR="0006393B" w:rsidRPr="0006393B" w:rsidRDefault="0006393B" w:rsidP="00E750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独立承担继续教育管理部门或行业组织（团体）的课题研究与项目开发</w:t>
            </w:r>
            <w:proofErr w:type="gramStart"/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并结项的</w:t>
            </w:r>
            <w:proofErr w:type="gramEnd"/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，每项研究课题或项目认定40学时；与他人合作完成的，每项研究课题或项目的主持人折算为40学时，其他参与人每人折算为30学时。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  <w:p w:rsidR="0006393B" w:rsidRPr="0006393B" w:rsidRDefault="0006393B" w:rsidP="00E750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经组织批准，参加省、市组织的专家服务基层活动，每次活动认定20学时。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6393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专业技术人员个人自学、单位统一组织自学，由用人单位建立学习档案并明确具体学时，每年累计不超过20学时。用人单位未建立学习档案的不予认定。</w:t>
            </w:r>
          </w:p>
        </w:tc>
        <w:tc>
          <w:tcPr>
            <w:tcW w:w="2057" w:type="dxa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6393B" w:rsidRPr="0006393B" w:rsidTr="00E750C7">
        <w:trPr>
          <w:trHeight w:val="283"/>
          <w:jc w:val="center"/>
        </w:trPr>
        <w:tc>
          <w:tcPr>
            <w:tcW w:w="3969" w:type="dxa"/>
            <w:gridSpan w:val="2"/>
            <w:vAlign w:val="center"/>
          </w:tcPr>
          <w:p w:rsidR="0006393B" w:rsidRPr="0006393B" w:rsidRDefault="0006393B" w:rsidP="0006393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06393B"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  <w:t>学时合计（大写）</w:t>
            </w:r>
          </w:p>
        </w:tc>
        <w:tc>
          <w:tcPr>
            <w:tcW w:w="5530" w:type="dxa"/>
            <w:gridSpan w:val="2"/>
            <w:vAlign w:val="center"/>
          </w:tcPr>
          <w:p w:rsidR="0006393B" w:rsidRPr="0006393B" w:rsidRDefault="0006393B" w:rsidP="00E750C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A401D" w:rsidRPr="0006393B" w:rsidRDefault="0006393B" w:rsidP="002E73AD">
      <w:pPr>
        <w:spacing w:beforeLines="20" w:before="62"/>
      </w:pPr>
      <w:r w:rsidRPr="0006393B">
        <w:rPr>
          <w:rFonts w:asciiTheme="minorEastAsia" w:eastAsiaTheme="minorEastAsia" w:hAnsiTheme="minorEastAsia"/>
          <w:bCs/>
          <w:kern w:val="0"/>
          <w:sz w:val="21"/>
          <w:szCs w:val="21"/>
        </w:rPr>
        <w:t>注：以上学时认定需提供相应证明材料，并随此表上传至职称申报系统。</w:t>
      </w:r>
      <w:bookmarkStart w:id="0" w:name="_GoBack"/>
      <w:bookmarkEnd w:id="0"/>
    </w:p>
    <w:sectPr w:rsidR="00AA401D" w:rsidRPr="0006393B" w:rsidSect="0006393B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B"/>
    <w:rsid w:val="0006393B"/>
    <w:rsid w:val="002E73AD"/>
    <w:rsid w:val="00AA401D"/>
    <w:rsid w:val="00F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B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B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2022-06-16T08:33:00Z</dcterms:created>
  <dcterms:modified xsi:type="dcterms:W3CDTF">2023-06-13T03:44:00Z</dcterms:modified>
</cp:coreProperties>
</file>