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560" w:lineRule="exact"/>
        <w:ind w:firstLine="0" w:firstLineChars="0"/>
        <w:jc w:val="center"/>
        <w:rPr>
          <w:rFonts w:hint="eastAsia"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  <w:t>南京市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  <w:t>科技金融服务驿站</w:t>
      </w:r>
      <w:r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  <w:t>管理办法（试行）</w:t>
      </w:r>
    </w:p>
    <w:p>
      <w:pPr>
        <w:pStyle w:val="2"/>
        <w:adjustRightInd w:val="0"/>
        <w:snapToGrid w:val="0"/>
        <w:spacing w:after="0" w:line="54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3200" w:firstLineChars="1000"/>
        <w:rPr>
          <w:rFonts w:ascii="Times New Roman" w:hAnsi="Times New Roman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第一章 </w:t>
      </w:r>
      <w:r>
        <w:rPr>
          <w:rFonts w:ascii="Times New Roman" w:hAnsi="Times New Roman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>总则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为全面落实市委、市政府关于深入推进引领性国家创新型城市建设的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推进我市建设国家级科创金融改革试验区，</w:t>
      </w:r>
      <w:r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南京市科技金融服务驿站（以下简称“服务驿站”）的</w:t>
      </w:r>
      <w:r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发展建设，进一步完善我市科技金融服务体系，提高科技金融工作服务能力和水平，制定本办法。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3200" w:firstLineChars="1000"/>
        <w:rPr>
          <w:rFonts w:ascii="Times New Roman" w:hAnsi="Times New Roman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>第二章  组织架构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本办法所述的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服务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驿站依托我市各类</w:t>
      </w:r>
      <w:r>
        <w:rPr>
          <w:rFonts w:hint="eastAsia" w:ascii="Times New Roman" w:hAnsi="Times New Roman" w:eastAsia="方正仿宋_GBK" w:cs="Times New Roman"/>
          <w:szCs w:val="32"/>
        </w:rPr>
        <w:t>科创载体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建设，在各类金融机构的配合下，为我市科技企业对接科技金融产品，提供科技金融服务。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市科技局联合市金融监管局、人行南京营管部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对服务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驿站进行挂牌，并针对其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开展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宏观管理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业务指导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、绩效评价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等工作。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市成果转化服务中心委派专员，会各区（园区）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科技主管部门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具体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负责区域内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服务驿站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培训和管理，承担服务驿站的日常联络、统计分析等工作。</w:t>
      </w:r>
    </w:p>
    <w:p>
      <w:pPr>
        <w:pStyle w:val="2"/>
        <w:spacing w:after="0" w:line="540" w:lineRule="exact"/>
        <w:ind w:firstLine="320"/>
      </w:pPr>
    </w:p>
    <w:p>
      <w:pPr>
        <w:adjustRightInd w:val="0"/>
        <w:snapToGrid w:val="0"/>
        <w:spacing w:line="540" w:lineRule="exact"/>
        <w:ind w:firstLine="2560" w:firstLineChars="800"/>
        <w:rPr>
          <w:rFonts w:ascii="Times New Roman" w:hAnsi="Times New Roman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>第三章 建设条件与核心业务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第五条 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服务驿站应具备下列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基本条件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（一）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服务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驿站可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依托在我市注册的具备科技金融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服务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工作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基础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的</w:t>
      </w:r>
      <w:r>
        <w:rPr>
          <w:rFonts w:hint="eastAsia" w:ascii="Times New Roman" w:hAnsi="Times New Roman" w:eastAsia="方正仿宋_GBK" w:cs="Times New Roman"/>
          <w:szCs w:val="32"/>
        </w:rPr>
        <w:t>众创空间、孵化器、加速器、科技园区等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科创载体建设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也可由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各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区（园区）科技部门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配备专项资金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专门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建设实体化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服务机构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。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（二）服务驿站应有较高的科技企业聚集度，具有开展科技金融工作的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办公及活动场所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，具备展示宣传科技金融产品和服务的硬件设施。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（三）服务驿站应与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银行、保险、担保、投资、券商等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金融机构签订合作协议。金融机构安排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长期对接服务驿站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提供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投融资精准对接服务。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（四）服务驿站应有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与管理制度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，建立各方职责明晰、工作目标明确、服务流程规范的工作机制，具有必要的工作经费保障。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（五）服务驿站应按照规模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配备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相应数量的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专业化服务工作人员，工作人员应具备一定的金融知识，熟悉辖区科技企业情况，掌握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各级各类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科技金融政策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及产品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驿站以开展科技企业融资对接服务、科技金融政策宣介和业务培训为核心业务，主要包括：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组织开展科技企业融资需求调研及信息发布；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组织开展科技金融政策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宣介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、企业融资培训等；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组织开展多种形式的投融资对接活动等；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对接银行、保险、担保、投资、券商等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金融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服务机构，建立常态化协同工作机制，跟踪企业融资成效；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配合或承接各级政府部门开展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的科技金融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活动或工作。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0" w:firstLineChars="200"/>
        <w:jc w:val="center"/>
        <w:rPr>
          <w:rFonts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Times New Roman"/>
        </w:rPr>
        <w:t>第四章  申报及挂牌程序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</w:rPr>
        <w:t>第七条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 xml:space="preserve"> 市科技局按批次组织开展服务驿站的申报工作，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按照申请、推荐、评审、挂牌的流程进行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。拟申请挂牌驿站的建设主体进行申报；各区（园区）科技主管部门进行初审与推荐；市科技局联合市金融监管局、人行南京营管部组织专家对申报材料进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审核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，结合实地考察情况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，对审核通过的驿站予以挂牌。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2560" w:firstLineChars="800"/>
        <w:rPr>
          <w:rFonts w:ascii="Times New Roman" w:hAnsi="Times New Roman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>第五章 监督管理与绩效评价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</w:rPr>
        <w:t xml:space="preserve">第八条 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服务驿站应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建立常态化信息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交流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反馈机制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，定期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向市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成果转化中心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报送运行情况、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活动开展情况、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投融资数据和典型案例等信息。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楷体_GBK" w:cs="Times New Roman"/>
        </w:rPr>
        <w:t>第九条</w:t>
      </w:r>
      <w:r>
        <w:rPr>
          <w:rFonts w:hint="eastAsia" w:ascii="Times New Roman" w:hAnsi="Times New Roman" w:eastAsia="方正仿宋_GBK" w:cs="Times New Roman"/>
          <w:szCs w:val="32"/>
        </w:rPr>
        <w:t xml:space="preserve"> </w:t>
      </w:r>
      <w:r>
        <w:rPr>
          <w:rFonts w:ascii="Times New Roman" w:hAnsi="Times New Roman" w:eastAsia="方正仿宋_GBK" w:cs="Times New Roman"/>
          <w:szCs w:val="32"/>
        </w:rPr>
        <w:t>市科技局</w:t>
      </w:r>
      <w:r>
        <w:rPr>
          <w:rFonts w:hint="eastAsia" w:ascii="Times New Roman" w:hAnsi="Times New Roman" w:eastAsia="方正仿宋_GBK" w:cs="Times New Roman"/>
          <w:szCs w:val="32"/>
          <w:shd w:val="clear" w:color="auto" w:fill="FFFFFF"/>
        </w:rPr>
        <w:t>联合市金融监管局、人行南京营管部</w:t>
      </w:r>
      <w:r>
        <w:rPr>
          <w:rFonts w:hint="eastAsia" w:ascii="Times New Roman" w:hAnsi="Times New Roman" w:eastAsia="方正仿宋_GBK" w:cs="Times New Roman"/>
          <w:szCs w:val="32"/>
        </w:rPr>
        <w:t>组织开展服务驿站的年度绩效评价工作。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各服务驿站挂牌的次年起可参与绩效评价。</w:t>
      </w:r>
      <w:r>
        <w:rPr>
          <w:rFonts w:ascii="Times New Roman" w:hAnsi="Times New Roman" w:eastAsia="方正仿宋_GBK" w:cs="Times New Roman"/>
          <w:szCs w:val="32"/>
        </w:rPr>
        <w:t>市科技局对</w:t>
      </w:r>
      <w:r>
        <w:rPr>
          <w:rFonts w:hint="eastAsia" w:ascii="Times New Roman" w:hAnsi="Times New Roman" w:eastAsia="方正仿宋_GBK" w:cs="Times New Roman"/>
          <w:szCs w:val="32"/>
        </w:rPr>
        <w:t>年度评价</w:t>
      </w:r>
      <w:r>
        <w:rPr>
          <w:rFonts w:ascii="Times New Roman" w:hAnsi="Times New Roman" w:eastAsia="方正仿宋_GBK" w:cs="Times New Roman"/>
          <w:szCs w:val="32"/>
        </w:rPr>
        <w:t>优秀的</w:t>
      </w:r>
      <w:r>
        <w:rPr>
          <w:rFonts w:hint="eastAsia" w:ascii="Times New Roman" w:hAnsi="Times New Roman" w:eastAsia="方正仿宋_GBK" w:cs="Times New Roman"/>
          <w:szCs w:val="32"/>
        </w:rPr>
        <w:t>服务驿站</w:t>
      </w:r>
      <w:r>
        <w:rPr>
          <w:rFonts w:ascii="Times New Roman" w:hAnsi="Times New Roman" w:eastAsia="方正仿宋_GBK" w:cs="Times New Roman"/>
          <w:szCs w:val="32"/>
        </w:rPr>
        <w:t>给予</w:t>
      </w:r>
      <w:r>
        <w:rPr>
          <w:rFonts w:hint="eastAsia" w:ascii="Times New Roman" w:hAnsi="Times New Roman" w:eastAsia="方正仿宋_GBK" w:cs="Times New Roman"/>
          <w:szCs w:val="32"/>
        </w:rPr>
        <w:t>一定</w:t>
      </w:r>
      <w:r>
        <w:rPr>
          <w:rFonts w:ascii="Times New Roman" w:hAnsi="Times New Roman" w:eastAsia="方正仿宋_GBK" w:cs="Times New Roman"/>
          <w:szCs w:val="32"/>
        </w:rPr>
        <w:t>的奖励补助</w:t>
      </w:r>
      <w:r>
        <w:rPr>
          <w:rFonts w:hint="eastAsia" w:ascii="Times New Roman" w:hAnsi="Times New Roman" w:eastAsia="方正仿宋_GBK" w:cs="Times New Roman"/>
          <w:szCs w:val="32"/>
        </w:rPr>
        <w:t>，</w:t>
      </w:r>
      <w:r>
        <w:rPr>
          <w:rFonts w:ascii="Times New Roman" w:hAnsi="Times New Roman" w:eastAsia="方正仿宋_GBK" w:cs="Times New Roman"/>
          <w:szCs w:val="32"/>
        </w:rPr>
        <w:t>可用于各</w:t>
      </w:r>
      <w:r>
        <w:rPr>
          <w:rFonts w:hint="eastAsia" w:ascii="Times New Roman" w:hAnsi="Times New Roman" w:eastAsia="方正仿宋_GBK" w:cs="Times New Roman"/>
          <w:szCs w:val="32"/>
        </w:rPr>
        <w:t>服务驿站</w:t>
      </w:r>
      <w:r>
        <w:rPr>
          <w:rFonts w:ascii="Times New Roman" w:hAnsi="Times New Roman" w:eastAsia="方正仿宋_GBK" w:cs="Times New Roman"/>
          <w:szCs w:val="32"/>
        </w:rPr>
        <w:t>的设备购置、运行经费以及优秀工作人员的奖励等。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</w:p>
    <w:p>
      <w:pPr>
        <w:adjustRightInd w:val="0"/>
        <w:snapToGrid w:val="0"/>
        <w:spacing w:line="540" w:lineRule="exact"/>
        <w:ind w:firstLine="3200" w:firstLineChars="1000"/>
        <w:rPr>
          <w:rFonts w:ascii="Times New Roman" w:hAnsi="Times New Roman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14:textFill>
            <w14:solidFill>
              <w14:schemeClr w14:val="tx1"/>
            </w14:solidFill>
          </w14:textFill>
        </w:rPr>
        <w:t>第六章 附则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楷体_GBK" w:cs="Times New Roman"/>
        </w:rPr>
        <w:t>第</w:t>
      </w:r>
      <w:r>
        <w:rPr>
          <w:rFonts w:hint="eastAsia" w:ascii="Times New Roman" w:hAnsi="Times New Roman" w:eastAsia="方正楷体_GBK" w:cs="Times New Roman"/>
        </w:rPr>
        <w:t>十</w:t>
      </w:r>
      <w:r>
        <w:rPr>
          <w:rFonts w:ascii="Times New Roman" w:hAnsi="Times New Roman" w:eastAsia="方正楷体_GBK" w:cs="Times New Roman"/>
        </w:rPr>
        <w:t>条</w:t>
      </w:r>
      <w:r>
        <w:rPr>
          <w:rFonts w:ascii="Times New Roman" w:hAnsi="Times New Roman" w:eastAsia="方正仿宋_GBK" w:cs="Times New Roman"/>
          <w:szCs w:val="32"/>
        </w:rPr>
        <w:t xml:space="preserve"> 本办法自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2023年 月 日</w:t>
      </w:r>
      <w:r>
        <w:rPr>
          <w:rFonts w:ascii="Times New Roman" w:hAnsi="Times New Roman" w:eastAsia="方正仿宋_GBK" w:cs="Times New Roman"/>
          <w:szCs w:val="32"/>
        </w:rPr>
        <w:t>起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施行</w:t>
      </w:r>
      <w:r>
        <w:rPr>
          <w:rFonts w:ascii="Times New Roman" w:hAnsi="Times New Roman" w:eastAsia="方正仿宋_GBK" w:cs="Times New Roman"/>
          <w:szCs w:val="32"/>
        </w:rPr>
        <w:t>，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有效期至2025年 月 日，</w:t>
      </w:r>
      <w:r>
        <w:rPr>
          <w:rFonts w:ascii="Times New Roman" w:hAnsi="Times New Roman" w:eastAsia="方正仿宋_GBK" w:cs="Times New Roman"/>
          <w:szCs w:val="32"/>
        </w:rPr>
        <w:t>由市科技局、市金融监管局、人行南京营管部负责解释。</w:t>
      </w:r>
    </w:p>
    <w:p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2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szCs w:val="32"/>
        </w:rPr>
        <w:t>第</w:t>
      </w:r>
      <w:r>
        <w:rPr>
          <w:rFonts w:hint="eastAsia" w:ascii="Times New Roman" w:hAnsi="Times New Roman" w:eastAsia="方正楷体_GBK" w:cs="Times New Roman"/>
          <w:szCs w:val="32"/>
        </w:rPr>
        <w:t>十一</w:t>
      </w:r>
      <w:r>
        <w:rPr>
          <w:rFonts w:ascii="Times New Roman" w:hAnsi="Times New Roman" w:eastAsia="方正楷体_GBK" w:cs="Times New Roman"/>
          <w:szCs w:val="32"/>
        </w:rPr>
        <w:t xml:space="preserve">条 </w:t>
      </w:r>
      <w:r>
        <w:rPr>
          <w:rFonts w:ascii="Times New Roman" w:hAnsi="Times New Roman" w:eastAsia="方正仿宋_GBK" w:cs="Times New Roman"/>
          <w:szCs w:val="32"/>
        </w:rPr>
        <w:t>各</w:t>
      </w:r>
      <w:r>
        <w:rPr>
          <w:rFonts w:hint="eastAsia" w:ascii="Times New Roman" w:hAnsi="Times New Roman" w:eastAsia="方正仿宋_GBK" w:cs="Times New Roman"/>
          <w:szCs w:val="32"/>
        </w:rPr>
        <w:t>区（园区）科技部门</w:t>
      </w:r>
      <w:r>
        <w:rPr>
          <w:rFonts w:ascii="Times New Roman" w:hAnsi="Times New Roman" w:eastAsia="方正仿宋_GBK" w:cs="Times New Roman"/>
          <w:szCs w:val="32"/>
        </w:rPr>
        <w:t>可结合实际，在本办法</w:t>
      </w:r>
      <w:r>
        <w:rPr>
          <w:rFonts w:hint="eastAsia" w:ascii="Times New Roman" w:hAnsi="Times New Roman" w:eastAsia="方正仿宋_GBK" w:cs="Times New Roman"/>
          <w:szCs w:val="32"/>
        </w:rPr>
        <w:t>规定</w:t>
      </w:r>
      <w:r>
        <w:rPr>
          <w:rFonts w:ascii="Times New Roman" w:hAnsi="Times New Roman" w:eastAsia="方正仿宋_GBK" w:cs="Times New Roman"/>
          <w:szCs w:val="32"/>
        </w:rPr>
        <w:t>范围内制定</w:t>
      </w:r>
      <w:r>
        <w:rPr>
          <w:rFonts w:hint="eastAsia" w:ascii="Times New Roman" w:hAnsi="Times New Roman" w:eastAsia="方正仿宋_GBK" w:cs="Times New Roman"/>
          <w:szCs w:val="32"/>
        </w:rPr>
        <w:t>各服务驿站</w:t>
      </w:r>
      <w:r>
        <w:rPr>
          <w:rFonts w:ascii="Times New Roman" w:hAnsi="Times New Roman" w:eastAsia="方正仿宋_GBK" w:cs="Times New Roman"/>
          <w:szCs w:val="32"/>
        </w:rPr>
        <w:t>具体实施细则。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151A5"/>
    <w:multiLevelType w:val="singleLevel"/>
    <w:tmpl w:val="20A151A5"/>
    <w:lvl w:ilvl="0" w:tentative="0">
      <w:start w:val="2"/>
      <w:numFmt w:val="chineseCounting"/>
      <w:suff w:val="space"/>
      <w:lvlText w:val="第%1条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wMTdiYjE0NmJiY2EyMDU2ZGU4MzFiYWJlYmY0MzYifQ=="/>
  </w:docVars>
  <w:rsids>
    <w:rsidRoot w:val="00CE519E"/>
    <w:rsid w:val="00005055"/>
    <w:rsid w:val="00021A3C"/>
    <w:rsid w:val="00026B27"/>
    <w:rsid w:val="00036AE9"/>
    <w:rsid w:val="00060B14"/>
    <w:rsid w:val="00064065"/>
    <w:rsid w:val="000645CC"/>
    <w:rsid w:val="00083206"/>
    <w:rsid w:val="00086BC0"/>
    <w:rsid w:val="000A4263"/>
    <w:rsid w:val="000A46AC"/>
    <w:rsid w:val="000E3824"/>
    <w:rsid w:val="000E5C75"/>
    <w:rsid w:val="000F5D6C"/>
    <w:rsid w:val="0010593B"/>
    <w:rsid w:val="00120AB6"/>
    <w:rsid w:val="00127FEE"/>
    <w:rsid w:val="00137AC6"/>
    <w:rsid w:val="00141A3B"/>
    <w:rsid w:val="00144800"/>
    <w:rsid w:val="00153A43"/>
    <w:rsid w:val="00153AED"/>
    <w:rsid w:val="00172234"/>
    <w:rsid w:val="00173A78"/>
    <w:rsid w:val="00181645"/>
    <w:rsid w:val="00197205"/>
    <w:rsid w:val="001B1033"/>
    <w:rsid w:val="001B1625"/>
    <w:rsid w:val="001B5D1C"/>
    <w:rsid w:val="001D0DA9"/>
    <w:rsid w:val="001E2CFB"/>
    <w:rsid w:val="001E7E2E"/>
    <w:rsid w:val="001F5032"/>
    <w:rsid w:val="00202EBE"/>
    <w:rsid w:val="00207B9E"/>
    <w:rsid w:val="00220379"/>
    <w:rsid w:val="002257F2"/>
    <w:rsid w:val="0023561D"/>
    <w:rsid w:val="002461DF"/>
    <w:rsid w:val="002470CA"/>
    <w:rsid w:val="00261F77"/>
    <w:rsid w:val="002642CC"/>
    <w:rsid w:val="00264604"/>
    <w:rsid w:val="00267942"/>
    <w:rsid w:val="002F74F9"/>
    <w:rsid w:val="00340550"/>
    <w:rsid w:val="00340723"/>
    <w:rsid w:val="0034372D"/>
    <w:rsid w:val="00362232"/>
    <w:rsid w:val="00367473"/>
    <w:rsid w:val="00374D60"/>
    <w:rsid w:val="0037575A"/>
    <w:rsid w:val="0039402E"/>
    <w:rsid w:val="003A1CB0"/>
    <w:rsid w:val="003C1695"/>
    <w:rsid w:val="003C6C65"/>
    <w:rsid w:val="003E3361"/>
    <w:rsid w:val="00403632"/>
    <w:rsid w:val="0041024F"/>
    <w:rsid w:val="00423588"/>
    <w:rsid w:val="00427F0D"/>
    <w:rsid w:val="004515D4"/>
    <w:rsid w:val="004620AF"/>
    <w:rsid w:val="00463DED"/>
    <w:rsid w:val="004851FB"/>
    <w:rsid w:val="00493671"/>
    <w:rsid w:val="0049796D"/>
    <w:rsid w:val="004A34C3"/>
    <w:rsid w:val="004A5247"/>
    <w:rsid w:val="004B522B"/>
    <w:rsid w:val="004D60D2"/>
    <w:rsid w:val="004F64E2"/>
    <w:rsid w:val="005033CA"/>
    <w:rsid w:val="005045FF"/>
    <w:rsid w:val="00504687"/>
    <w:rsid w:val="00512A07"/>
    <w:rsid w:val="00522B76"/>
    <w:rsid w:val="005259B7"/>
    <w:rsid w:val="00533AAF"/>
    <w:rsid w:val="00540473"/>
    <w:rsid w:val="00550AFB"/>
    <w:rsid w:val="00583F6F"/>
    <w:rsid w:val="005B67A6"/>
    <w:rsid w:val="005C1773"/>
    <w:rsid w:val="005C296D"/>
    <w:rsid w:val="005C7566"/>
    <w:rsid w:val="005C7AA6"/>
    <w:rsid w:val="005D0A86"/>
    <w:rsid w:val="0061013A"/>
    <w:rsid w:val="00613844"/>
    <w:rsid w:val="00613BC2"/>
    <w:rsid w:val="00617A86"/>
    <w:rsid w:val="0064401E"/>
    <w:rsid w:val="00663756"/>
    <w:rsid w:val="00667367"/>
    <w:rsid w:val="006835A4"/>
    <w:rsid w:val="006929B7"/>
    <w:rsid w:val="006A1F3D"/>
    <w:rsid w:val="006B5823"/>
    <w:rsid w:val="006C03C8"/>
    <w:rsid w:val="006C2AD7"/>
    <w:rsid w:val="006C2EBB"/>
    <w:rsid w:val="00710392"/>
    <w:rsid w:val="0072552E"/>
    <w:rsid w:val="00742B59"/>
    <w:rsid w:val="007608FF"/>
    <w:rsid w:val="00761DEC"/>
    <w:rsid w:val="00764E6D"/>
    <w:rsid w:val="00783384"/>
    <w:rsid w:val="00784F91"/>
    <w:rsid w:val="0078544E"/>
    <w:rsid w:val="00791076"/>
    <w:rsid w:val="00796165"/>
    <w:rsid w:val="007B0A7F"/>
    <w:rsid w:val="007B1350"/>
    <w:rsid w:val="007C5D07"/>
    <w:rsid w:val="007D3590"/>
    <w:rsid w:val="007E01DD"/>
    <w:rsid w:val="007F6EB0"/>
    <w:rsid w:val="00821614"/>
    <w:rsid w:val="0082623E"/>
    <w:rsid w:val="008735D8"/>
    <w:rsid w:val="008A1927"/>
    <w:rsid w:val="008A4AC7"/>
    <w:rsid w:val="008A5161"/>
    <w:rsid w:val="008B4849"/>
    <w:rsid w:val="008C0F33"/>
    <w:rsid w:val="008D0E35"/>
    <w:rsid w:val="008D4756"/>
    <w:rsid w:val="008D5DC0"/>
    <w:rsid w:val="008D6222"/>
    <w:rsid w:val="008F785B"/>
    <w:rsid w:val="009268C3"/>
    <w:rsid w:val="009432AC"/>
    <w:rsid w:val="00946DE5"/>
    <w:rsid w:val="009742E7"/>
    <w:rsid w:val="009822FB"/>
    <w:rsid w:val="009A18A7"/>
    <w:rsid w:val="009B6E9B"/>
    <w:rsid w:val="009C5CFE"/>
    <w:rsid w:val="00A064E8"/>
    <w:rsid w:val="00A07CFE"/>
    <w:rsid w:val="00A361F2"/>
    <w:rsid w:val="00A5320E"/>
    <w:rsid w:val="00A60300"/>
    <w:rsid w:val="00A6391F"/>
    <w:rsid w:val="00A75C85"/>
    <w:rsid w:val="00AA3A8A"/>
    <w:rsid w:val="00AB5F8B"/>
    <w:rsid w:val="00AB631F"/>
    <w:rsid w:val="00AC504D"/>
    <w:rsid w:val="00AD2C2E"/>
    <w:rsid w:val="00AD2C99"/>
    <w:rsid w:val="00B05ECB"/>
    <w:rsid w:val="00B1542A"/>
    <w:rsid w:val="00B334B7"/>
    <w:rsid w:val="00B50709"/>
    <w:rsid w:val="00B57FFE"/>
    <w:rsid w:val="00B6212E"/>
    <w:rsid w:val="00B64231"/>
    <w:rsid w:val="00B73D20"/>
    <w:rsid w:val="00B808A2"/>
    <w:rsid w:val="00B931F9"/>
    <w:rsid w:val="00C03157"/>
    <w:rsid w:val="00C17F98"/>
    <w:rsid w:val="00C26045"/>
    <w:rsid w:val="00C27508"/>
    <w:rsid w:val="00C33357"/>
    <w:rsid w:val="00C42F9C"/>
    <w:rsid w:val="00C439DC"/>
    <w:rsid w:val="00C954D9"/>
    <w:rsid w:val="00C965B6"/>
    <w:rsid w:val="00CA507B"/>
    <w:rsid w:val="00CC27C6"/>
    <w:rsid w:val="00CC7E5E"/>
    <w:rsid w:val="00CD0E99"/>
    <w:rsid w:val="00CE2274"/>
    <w:rsid w:val="00CE519E"/>
    <w:rsid w:val="00D129BD"/>
    <w:rsid w:val="00D23FB2"/>
    <w:rsid w:val="00D35212"/>
    <w:rsid w:val="00D40D4D"/>
    <w:rsid w:val="00D4791F"/>
    <w:rsid w:val="00D9019F"/>
    <w:rsid w:val="00DB19DE"/>
    <w:rsid w:val="00DB7FEB"/>
    <w:rsid w:val="00DC609C"/>
    <w:rsid w:val="00DD0E03"/>
    <w:rsid w:val="00DD2C5F"/>
    <w:rsid w:val="00DD5D2F"/>
    <w:rsid w:val="00DE5621"/>
    <w:rsid w:val="00DF04C9"/>
    <w:rsid w:val="00E06908"/>
    <w:rsid w:val="00E4367E"/>
    <w:rsid w:val="00E70CE2"/>
    <w:rsid w:val="00EB2A9E"/>
    <w:rsid w:val="00F04B64"/>
    <w:rsid w:val="00F06B54"/>
    <w:rsid w:val="00F1648E"/>
    <w:rsid w:val="00F24464"/>
    <w:rsid w:val="00F8564C"/>
    <w:rsid w:val="00F86A96"/>
    <w:rsid w:val="00FB07A7"/>
    <w:rsid w:val="00FB2C8F"/>
    <w:rsid w:val="00FC36C3"/>
    <w:rsid w:val="00FD4CBA"/>
    <w:rsid w:val="00FF04DE"/>
    <w:rsid w:val="01244A80"/>
    <w:rsid w:val="0B2F47A5"/>
    <w:rsid w:val="0C486B12"/>
    <w:rsid w:val="0CD06D71"/>
    <w:rsid w:val="1BA370B6"/>
    <w:rsid w:val="289055A3"/>
    <w:rsid w:val="2B4B7020"/>
    <w:rsid w:val="2C692ECC"/>
    <w:rsid w:val="2CEE2462"/>
    <w:rsid w:val="2FBA0635"/>
    <w:rsid w:val="33976FA7"/>
    <w:rsid w:val="34D4354E"/>
    <w:rsid w:val="3B2F374B"/>
    <w:rsid w:val="44423931"/>
    <w:rsid w:val="463A37E7"/>
    <w:rsid w:val="48310D42"/>
    <w:rsid w:val="490B5F77"/>
    <w:rsid w:val="52157E66"/>
    <w:rsid w:val="55730FE2"/>
    <w:rsid w:val="577D5353"/>
    <w:rsid w:val="57E87A32"/>
    <w:rsid w:val="5E701478"/>
    <w:rsid w:val="5EDD61AF"/>
    <w:rsid w:val="5F3C4C8D"/>
    <w:rsid w:val="60F51DF9"/>
    <w:rsid w:val="667512EB"/>
    <w:rsid w:val="6FDA3E2C"/>
    <w:rsid w:val="719E6A4D"/>
    <w:rsid w:val="71AF12E6"/>
    <w:rsid w:val="720155AE"/>
    <w:rsid w:val="79216E59"/>
    <w:rsid w:val="7E7E6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</w:style>
  <w:style w:type="character" w:customStyle="1" w:styleId="13">
    <w:name w:val="正文文本 Char"/>
    <w:basedOn w:val="10"/>
    <w:link w:val="3"/>
    <w:semiHidden/>
    <w:qFormat/>
    <w:uiPriority w:val="99"/>
    <w:rPr>
      <w:sz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页眉 Char1"/>
    <w:basedOn w:val="10"/>
    <w:link w:val="6"/>
    <w:qFormat/>
    <w:uiPriority w:val="99"/>
    <w:rPr>
      <w:sz w:val="18"/>
      <w:szCs w:val="18"/>
    </w:rPr>
  </w:style>
  <w:style w:type="character" w:customStyle="1" w:styleId="18">
    <w:name w:val="正文文本 Char1"/>
    <w:basedOn w:val="10"/>
    <w:link w:val="3"/>
    <w:semiHidden/>
    <w:qFormat/>
    <w:uiPriority w:val="99"/>
    <w:rPr>
      <w:sz w:val="32"/>
    </w:rPr>
  </w:style>
  <w:style w:type="character" w:customStyle="1" w:styleId="19">
    <w:name w:val="批注框文本 Char1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正文首行缩进 Char"/>
    <w:basedOn w:val="13"/>
    <w:link w:val="2"/>
    <w:qFormat/>
    <w:uiPriority w:val="99"/>
    <w:rPr>
      <w:sz w:val="32"/>
    </w:rPr>
  </w:style>
  <w:style w:type="character" w:customStyle="1" w:styleId="21">
    <w:name w:val="正文首行缩进 Char1"/>
    <w:basedOn w:val="18"/>
    <w:link w:val="2"/>
    <w:qFormat/>
    <w:uiPriority w:val="99"/>
    <w:rPr>
      <w:sz w:val="32"/>
    </w:rPr>
  </w:style>
  <w:style w:type="character" w:customStyle="1" w:styleId="22">
    <w:name w:val="页脚 Char1"/>
    <w:basedOn w:val="10"/>
    <w:link w:val="5"/>
    <w:qFormat/>
    <w:uiPriority w:val="99"/>
    <w:rPr>
      <w:sz w:val="18"/>
      <w:szCs w:val="18"/>
    </w:rPr>
  </w:style>
  <w:style w:type="character" w:customStyle="1" w:styleId="23">
    <w:name w:val="NormalCharacter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1322</Words>
  <Characters>1322</Characters>
  <TotalTime>2</TotalTime>
  <ScaleCrop>false</ScaleCrop>
  <LinksUpToDate>false</LinksUpToDate>
  <CharactersWithSpaces>1338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2023-06-01T11:50:00Z</dcterms:created>
  <dc:creator>Administrator</dc:creator>
  <cp:lastModifiedBy>文档存本地丢失不负责</cp:lastModifiedBy>
  <dcterms:modified xsi:type="dcterms:W3CDTF">2023-06-16T09:24:09Z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6DD18229A5F449609B0FE1B5CC503B96_13</vt:lpwstr>
  </property>
</Properties>
</file>