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jc w:val="center"/>
        <w:rPr>
          <w:rFonts w:ascii="方正小标宋_GBK" w:hAnsi="宋体" w:eastAsia="方正小标宋_GBK" w:cs="方正小标宋_GBK"/>
          <w:color w:val="000000"/>
          <w:sz w:val="44"/>
          <w:szCs w:val="44"/>
        </w:rPr>
      </w:pPr>
      <w:r>
        <w:rPr>
          <w:rFonts w:hint="eastAsia" w:ascii="方正小标宋_GBK" w:hAnsi="宋体" w:eastAsia="方正小标宋_GBK" w:cs="方正小标宋_GBK"/>
          <w:color w:val="000000"/>
          <w:sz w:val="44"/>
          <w:szCs w:val="44"/>
        </w:rPr>
        <w:t>江苏省电动自行车产品质量监督抽查实施细则</w:t>
      </w:r>
    </w:p>
    <w:p>
      <w:pPr>
        <w:snapToGrid w:val="0"/>
        <w:spacing w:line="580" w:lineRule="exact"/>
        <w:jc w:val="center"/>
        <w:rPr>
          <w:rFonts w:ascii="方正小标宋_GBK" w:hAnsi="方正小标宋_GBK" w:eastAsia="方正小标宋_GBK" w:cs="方正小标宋_GBK"/>
          <w:color w:val="000000" w:themeColor="text1"/>
          <w:sz w:val="44"/>
          <w:szCs w:val="44"/>
        </w:rPr>
      </w:pPr>
      <w:r>
        <w:rPr>
          <w:rFonts w:hint="eastAsia" w:ascii="方正小标宋_GBK" w:hAnsi="方正小标宋_GBK" w:eastAsia="方正小标宋_GBK" w:cs="方正小标宋_GBK"/>
          <w:color w:val="000000" w:themeColor="text1"/>
          <w:sz w:val="44"/>
          <w:szCs w:val="44"/>
        </w:rPr>
        <w:t>（2023年版）</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1.范围</w:t>
      </w:r>
    </w:p>
    <w:p>
      <w:pPr>
        <w:spacing w:line="560" w:lineRule="exact"/>
        <w:ind w:firstLine="640" w:firstLineChars="200"/>
        <w:rPr>
          <w:rFonts w:ascii="仿宋" w:hAnsi="仿宋" w:eastAsia="仿宋" w:cs="仿宋"/>
          <w:sz w:val="32"/>
          <w:szCs w:val="32"/>
        </w:rPr>
      </w:pPr>
      <w:r>
        <w:rPr>
          <w:rFonts w:hint="eastAsia" w:ascii="方正仿宋_GBK" w:hAnsi="方正仿宋_GBK" w:eastAsia="方正仿宋_GBK" w:cs="方正仿宋_GBK"/>
          <w:sz w:val="32"/>
          <w:szCs w:val="32"/>
        </w:rPr>
        <w:t>本细则适用于江苏省市场监督管理局组织的电动自行车产品质量监督抽查检验。本细则规定了此产品的抽样方法、检验依据、检验项目、检验方法、判定原则、异议处理及复检。</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2.抽样方法</w:t>
      </w:r>
    </w:p>
    <w:p>
      <w:pPr>
        <w:spacing w:line="560" w:lineRule="exact"/>
        <w:ind w:firstLine="643" w:firstLineChars="200"/>
        <w:rPr>
          <w:rFonts w:ascii="方正仿宋_GBK" w:hAnsi="方正仿宋_GBK" w:eastAsia="方正仿宋_GBK" w:cs="方正仿宋_GBK"/>
          <w:b/>
          <w:color w:val="000000" w:themeColor="text1"/>
          <w:sz w:val="32"/>
          <w:szCs w:val="32"/>
        </w:rPr>
      </w:pPr>
      <w:r>
        <w:rPr>
          <w:rFonts w:hint="eastAsia" w:ascii="方正仿宋_GBK" w:hAnsi="方正仿宋_GBK" w:eastAsia="方正仿宋_GBK" w:cs="方正仿宋_GBK"/>
          <w:b/>
          <w:color w:val="000000" w:themeColor="text1"/>
          <w:sz w:val="32"/>
          <w:szCs w:val="32"/>
        </w:rPr>
        <w:t>2.1生产企业、实体店抽样</w:t>
      </w:r>
    </w:p>
    <w:p>
      <w:pPr>
        <w:spacing w:line="560" w:lineRule="exact"/>
        <w:ind w:firstLine="640" w:firstLineChars="200"/>
        <w:rPr>
          <w:rFonts w:ascii="仿宋" w:hAnsi="仿宋" w:eastAsia="仿宋" w:cs="仿宋"/>
          <w:sz w:val="32"/>
          <w:szCs w:val="32"/>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ascii="Times New Roman" w:hAnsi="Times New Roman" w:eastAsia="方正仿宋_GBK"/>
          <w:kern w:val="0"/>
          <w:sz w:val="32"/>
          <w:szCs w:val="32"/>
          <w:shd w:val="clear" w:color="auto" w:fill="FFFFFF"/>
        </w:rPr>
        <w:t>抽样过程均需拍照留证。一经抽样，立即封样，任何人不得调换。</w:t>
      </w:r>
    </w:p>
    <w:p>
      <w:pPr>
        <w:spacing w:line="560" w:lineRule="exact"/>
        <w:ind w:firstLine="643" w:firstLineChars="200"/>
        <w:rPr>
          <w:rFonts w:ascii="方正仿宋_GBK" w:hAnsi="方正仿宋_GBK" w:eastAsia="方正仿宋_GBK" w:cs="方正仿宋_GBK"/>
          <w:b/>
          <w:color w:val="000000" w:themeColor="text1"/>
          <w:sz w:val="32"/>
          <w:szCs w:val="32"/>
        </w:rPr>
      </w:pPr>
      <w:r>
        <w:rPr>
          <w:rFonts w:hint="eastAsia" w:ascii="方正仿宋_GBK" w:hAnsi="方正仿宋_GBK" w:eastAsia="方正仿宋_GBK" w:cs="方正仿宋_GBK"/>
          <w:b/>
          <w:color w:val="000000" w:themeColor="text1"/>
          <w:sz w:val="32"/>
          <w:szCs w:val="32"/>
        </w:rPr>
        <w:t>2.2电商平台采样</w:t>
      </w:r>
    </w:p>
    <w:p>
      <w:pPr>
        <w:spacing w:line="580" w:lineRule="exact"/>
        <w:ind w:firstLine="640" w:firstLineChars="200"/>
        <w:rPr>
          <w:rFonts w:ascii="仿宋" w:hAnsi="仿宋" w:eastAsia="仿宋" w:cs="仿宋"/>
          <w:kern w:val="0"/>
          <w:sz w:val="32"/>
          <w:szCs w:val="32"/>
          <w:shd w:val="clear" w:color="auto" w:fill="FFFFFF"/>
        </w:rPr>
      </w:pPr>
      <w:r>
        <w:rPr>
          <w:rFonts w:hint="eastAsia" w:ascii="Times New Roman" w:hAnsi="Times New Roman" w:eastAsia="方正仿宋_GBK"/>
          <w:kern w:val="0"/>
          <w:sz w:val="32"/>
          <w:szCs w:val="32"/>
          <w:shd w:val="clear" w:color="auto" w:fill="FFFFFF"/>
        </w:rPr>
        <w:t>抽样数量为</w:t>
      </w:r>
      <w:r>
        <w:rPr>
          <w:rFonts w:hint="eastAsia" w:ascii="方正仿宋_GBK" w:hAnsi="方正仿宋_GBK" w:eastAsia="方正仿宋_GBK" w:cs="方正仿宋_GBK"/>
          <w:sz w:val="32"/>
          <w:szCs w:val="32"/>
        </w:rPr>
        <w:t>同一型号2辆。</w:t>
      </w:r>
      <w:bookmarkStart w:id="0" w:name="_GoBack"/>
      <w:bookmarkEnd w:id="0"/>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3.检验依据</w:t>
      </w:r>
    </w:p>
    <w:p>
      <w:pPr>
        <w:snapToGrid w:val="0"/>
        <w:spacing w:line="500" w:lineRule="exact"/>
        <w:jc w:val="center"/>
        <w:rPr>
          <w:rFonts w:ascii="仿宋" w:hAnsi="仿宋" w:eastAsia="仿宋" w:cs="仿宋"/>
          <w:sz w:val="32"/>
          <w:szCs w:val="32"/>
        </w:rPr>
      </w:pPr>
      <w:r>
        <w:rPr>
          <w:rFonts w:hint="eastAsia" w:ascii="仿宋" w:hAnsi="仿宋" w:eastAsia="仿宋" w:cs="仿宋"/>
          <w:sz w:val="32"/>
          <w:szCs w:val="32"/>
        </w:rPr>
        <w:t>表1 检验项目</w:t>
      </w:r>
    </w:p>
    <w:tbl>
      <w:tblPr>
        <w:tblStyle w:val="9"/>
        <w:tblW w:w="868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57" w:type="dxa"/>
          <w:bottom w:w="0" w:type="dxa"/>
          <w:right w:w="57" w:type="dxa"/>
        </w:tblCellMar>
      </w:tblPr>
      <w:tblGrid>
        <w:gridCol w:w="798"/>
        <w:gridCol w:w="2072"/>
        <w:gridCol w:w="2984"/>
        <w:gridCol w:w="283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trHeight w:val="312" w:hRule="atLeast"/>
          <w:jc w:val="center"/>
        </w:trPr>
        <w:tc>
          <w:tcPr>
            <w:tcW w:w="798" w:type="dxa"/>
            <w:vMerge w:val="restart"/>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序号</w:t>
            </w:r>
          </w:p>
        </w:tc>
        <w:tc>
          <w:tcPr>
            <w:tcW w:w="2072" w:type="dxa"/>
            <w:vMerge w:val="restart"/>
            <w:tcBorders>
              <w:tl2br w:val="nil"/>
              <w:tr2bl w:val="nil"/>
            </w:tcBorders>
            <w:vAlign w:val="center"/>
          </w:tcPr>
          <w:p>
            <w:pPr>
              <w:spacing w:line="240" w:lineRule="exact"/>
              <w:jc w:val="center"/>
              <w:rPr>
                <w:rFonts w:ascii="仿宋" w:hAnsi="仿宋" w:eastAsia="仿宋" w:cs="仿宋"/>
                <w:sz w:val="24"/>
              </w:rPr>
            </w:pPr>
            <w:r>
              <w:rPr>
                <w:rFonts w:hint="eastAsia" w:ascii="仿宋" w:hAnsi="仿宋" w:eastAsia="仿宋" w:cs="仿宋"/>
                <w:color w:val="000000"/>
                <w:sz w:val="24"/>
              </w:rPr>
              <w:t>检验项目</w:t>
            </w:r>
          </w:p>
        </w:tc>
        <w:tc>
          <w:tcPr>
            <w:tcW w:w="2984" w:type="dxa"/>
            <w:vMerge w:val="restart"/>
            <w:tcBorders>
              <w:tl2br w:val="nil"/>
              <w:tr2bl w:val="nil"/>
            </w:tcBorders>
            <w:vAlign w:val="center"/>
          </w:tcPr>
          <w:p>
            <w:pPr>
              <w:spacing w:line="240" w:lineRule="exact"/>
              <w:jc w:val="center"/>
              <w:rPr>
                <w:rFonts w:ascii="仿宋" w:hAnsi="仿宋" w:eastAsia="仿宋" w:cs="仿宋"/>
                <w:sz w:val="24"/>
              </w:rPr>
            </w:pPr>
            <w:r>
              <w:rPr>
                <w:rFonts w:hint="eastAsia" w:ascii="仿宋" w:hAnsi="仿宋" w:eastAsia="仿宋" w:cs="仿宋"/>
                <w:color w:val="000000"/>
                <w:sz w:val="24"/>
              </w:rPr>
              <w:t>判定依据</w:t>
            </w:r>
          </w:p>
        </w:tc>
        <w:tc>
          <w:tcPr>
            <w:tcW w:w="2835" w:type="dxa"/>
            <w:vMerge w:val="restart"/>
            <w:tcBorders>
              <w:tl2br w:val="nil"/>
              <w:tr2bl w:val="nil"/>
            </w:tcBorders>
            <w:vAlign w:val="center"/>
          </w:tcPr>
          <w:p>
            <w:pPr>
              <w:spacing w:line="240" w:lineRule="exact"/>
              <w:jc w:val="center"/>
              <w:rPr>
                <w:rFonts w:ascii="仿宋" w:hAnsi="仿宋" w:eastAsia="仿宋" w:cs="仿宋"/>
                <w:sz w:val="24"/>
              </w:rPr>
            </w:pPr>
            <w:r>
              <w:rPr>
                <w:rFonts w:hint="eastAsia" w:ascii="仿宋" w:hAnsi="仿宋" w:eastAsia="仿宋" w:cs="仿宋"/>
                <w:color w:val="000000"/>
                <w:sz w:val="24"/>
              </w:rPr>
              <w:t>检测方法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trHeight w:val="312" w:hRule="atLeast"/>
          <w:jc w:val="center"/>
        </w:trPr>
        <w:tc>
          <w:tcPr>
            <w:tcW w:w="798" w:type="dxa"/>
            <w:vMerge w:val="continue"/>
            <w:tcBorders>
              <w:tl2br w:val="nil"/>
              <w:tr2bl w:val="nil"/>
            </w:tcBorders>
            <w:vAlign w:val="center"/>
          </w:tcPr>
          <w:p>
            <w:pPr>
              <w:ind w:left="210"/>
              <w:jc w:val="center"/>
              <w:rPr>
                <w:rFonts w:ascii="仿宋" w:hAnsi="仿宋" w:eastAsia="仿宋" w:cs="仿宋"/>
                <w:sz w:val="24"/>
              </w:rPr>
            </w:pPr>
          </w:p>
        </w:tc>
        <w:tc>
          <w:tcPr>
            <w:tcW w:w="2072" w:type="dxa"/>
            <w:vMerge w:val="continue"/>
            <w:tcBorders>
              <w:tl2br w:val="nil"/>
              <w:tr2bl w:val="nil"/>
            </w:tcBorders>
            <w:vAlign w:val="center"/>
          </w:tcPr>
          <w:p>
            <w:pPr>
              <w:ind w:left="210"/>
              <w:jc w:val="center"/>
              <w:rPr>
                <w:rFonts w:ascii="仿宋" w:hAnsi="仿宋" w:eastAsia="仿宋" w:cs="仿宋"/>
                <w:sz w:val="24"/>
              </w:rPr>
            </w:pPr>
          </w:p>
        </w:tc>
        <w:tc>
          <w:tcPr>
            <w:tcW w:w="2984" w:type="dxa"/>
            <w:vMerge w:val="continue"/>
            <w:tcBorders>
              <w:tl2br w:val="nil"/>
              <w:tr2bl w:val="nil"/>
            </w:tcBorders>
            <w:vAlign w:val="center"/>
          </w:tcPr>
          <w:p>
            <w:pPr>
              <w:ind w:left="210"/>
              <w:jc w:val="center"/>
              <w:rPr>
                <w:rFonts w:ascii="仿宋" w:hAnsi="仿宋" w:eastAsia="仿宋" w:cs="仿宋"/>
                <w:sz w:val="24"/>
              </w:rPr>
            </w:pPr>
          </w:p>
        </w:tc>
        <w:tc>
          <w:tcPr>
            <w:tcW w:w="2835" w:type="dxa"/>
            <w:vMerge w:val="continue"/>
            <w:tcBorders>
              <w:tl2br w:val="nil"/>
              <w:tr2bl w:val="nil"/>
            </w:tcBorders>
            <w:vAlign w:val="center"/>
          </w:tcPr>
          <w:p>
            <w:pPr>
              <w:ind w:left="210"/>
              <w:jc w:val="center"/>
              <w:rPr>
                <w:rFonts w:ascii="仿宋" w:hAnsi="仿宋" w:eastAsia="仿宋" w:cs="仿宋"/>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jc w:val="center"/>
        </w:trPr>
        <w:tc>
          <w:tcPr>
            <w:tcW w:w="798"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1</w:t>
            </w:r>
          </w:p>
        </w:tc>
        <w:tc>
          <w:tcPr>
            <w:tcW w:w="2072"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车速限值</w:t>
            </w:r>
          </w:p>
        </w:tc>
        <w:tc>
          <w:tcPr>
            <w:tcW w:w="2984" w:type="dxa"/>
            <w:tcBorders>
              <w:tl2br w:val="nil"/>
              <w:tr2bl w:val="nil"/>
            </w:tcBorders>
            <w:vAlign w:val="center"/>
          </w:tcPr>
          <w:p>
            <w:pPr>
              <w:ind w:left="210"/>
              <w:jc w:val="center"/>
              <w:rPr>
                <w:rFonts w:ascii="仿宋" w:hAnsi="仿宋" w:eastAsia="仿宋" w:cs="仿宋"/>
                <w:sz w:val="24"/>
              </w:rPr>
            </w:pPr>
            <w:r>
              <w:rPr>
                <w:rFonts w:hint="eastAsia" w:ascii="仿宋" w:hAnsi="仿宋" w:eastAsia="仿宋" w:cs="仿宋"/>
                <w:sz w:val="24"/>
              </w:rPr>
              <w:t>GB 17761-2018</w:t>
            </w:r>
          </w:p>
          <w:p>
            <w:pPr>
              <w:ind w:left="210"/>
              <w:jc w:val="center"/>
              <w:rPr>
                <w:rFonts w:ascii="仿宋" w:hAnsi="仿宋" w:eastAsia="仿宋" w:cs="仿宋"/>
                <w:sz w:val="24"/>
              </w:rPr>
            </w:pPr>
            <w:r>
              <w:rPr>
                <w:rFonts w:hint="eastAsia" w:ascii="仿宋" w:hAnsi="仿宋" w:eastAsia="仿宋" w:cs="仿宋"/>
                <w:sz w:val="24"/>
              </w:rPr>
              <w:t>6.1.1</w:t>
            </w:r>
          </w:p>
        </w:tc>
        <w:tc>
          <w:tcPr>
            <w:tcW w:w="2835" w:type="dxa"/>
            <w:tcBorders>
              <w:tl2br w:val="nil"/>
              <w:tr2bl w:val="nil"/>
            </w:tcBorders>
            <w:vAlign w:val="center"/>
          </w:tcPr>
          <w:p>
            <w:pPr>
              <w:ind w:left="210"/>
              <w:jc w:val="center"/>
              <w:rPr>
                <w:rFonts w:ascii="仿宋" w:hAnsi="仿宋" w:eastAsia="仿宋" w:cs="仿宋"/>
                <w:sz w:val="24"/>
              </w:rPr>
            </w:pPr>
            <w:r>
              <w:rPr>
                <w:rFonts w:hint="eastAsia" w:ascii="仿宋" w:hAnsi="仿宋" w:eastAsia="仿宋" w:cs="仿宋"/>
                <w:sz w:val="24"/>
              </w:rPr>
              <w:t>GB 17761-2018</w:t>
            </w:r>
          </w:p>
          <w:p>
            <w:pPr>
              <w:ind w:left="210"/>
              <w:jc w:val="center"/>
              <w:rPr>
                <w:rFonts w:ascii="仿宋" w:hAnsi="仿宋" w:eastAsia="仿宋" w:cs="仿宋"/>
                <w:sz w:val="24"/>
              </w:rPr>
            </w:pPr>
            <w:r>
              <w:rPr>
                <w:rFonts w:hint="eastAsia" w:ascii="仿宋" w:hAnsi="仿宋" w:eastAsia="仿宋" w:cs="仿宋"/>
                <w:sz w:val="24"/>
              </w:rPr>
              <w:t>7.2.1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jc w:val="center"/>
        </w:trPr>
        <w:tc>
          <w:tcPr>
            <w:tcW w:w="798"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2</w:t>
            </w:r>
          </w:p>
        </w:tc>
        <w:tc>
          <w:tcPr>
            <w:tcW w:w="2072"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制动性能(干态)</w:t>
            </w:r>
          </w:p>
        </w:tc>
        <w:tc>
          <w:tcPr>
            <w:tcW w:w="2984" w:type="dxa"/>
            <w:tcBorders>
              <w:tl2br w:val="nil"/>
              <w:tr2bl w:val="nil"/>
            </w:tcBorders>
            <w:vAlign w:val="center"/>
          </w:tcPr>
          <w:p>
            <w:pPr>
              <w:ind w:left="210"/>
              <w:jc w:val="center"/>
              <w:rPr>
                <w:rFonts w:ascii="仿宋" w:hAnsi="仿宋" w:eastAsia="仿宋" w:cs="仿宋"/>
                <w:sz w:val="24"/>
              </w:rPr>
            </w:pPr>
            <w:r>
              <w:rPr>
                <w:rFonts w:hint="eastAsia" w:ascii="仿宋" w:hAnsi="仿宋" w:eastAsia="仿宋" w:cs="仿宋"/>
                <w:sz w:val="24"/>
              </w:rPr>
              <w:t>GB 17761-2018</w:t>
            </w:r>
          </w:p>
          <w:p>
            <w:pPr>
              <w:ind w:left="210"/>
              <w:jc w:val="center"/>
              <w:rPr>
                <w:rFonts w:ascii="仿宋" w:hAnsi="仿宋" w:eastAsia="仿宋" w:cs="仿宋"/>
                <w:sz w:val="24"/>
              </w:rPr>
            </w:pPr>
            <w:r>
              <w:rPr>
                <w:rFonts w:hint="eastAsia" w:ascii="仿宋" w:hAnsi="仿宋" w:eastAsia="仿宋" w:cs="仿宋"/>
                <w:sz w:val="24"/>
              </w:rPr>
              <w:t>6.1.2</w:t>
            </w:r>
          </w:p>
        </w:tc>
        <w:tc>
          <w:tcPr>
            <w:tcW w:w="2835" w:type="dxa"/>
            <w:tcBorders>
              <w:tl2br w:val="nil"/>
              <w:tr2bl w:val="nil"/>
            </w:tcBorders>
            <w:vAlign w:val="center"/>
          </w:tcPr>
          <w:p>
            <w:pPr>
              <w:ind w:left="210"/>
              <w:jc w:val="center"/>
              <w:rPr>
                <w:rFonts w:ascii="仿宋" w:hAnsi="仿宋" w:eastAsia="仿宋" w:cs="仿宋"/>
                <w:sz w:val="24"/>
              </w:rPr>
            </w:pPr>
            <w:r>
              <w:rPr>
                <w:rFonts w:hint="eastAsia" w:ascii="仿宋" w:hAnsi="仿宋" w:eastAsia="仿宋" w:cs="仿宋"/>
                <w:sz w:val="24"/>
              </w:rPr>
              <w:t>GB 17761-2018</w:t>
            </w:r>
          </w:p>
          <w:p>
            <w:pPr>
              <w:ind w:left="210"/>
              <w:jc w:val="center"/>
              <w:rPr>
                <w:rFonts w:ascii="仿宋" w:hAnsi="仿宋" w:eastAsia="仿宋" w:cs="仿宋"/>
                <w:sz w:val="24"/>
              </w:rPr>
            </w:pPr>
            <w:r>
              <w:rPr>
                <w:rFonts w:hint="eastAsia" w:ascii="仿宋" w:hAnsi="仿宋" w:eastAsia="仿宋" w:cs="仿宋"/>
                <w:sz w:val="24"/>
              </w:rPr>
              <w:t>7.2.2（GB 3565-2005）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jc w:val="center"/>
        </w:trPr>
        <w:tc>
          <w:tcPr>
            <w:tcW w:w="798"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3</w:t>
            </w:r>
          </w:p>
        </w:tc>
        <w:tc>
          <w:tcPr>
            <w:tcW w:w="2072"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整车质量</w:t>
            </w:r>
          </w:p>
        </w:tc>
        <w:tc>
          <w:tcPr>
            <w:tcW w:w="2984" w:type="dxa"/>
            <w:tcBorders>
              <w:tl2br w:val="nil"/>
              <w:tr2bl w:val="nil"/>
            </w:tcBorders>
            <w:vAlign w:val="center"/>
          </w:tcPr>
          <w:p>
            <w:pPr>
              <w:ind w:left="210"/>
              <w:jc w:val="center"/>
              <w:rPr>
                <w:rFonts w:ascii="仿宋" w:hAnsi="仿宋" w:eastAsia="仿宋" w:cs="仿宋"/>
                <w:sz w:val="24"/>
              </w:rPr>
            </w:pPr>
            <w:r>
              <w:rPr>
                <w:rFonts w:hint="eastAsia" w:ascii="仿宋" w:hAnsi="仿宋" w:eastAsia="仿宋" w:cs="仿宋"/>
                <w:sz w:val="24"/>
              </w:rPr>
              <w:t>GB 17761-2018</w:t>
            </w:r>
          </w:p>
          <w:p>
            <w:pPr>
              <w:ind w:left="210"/>
              <w:jc w:val="center"/>
              <w:rPr>
                <w:rFonts w:ascii="仿宋" w:hAnsi="仿宋" w:eastAsia="仿宋" w:cs="仿宋"/>
                <w:sz w:val="24"/>
              </w:rPr>
            </w:pPr>
            <w:r>
              <w:rPr>
                <w:rFonts w:hint="eastAsia" w:ascii="仿宋" w:hAnsi="仿宋" w:eastAsia="仿宋" w:cs="仿宋"/>
                <w:sz w:val="24"/>
              </w:rPr>
              <w:t>6.1.3</w:t>
            </w:r>
          </w:p>
        </w:tc>
        <w:tc>
          <w:tcPr>
            <w:tcW w:w="2835" w:type="dxa"/>
            <w:tcBorders>
              <w:tl2br w:val="nil"/>
              <w:tr2bl w:val="nil"/>
            </w:tcBorders>
            <w:vAlign w:val="center"/>
          </w:tcPr>
          <w:p>
            <w:pPr>
              <w:ind w:left="210"/>
              <w:jc w:val="center"/>
              <w:rPr>
                <w:rFonts w:ascii="仿宋" w:hAnsi="仿宋" w:eastAsia="仿宋" w:cs="仿宋"/>
                <w:sz w:val="24"/>
              </w:rPr>
            </w:pPr>
            <w:r>
              <w:rPr>
                <w:rFonts w:hint="eastAsia" w:ascii="仿宋" w:hAnsi="仿宋" w:eastAsia="仿宋" w:cs="仿宋"/>
                <w:sz w:val="24"/>
              </w:rPr>
              <w:t>GB 17761-2018</w:t>
            </w:r>
          </w:p>
          <w:p>
            <w:pPr>
              <w:snapToGrid w:val="0"/>
              <w:ind w:left="210"/>
              <w:jc w:val="center"/>
              <w:rPr>
                <w:rFonts w:ascii="仿宋" w:hAnsi="仿宋" w:eastAsia="仿宋" w:cs="仿宋"/>
                <w:sz w:val="24"/>
              </w:rPr>
            </w:pPr>
            <w:r>
              <w:rPr>
                <w:rFonts w:hint="eastAsia" w:ascii="仿宋" w:hAnsi="仿宋" w:eastAsia="仿宋" w:cs="仿宋"/>
                <w:sz w:val="24"/>
              </w:rPr>
              <w:t>7.2.3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jc w:val="center"/>
        </w:trPr>
        <w:tc>
          <w:tcPr>
            <w:tcW w:w="798"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4</w:t>
            </w:r>
          </w:p>
        </w:tc>
        <w:tc>
          <w:tcPr>
            <w:tcW w:w="2072"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结构</w:t>
            </w:r>
          </w:p>
        </w:tc>
        <w:tc>
          <w:tcPr>
            <w:tcW w:w="2984" w:type="dxa"/>
            <w:tcBorders>
              <w:tl2br w:val="nil"/>
              <w:tr2bl w:val="nil"/>
            </w:tcBorders>
            <w:vAlign w:val="center"/>
          </w:tcPr>
          <w:p>
            <w:pPr>
              <w:ind w:left="210"/>
              <w:jc w:val="center"/>
              <w:rPr>
                <w:rFonts w:ascii="仿宋" w:hAnsi="仿宋" w:eastAsia="仿宋" w:cs="仿宋"/>
                <w:sz w:val="24"/>
              </w:rPr>
            </w:pPr>
            <w:r>
              <w:rPr>
                <w:rFonts w:hint="eastAsia" w:ascii="仿宋" w:hAnsi="仿宋" w:eastAsia="仿宋" w:cs="仿宋"/>
                <w:sz w:val="24"/>
              </w:rPr>
              <w:t>GB 17761-2018</w:t>
            </w:r>
          </w:p>
          <w:p>
            <w:pPr>
              <w:ind w:left="210"/>
              <w:jc w:val="center"/>
              <w:rPr>
                <w:rFonts w:ascii="仿宋" w:hAnsi="仿宋" w:eastAsia="仿宋" w:cs="仿宋"/>
                <w:sz w:val="24"/>
              </w:rPr>
            </w:pPr>
            <w:r>
              <w:rPr>
                <w:rFonts w:hint="eastAsia" w:ascii="仿宋" w:hAnsi="仿宋" w:eastAsia="仿宋" w:cs="仿宋"/>
                <w:sz w:val="24"/>
              </w:rPr>
              <w:t>6.1.6</w:t>
            </w:r>
          </w:p>
        </w:tc>
        <w:tc>
          <w:tcPr>
            <w:tcW w:w="2835" w:type="dxa"/>
            <w:tcBorders>
              <w:tl2br w:val="nil"/>
              <w:tr2bl w:val="nil"/>
            </w:tcBorders>
            <w:vAlign w:val="center"/>
          </w:tcPr>
          <w:p>
            <w:pPr>
              <w:ind w:left="210"/>
              <w:jc w:val="center"/>
              <w:rPr>
                <w:rFonts w:ascii="仿宋" w:hAnsi="仿宋" w:eastAsia="仿宋" w:cs="仿宋"/>
                <w:sz w:val="24"/>
              </w:rPr>
            </w:pPr>
            <w:r>
              <w:rPr>
                <w:rFonts w:hint="eastAsia" w:ascii="仿宋" w:hAnsi="仿宋" w:eastAsia="仿宋" w:cs="仿宋"/>
                <w:sz w:val="24"/>
              </w:rPr>
              <w:t>GB 17761-2018</w:t>
            </w:r>
          </w:p>
          <w:p>
            <w:pPr>
              <w:ind w:left="210"/>
              <w:jc w:val="center"/>
              <w:rPr>
                <w:rFonts w:ascii="仿宋" w:hAnsi="仿宋" w:eastAsia="仿宋" w:cs="仿宋"/>
                <w:sz w:val="24"/>
              </w:rPr>
            </w:pPr>
            <w:r>
              <w:rPr>
                <w:rFonts w:hint="eastAsia" w:ascii="仿宋" w:hAnsi="仿宋" w:eastAsia="仿宋" w:cs="仿宋"/>
                <w:sz w:val="24"/>
              </w:rPr>
              <w:t>7.2.6（GB 3565-2005）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jc w:val="center"/>
        </w:trPr>
        <w:tc>
          <w:tcPr>
            <w:tcW w:w="798"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5</w:t>
            </w:r>
          </w:p>
        </w:tc>
        <w:tc>
          <w:tcPr>
            <w:tcW w:w="2072"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车速提示音</w:t>
            </w:r>
          </w:p>
        </w:tc>
        <w:tc>
          <w:tcPr>
            <w:tcW w:w="2984" w:type="dxa"/>
            <w:tcBorders>
              <w:tl2br w:val="nil"/>
              <w:tr2bl w:val="nil"/>
            </w:tcBorders>
            <w:vAlign w:val="center"/>
          </w:tcPr>
          <w:p>
            <w:pPr>
              <w:ind w:left="210"/>
              <w:jc w:val="center"/>
              <w:rPr>
                <w:rFonts w:ascii="仿宋" w:hAnsi="仿宋" w:eastAsia="仿宋" w:cs="仿宋"/>
                <w:sz w:val="24"/>
              </w:rPr>
            </w:pPr>
            <w:r>
              <w:rPr>
                <w:rFonts w:hint="eastAsia" w:ascii="仿宋" w:hAnsi="仿宋" w:eastAsia="仿宋" w:cs="仿宋"/>
                <w:sz w:val="24"/>
              </w:rPr>
              <w:t>GB 17761-2018</w:t>
            </w:r>
          </w:p>
          <w:p>
            <w:pPr>
              <w:ind w:left="210"/>
              <w:jc w:val="center"/>
              <w:rPr>
                <w:rFonts w:ascii="仿宋" w:hAnsi="仿宋" w:eastAsia="仿宋" w:cs="仿宋"/>
                <w:sz w:val="24"/>
              </w:rPr>
            </w:pPr>
            <w:r>
              <w:rPr>
                <w:rFonts w:hint="eastAsia" w:ascii="仿宋" w:hAnsi="仿宋" w:eastAsia="仿宋" w:cs="仿宋"/>
                <w:sz w:val="24"/>
              </w:rPr>
              <w:t>6.1.7</w:t>
            </w:r>
          </w:p>
        </w:tc>
        <w:tc>
          <w:tcPr>
            <w:tcW w:w="2835" w:type="dxa"/>
            <w:tcBorders>
              <w:tl2br w:val="nil"/>
              <w:tr2bl w:val="nil"/>
            </w:tcBorders>
            <w:vAlign w:val="center"/>
          </w:tcPr>
          <w:p>
            <w:pPr>
              <w:ind w:left="210"/>
              <w:jc w:val="center"/>
              <w:rPr>
                <w:rFonts w:ascii="仿宋" w:hAnsi="仿宋" w:eastAsia="仿宋" w:cs="仿宋"/>
                <w:sz w:val="24"/>
              </w:rPr>
            </w:pPr>
            <w:r>
              <w:rPr>
                <w:rFonts w:hint="eastAsia" w:ascii="仿宋" w:hAnsi="仿宋" w:eastAsia="仿宋" w:cs="仿宋"/>
                <w:sz w:val="24"/>
              </w:rPr>
              <w:t>GB 17761-2018</w:t>
            </w:r>
          </w:p>
          <w:p>
            <w:pPr>
              <w:ind w:left="210"/>
              <w:jc w:val="center"/>
              <w:rPr>
                <w:rFonts w:ascii="仿宋" w:hAnsi="仿宋" w:eastAsia="仿宋" w:cs="仿宋"/>
                <w:sz w:val="24"/>
              </w:rPr>
            </w:pPr>
            <w:r>
              <w:rPr>
                <w:rFonts w:hint="eastAsia" w:ascii="仿宋" w:hAnsi="仿宋" w:eastAsia="仿宋" w:cs="仿宋"/>
                <w:sz w:val="24"/>
              </w:rPr>
              <w:t>7.2.7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jc w:val="center"/>
        </w:trPr>
        <w:tc>
          <w:tcPr>
            <w:tcW w:w="798"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6</w:t>
            </w:r>
          </w:p>
        </w:tc>
        <w:tc>
          <w:tcPr>
            <w:tcW w:w="2072"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淋水涉水性能</w:t>
            </w:r>
          </w:p>
        </w:tc>
        <w:tc>
          <w:tcPr>
            <w:tcW w:w="2984" w:type="dxa"/>
            <w:tcBorders>
              <w:tl2br w:val="nil"/>
              <w:tr2bl w:val="nil"/>
            </w:tcBorders>
            <w:vAlign w:val="center"/>
          </w:tcPr>
          <w:p>
            <w:pPr>
              <w:ind w:left="210"/>
              <w:jc w:val="center"/>
              <w:rPr>
                <w:rFonts w:ascii="仿宋" w:hAnsi="仿宋" w:eastAsia="仿宋" w:cs="仿宋"/>
                <w:sz w:val="24"/>
              </w:rPr>
            </w:pPr>
            <w:r>
              <w:rPr>
                <w:rFonts w:hint="eastAsia" w:ascii="仿宋" w:hAnsi="仿宋" w:eastAsia="仿宋" w:cs="仿宋"/>
                <w:sz w:val="24"/>
              </w:rPr>
              <w:t>GB 17761-2018</w:t>
            </w:r>
          </w:p>
          <w:p>
            <w:pPr>
              <w:ind w:left="210"/>
              <w:jc w:val="center"/>
              <w:rPr>
                <w:rFonts w:ascii="仿宋" w:hAnsi="仿宋" w:eastAsia="仿宋" w:cs="仿宋"/>
                <w:sz w:val="24"/>
              </w:rPr>
            </w:pPr>
            <w:r>
              <w:rPr>
                <w:rFonts w:hint="eastAsia" w:ascii="仿宋" w:hAnsi="仿宋" w:eastAsia="仿宋" w:cs="仿宋"/>
                <w:sz w:val="24"/>
              </w:rPr>
              <w:t>6.1.8</w:t>
            </w:r>
          </w:p>
        </w:tc>
        <w:tc>
          <w:tcPr>
            <w:tcW w:w="2835" w:type="dxa"/>
            <w:tcBorders>
              <w:tl2br w:val="nil"/>
              <w:tr2bl w:val="nil"/>
            </w:tcBorders>
            <w:vAlign w:val="center"/>
          </w:tcPr>
          <w:p>
            <w:pPr>
              <w:ind w:left="210"/>
              <w:jc w:val="center"/>
              <w:rPr>
                <w:rFonts w:ascii="仿宋" w:hAnsi="仿宋" w:eastAsia="仿宋" w:cs="仿宋"/>
                <w:sz w:val="24"/>
              </w:rPr>
            </w:pPr>
            <w:r>
              <w:rPr>
                <w:rFonts w:hint="eastAsia" w:ascii="仿宋" w:hAnsi="仿宋" w:eastAsia="仿宋" w:cs="仿宋"/>
                <w:sz w:val="24"/>
              </w:rPr>
              <w:t>GB 17761-2018</w:t>
            </w:r>
          </w:p>
          <w:p>
            <w:pPr>
              <w:ind w:left="210"/>
              <w:jc w:val="center"/>
              <w:rPr>
                <w:rFonts w:ascii="仿宋" w:hAnsi="仿宋" w:eastAsia="仿宋" w:cs="仿宋"/>
                <w:sz w:val="24"/>
              </w:rPr>
            </w:pPr>
            <w:r>
              <w:rPr>
                <w:rFonts w:hint="eastAsia" w:ascii="仿宋" w:hAnsi="仿宋" w:eastAsia="仿宋" w:cs="仿宋"/>
                <w:sz w:val="24"/>
              </w:rPr>
              <w:t>7.2.8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jc w:val="center"/>
        </w:trPr>
        <w:tc>
          <w:tcPr>
            <w:tcW w:w="798"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7</w:t>
            </w:r>
          </w:p>
        </w:tc>
        <w:tc>
          <w:tcPr>
            <w:tcW w:w="2072"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反射器、照明和鸣号装置</w:t>
            </w:r>
          </w:p>
        </w:tc>
        <w:tc>
          <w:tcPr>
            <w:tcW w:w="2984"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GB 17761-2018  6.2.3</w:t>
            </w:r>
          </w:p>
        </w:tc>
        <w:tc>
          <w:tcPr>
            <w:tcW w:w="2835"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GB 17761-2018  7.3.3</w:t>
            </w:r>
          </w:p>
          <w:p>
            <w:pPr>
              <w:jc w:val="center"/>
              <w:rPr>
                <w:rFonts w:ascii="仿宋" w:hAnsi="仿宋" w:eastAsia="仿宋" w:cs="仿宋"/>
                <w:sz w:val="24"/>
              </w:rPr>
            </w:pPr>
            <w:r>
              <w:rPr>
                <w:rFonts w:hint="eastAsia" w:ascii="仿宋" w:hAnsi="仿宋" w:eastAsia="仿宋" w:cs="仿宋"/>
                <w:sz w:val="24"/>
              </w:rPr>
              <w:t>GB/T 31887.1-2019</w:t>
            </w:r>
          </w:p>
          <w:p>
            <w:pPr>
              <w:jc w:val="center"/>
              <w:rPr>
                <w:rFonts w:ascii="仿宋" w:hAnsi="仿宋" w:eastAsia="仿宋" w:cs="仿宋"/>
                <w:sz w:val="24"/>
              </w:rPr>
            </w:pPr>
            <w:r>
              <w:rPr>
                <w:rFonts w:hint="eastAsia" w:ascii="仿宋" w:hAnsi="仿宋" w:eastAsia="仿宋" w:cs="仿宋"/>
                <w:sz w:val="24"/>
              </w:rPr>
              <w:t>GB/T 31887.2-2019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jc w:val="center"/>
        </w:trPr>
        <w:tc>
          <w:tcPr>
            <w:tcW w:w="798"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8</w:t>
            </w:r>
          </w:p>
        </w:tc>
        <w:tc>
          <w:tcPr>
            <w:tcW w:w="2072"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电气装置</w:t>
            </w:r>
          </w:p>
        </w:tc>
        <w:tc>
          <w:tcPr>
            <w:tcW w:w="2984" w:type="dxa"/>
            <w:tcBorders>
              <w:tl2br w:val="nil"/>
              <w:tr2bl w:val="nil"/>
            </w:tcBorders>
            <w:vAlign w:val="center"/>
          </w:tcPr>
          <w:p>
            <w:pPr>
              <w:ind w:left="210"/>
              <w:jc w:val="center"/>
              <w:rPr>
                <w:rFonts w:ascii="仿宋" w:hAnsi="仿宋" w:eastAsia="仿宋" w:cs="仿宋"/>
                <w:sz w:val="24"/>
              </w:rPr>
            </w:pPr>
            <w:r>
              <w:rPr>
                <w:rFonts w:hint="eastAsia" w:ascii="仿宋" w:hAnsi="仿宋" w:eastAsia="仿宋" w:cs="仿宋"/>
                <w:sz w:val="24"/>
              </w:rPr>
              <w:t>GB 17761-2018</w:t>
            </w:r>
          </w:p>
          <w:p>
            <w:pPr>
              <w:ind w:left="210"/>
              <w:jc w:val="center"/>
              <w:rPr>
                <w:rFonts w:ascii="仿宋" w:hAnsi="仿宋" w:eastAsia="仿宋" w:cs="仿宋"/>
                <w:sz w:val="24"/>
              </w:rPr>
            </w:pPr>
            <w:r>
              <w:rPr>
                <w:rFonts w:hint="eastAsia" w:ascii="仿宋" w:hAnsi="仿宋" w:eastAsia="仿宋" w:cs="仿宋"/>
                <w:sz w:val="24"/>
              </w:rPr>
              <w:t>6.3.1</w:t>
            </w:r>
          </w:p>
        </w:tc>
        <w:tc>
          <w:tcPr>
            <w:tcW w:w="2835" w:type="dxa"/>
            <w:tcBorders>
              <w:tl2br w:val="nil"/>
              <w:tr2bl w:val="nil"/>
            </w:tcBorders>
            <w:vAlign w:val="center"/>
          </w:tcPr>
          <w:p>
            <w:pPr>
              <w:ind w:left="210"/>
              <w:jc w:val="center"/>
              <w:rPr>
                <w:rFonts w:ascii="仿宋" w:hAnsi="仿宋" w:eastAsia="仿宋" w:cs="仿宋"/>
                <w:sz w:val="24"/>
              </w:rPr>
            </w:pPr>
            <w:r>
              <w:rPr>
                <w:rFonts w:hint="eastAsia" w:ascii="仿宋" w:hAnsi="仿宋" w:eastAsia="仿宋" w:cs="仿宋"/>
                <w:sz w:val="24"/>
              </w:rPr>
              <w:t>GB 17761-2018</w:t>
            </w:r>
          </w:p>
          <w:p>
            <w:pPr>
              <w:ind w:left="210"/>
              <w:jc w:val="center"/>
              <w:rPr>
                <w:rFonts w:ascii="仿宋" w:hAnsi="仿宋" w:eastAsia="仿宋" w:cs="仿宋"/>
                <w:sz w:val="24"/>
              </w:rPr>
            </w:pPr>
            <w:r>
              <w:rPr>
                <w:rFonts w:hint="eastAsia" w:ascii="仿宋" w:hAnsi="仿宋" w:eastAsia="仿宋" w:cs="仿宋"/>
                <w:sz w:val="24"/>
              </w:rPr>
              <w:t>7.4.1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jc w:val="center"/>
        </w:trPr>
        <w:tc>
          <w:tcPr>
            <w:tcW w:w="798"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9</w:t>
            </w:r>
          </w:p>
        </w:tc>
        <w:tc>
          <w:tcPr>
            <w:tcW w:w="2072"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充电器与蓄电池</w:t>
            </w:r>
          </w:p>
        </w:tc>
        <w:tc>
          <w:tcPr>
            <w:tcW w:w="2984" w:type="dxa"/>
            <w:tcBorders>
              <w:tl2br w:val="nil"/>
              <w:tr2bl w:val="nil"/>
            </w:tcBorders>
            <w:vAlign w:val="center"/>
          </w:tcPr>
          <w:p>
            <w:pPr>
              <w:ind w:left="210"/>
              <w:jc w:val="center"/>
              <w:rPr>
                <w:rFonts w:ascii="仿宋" w:hAnsi="仿宋" w:eastAsia="仿宋" w:cs="仿宋"/>
                <w:sz w:val="24"/>
              </w:rPr>
            </w:pPr>
            <w:r>
              <w:rPr>
                <w:rFonts w:hint="eastAsia" w:ascii="仿宋" w:hAnsi="仿宋" w:eastAsia="仿宋" w:cs="仿宋"/>
                <w:sz w:val="24"/>
              </w:rPr>
              <w:t>GB 17761-2018</w:t>
            </w:r>
          </w:p>
          <w:p>
            <w:pPr>
              <w:ind w:left="210"/>
              <w:jc w:val="center"/>
              <w:rPr>
                <w:rFonts w:ascii="仿宋" w:hAnsi="仿宋" w:eastAsia="仿宋" w:cs="仿宋"/>
                <w:sz w:val="24"/>
              </w:rPr>
            </w:pPr>
            <w:r>
              <w:rPr>
                <w:rFonts w:hint="eastAsia" w:ascii="仿宋" w:hAnsi="仿宋" w:eastAsia="仿宋" w:cs="仿宋"/>
                <w:sz w:val="24"/>
              </w:rPr>
              <w:t>6.3.4</w:t>
            </w:r>
          </w:p>
        </w:tc>
        <w:tc>
          <w:tcPr>
            <w:tcW w:w="2835" w:type="dxa"/>
            <w:tcBorders>
              <w:tl2br w:val="nil"/>
              <w:tr2bl w:val="nil"/>
            </w:tcBorders>
            <w:vAlign w:val="center"/>
          </w:tcPr>
          <w:p>
            <w:pPr>
              <w:ind w:left="210"/>
              <w:jc w:val="center"/>
              <w:rPr>
                <w:rFonts w:ascii="仿宋" w:hAnsi="仿宋" w:eastAsia="仿宋" w:cs="仿宋"/>
                <w:sz w:val="24"/>
              </w:rPr>
            </w:pPr>
            <w:r>
              <w:rPr>
                <w:rFonts w:hint="eastAsia" w:ascii="仿宋" w:hAnsi="仿宋" w:eastAsia="仿宋" w:cs="仿宋"/>
                <w:sz w:val="24"/>
              </w:rPr>
              <w:t>GB 17761-2018</w:t>
            </w:r>
          </w:p>
          <w:p>
            <w:pPr>
              <w:ind w:left="210"/>
              <w:jc w:val="center"/>
              <w:rPr>
                <w:rFonts w:ascii="仿宋" w:hAnsi="仿宋" w:eastAsia="仿宋" w:cs="仿宋"/>
                <w:sz w:val="24"/>
              </w:rPr>
            </w:pPr>
            <w:r>
              <w:rPr>
                <w:rFonts w:hint="eastAsia" w:ascii="仿宋" w:hAnsi="仿宋" w:eastAsia="仿宋" w:cs="仿宋"/>
                <w:sz w:val="24"/>
              </w:rPr>
              <w:t>7.4.4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jc w:val="center"/>
        </w:trPr>
        <w:tc>
          <w:tcPr>
            <w:tcW w:w="798"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10</w:t>
            </w:r>
          </w:p>
        </w:tc>
        <w:tc>
          <w:tcPr>
            <w:tcW w:w="2072"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防火性能</w:t>
            </w:r>
          </w:p>
        </w:tc>
        <w:tc>
          <w:tcPr>
            <w:tcW w:w="2984"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GB 17761-2018</w:t>
            </w:r>
          </w:p>
          <w:p>
            <w:pPr>
              <w:jc w:val="center"/>
              <w:rPr>
                <w:rFonts w:ascii="仿宋" w:hAnsi="仿宋" w:eastAsia="仿宋" w:cs="仿宋"/>
                <w:sz w:val="24"/>
              </w:rPr>
            </w:pPr>
            <w:r>
              <w:rPr>
                <w:rFonts w:hint="eastAsia" w:ascii="仿宋" w:hAnsi="仿宋" w:eastAsia="仿宋" w:cs="仿宋"/>
                <w:sz w:val="24"/>
              </w:rPr>
              <w:t>6.4</w:t>
            </w:r>
          </w:p>
        </w:tc>
        <w:tc>
          <w:tcPr>
            <w:tcW w:w="2835"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GB 17761-2018</w:t>
            </w:r>
          </w:p>
          <w:p>
            <w:pPr>
              <w:jc w:val="center"/>
              <w:rPr>
                <w:rFonts w:ascii="仿宋" w:hAnsi="仿宋" w:eastAsia="仿宋" w:cs="仿宋"/>
                <w:sz w:val="24"/>
              </w:rPr>
            </w:pPr>
            <w:r>
              <w:rPr>
                <w:rFonts w:hint="eastAsia" w:ascii="仿宋" w:hAnsi="仿宋" w:eastAsia="仿宋" w:cs="仿宋"/>
                <w:sz w:val="24"/>
              </w:rPr>
              <w:t>7.5（GB/T 5169.11-2017）</w:t>
            </w:r>
          </w:p>
        </w:tc>
      </w:tr>
    </w:tbl>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pPr>
        <w:spacing w:line="580" w:lineRule="exact"/>
        <w:ind w:firstLine="560"/>
        <w:rPr>
          <w:rFonts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4.判定规则</w:t>
      </w:r>
    </w:p>
    <w:p>
      <w:pPr>
        <w:widowControl/>
        <w:spacing w:line="560" w:lineRule="exact"/>
        <w:ind w:firstLine="643" w:firstLineChars="200"/>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4.1依据标准</w:t>
      </w:r>
    </w:p>
    <w:p>
      <w:pPr>
        <w:widowControl/>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17761-2018《电动自行车安全技术规范》</w:t>
      </w:r>
    </w:p>
    <w:p>
      <w:pPr>
        <w:widowControl/>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pPr>
        <w:widowControl/>
        <w:spacing w:line="560" w:lineRule="exact"/>
        <w:ind w:firstLine="643" w:firstLineChars="200"/>
        <w:jc w:val="left"/>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4.2 判定原则</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经检验，检验项目全部合格，判定为被抽查产品未发现不合格；检验项目中任一项或一项以上不合格，判定为被抽查产品不合格。</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pPr>
        <w:widowControl/>
        <w:spacing w:line="580" w:lineRule="exact"/>
        <w:ind w:firstLine="640" w:firstLineChars="200"/>
        <w:rPr>
          <w:rFonts w:ascii="仿宋" w:hAnsi="仿宋" w:eastAsia="仿宋" w:cs="仿宋"/>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5.异议处理</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5.1</w:t>
      </w:r>
      <w:r>
        <w:rPr>
          <w:rFonts w:ascii="Times New Roman" w:hAnsi="Times New Roman" w:eastAsia="方正仿宋_GBK"/>
          <w:sz w:val="32"/>
          <w:szCs w:val="32"/>
        </w:rPr>
        <w:t>对监督抽查程序有异议的，由任务下达部门核查相关证据后维持或者撤销原检验结果</w:t>
      </w:r>
      <w:r>
        <w:rPr>
          <w:rFonts w:hint="eastAsia" w:ascii="Times New Roman" w:hAnsi="Times New Roman" w:eastAsia="方正仿宋_GBK"/>
          <w:sz w:val="32"/>
          <w:szCs w:val="32"/>
        </w:rPr>
        <w:t>。</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5.2</w:t>
      </w:r>
      <w:r>
        <w:rPr>
          <w:rFonts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widowControl/>
        <w:numPr>
          <w:ilvl w:val="255"/>
          <w:numId w:val="0"/>
        </w:numPr>
        <w:spacing w:line="560" w:lineRule="exact"/>
        <w:ind w:firstLine="640" w:firstLineChars="200"/>
        <w:rPr>
          <w:rFonts w:ascii="仿宋" w:hAnsi="仿宋" w:eastAsia="仿宋" w:cs="仿宋"/>
          <w:sz w:val="32"/>
          <w:szCs w:val="32"/>
        </w:rPr>
      </w:pPr>
      <w:r>
        <w:rPr>
          <w:rFonts w:hint="eastAsia" w:ascii="Times New Roman" w:hAnsi="Times New Roman" w:eastAsia="方正仿宋_GBK"/>
          <w:sz w:val="32"/>
          <w:szCs w:val="32"/>
        </w:rPr>
        <w:t>5.3</w:t>
      </w:r>
      <w:r>
        <w:rPr>
          <w:rFonts w:ascii="Times New Roman" w:hAnsi="Times New Roman" w:eastAsia="方正仿宋_GBK"/>
          <w:sz w:val="32"/>
          <w:szCs w:val="32"/>
        </w:rPr>
        <w:t>对样品信息有异议的，任务下达部门核查样品确认情况和生产企业提交证明材料后，维持或者撤销原检验结果。</w:t>
      </w:r>
    </w:p>
    <w:sectPr>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Cambria">
    <w:altName w:val="苹方-简"/>
    <w:panose1 w:val="02040503050406030204"/>
    <w:charset w:val="00"/>
    <w:family w:val="roman"/>
    <w:pitch w:val="default"/>
    <w:sig w:usb0="00000000" w:usb1="00000000" w:usb2="00000000" w:usb3="00000000" w:csb0="0000019F" w:csb1="00000000"/>
  </w:font>
  <w:font w:name="苹方-简">
    <w:panose1 w:val="020B0400000000000000"/>
    <w:charset w:val="86"/>
    <w:family w:val="auto"/>
    <w:pitch w:val="default"/>
    <w:sig w:usb0="00000000" w:usb1="00000000" w:usb2="00000000" w:usb3="00000000" w:csb0="00160000" w:csb1="00000000"/>
  </w:font>
  <w:font w:name="Verdana">
    <w:panose1 w:val="020B0604030504040204"/>
    <w:charset w:val="00"/>
    <w:family w:val="swiss"/>
    <w:pitch w:val="default"/>
    <w:sig w:usb0="00000000" w:usb1="00000000" w:usb2="00000000" w:usb3="00000000" w:csb0="00000000" w:csb1="00000000"/>
  </w:font>
  <w:font w:name="方正小标宋_GBK">
    <w:altName w:val="汉仪书宋二KW"/>
    <w:panose1 w:val="00000000000000000000"/>
    <w:charset w:val="86"/>
    <w:family w:val="auto"/>
    <w:pitch w:val="default"/>
    <w:sig w:usb0="00000000" w:usb1="00000000" w:usb2="00082016" w:usb3="00000000" w:csb0="00040001" w:csb1="00000000"/>
  </w:font>
  <w:font w:name="汉仪中黑KW">
    <w:panose1 w:val="00020600040101010101"/>
    <w:charset w:val="86"/>
    <w:family w:val="auto"/>
    <w:pitch w:val="default"/>
    <w:sig w:usb0="00000000" w:usb1="00000000" w:usb2="00000000" w:usb3="00000000" w:csb0="0016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仿宋">
    <w:altName w:val="方正仿宋_GBK"/>
    <w:panose1 w:val="02010609060101010101"/>
    <w:charset w:val="00"/>
    <w:family w:val="modern"/>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C2539A"/>
    <w:multiLevelType w:val="multilevel"/>
    <w:tmpl w:val="45C2539A"/>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00A56619"/>
    <w:rsid w:val="004106F4"/>
    <w:rsid w:val="00534D73"/>
    <w:rsid w:val="006E0D79"/>
    <w:rsid w:val="00884306"/>
    <w:rsid w:val="009F6203"/>
    <w:rsid w:val="00A56619"/>
    <w:rsid w:val="00C70D49"/>
    <w:rsid w:val="00DB65D1"/>
    <w:rsid w:val="00E43AF1"/>
    <w:rsid w:val="00F9765A"/>
    <w:rsid w:val="03AF0443"/>
    <w:rsid w:val="2DE06E01"/>
    <w:rsid w:val="52A06E5D"/>
    <w:rsid w:val="64D77697"/>
    <w:rsid w:val="6CF9495E"/>
    <w:rsid w:val="6FAF355E"/>
    <w:rsid w:val="73B98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23"/>
    <w:qFormat/>
    <w:uiPriority w:val="0"/>
    <w:rPr>
      <w:rFonts w:ascii="宋体"/>
      <w:sz w:val="18"/>
      <w:szCs w:val="18"/>
    </w:rPr>
  </w:style>
  <w:style w:type="paragraph" w:styleId="4">
    <w:name w:val="annotation text"/>
    <w:basedOn w:val="1"/>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jc w:val="left"/>
    </w:pPr>
    <w:rPr>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0"/>
  </w:style>
  <w:style w:type="character" w:styleId="13">
    <w:name w:val="FollowedHyperlink"/>
    <w:basedOn w:val="11"/>
    <w:qFormat/>
    <w:uiPriority w:val="0"/>
    <w:rPr>
      <w:color w:val="00A7D8"/>
      <w:u w:val="none"/>
    </w:rPr>
  </w:style>
  <w:style w:type="character" w:styleId="14">
    <w:name w:val="Hyperlink"/>
    <w:basedOn w:val="11"/>
    <w:qFormat/>
    <w:uiPriority w:val="0"/>
    <w:rPr>
      <w:color w:val="444444"/>
      <w:u w:val="none"/>
    </w:rPr>
  </w:style>
  <w:style w:type="paragraph" w:styleId="15">
    <w:name w:val="List Paragraph"/>
    <w:basedOn w:val="1"/>
    <w:qFormat/>
    <w:uiPriority w:val="99"/>
    <w:pPr>
      <w:ind w:firstLine="420" w:firstLineChars="200"/>
    </w:pPr>
  </w:style>
  <w:style w:type="character" w:customStyle="1" w:styleId="16">
    <w:name w:val="批注框文本 Char"/>
    <w:link w:val="5"/>
    <w:qFormat/>
    <w:uiPriority w:val="0"/>
    <w:rPr>
      <w:kern w:val="2"/>
      <w:sz w:val="18"/>
      <w:szCs w:val="18"/>
    </w:rPr>
  </w:style>
  <w:style w:type="paragraph" w:customStyle="1" w:styleId="17">
    <w:name w:val="正文+宋体"/>
    <w:basedOn w:val="1"/>
    <w:qFormat/>
    <w:uiPriority w:val="0"/>
  </w:style>
  <w:style w:type="paragraph" w:customStyle="1" w:styleId="1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9">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20">
    <w:name w:val="Table Paragraph"/>
    <w:basedOn w:val="1"/>
    <w:qFormat/>
    <w:uiPriority w:val="1"/>
    <w:rPr>
      <w:rFonts w:ascii="宋体" w:hAnsi="宋体" w:cs="宋体"/>
      <w:lang w:val="zh-CN" w:bidi="zh-CN"/>
    </w:rPr>
  </w:style>
  <w:style w:type="paragraph" w:customStyle="1" w:styleId="21">
    <w:name w:val="段"/>
    <w:qFormat/>
    <w:uiPriority w:val="0"/>
    <w:pPr>
      <w:tabs>
        <w:tab w:val="center" w:pos="4201"/>
        <w:tab w:val="right" w:leader="dot" w:pos="9298"/>
      </w:tabs>
      <w:autoSpaceDE w:val="0"/>
      <w:autoSpaceDN w:val="0"/>
      <w:ind w:firstLine="420" w:firstLineChars="200"/>
      <w:jc w:val="both"/>
    </w:pPr>
    <w:rPr>
      <w:rFonts w:ascii="宋体" w:hAnsi="Calibri" w:eastAsia="Times New Roman" w:cs="Times New Roman"/>
      <w:sz w:val="21"/>
      <w:szCs w:val="22"/>
      <w:lang w:val="en-US" w:eastAsia="zh-CN" w:bidi="ar-SA"/>
    </w:rPr>
  </w:style>
  <w:style w:type="paragraph" w:customStyle="1" w:styleId="22">
    <w:name w:val="列出段落1"/>
    <w:basedOn w:val="1"/>
    <w:qFormat/>
    <w:uiPriority w:val="99"/>
    <w:pPr>
      <w:ind w:firstLine="420" w:firstLineChars="200"/>
    </w:pPr>
    <w:rPr>
      <w:sz w:val="24"/>
    </w:rPr>
  </w:style>
  <w:style w:type="character" w:customStyle="1" w:styleId="23">
    <w:name w:val="文档结构图 Char"/>
    <w:basedOn w:val="11"/>
    <w:link w:val="3"/>
    <w:qFormat/>
    <w:uiPriority w:val="0"/>
    <w:rPr>
      <w:rFonts w:ascii="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233</Words>
  <Characters>1332</Characters>
  <Lines>11</Lines>
  <Paragraphs>3</Paragraphs>
  <TotalTime>1</TotalTime>
  <ScaleCrop>false</ScaleCrop>
  <LinksUpToDate>false</LinksUpToDate>
  <CharactersWithSpaces>1562</CharactersWithSpaces>
  <Application>WPS Office_5.2.1.7798_F1E327BC-269C-435d-A152-05C5408002CA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2020-04-22T09:31:00Z</dcterms:created>
  <dc:creator>cj_wong</dc:creator>
  <cp:lastModifiedBy>姚晨阳</cp:lastModifiedBy>
  <cp:lastPrinted>2020-01-09T10:23:00Z</cp:lastPrinted>
  <dcterms:modified xsi:type="dcterms:W3CDTF">2023-06-17T21:23:24Z</dcterms:modified>
  <dc:title>XXXX年第X批风险监测实施方案</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2052-5.2.1.7798</vt:lpwstr>
  </property>
  <property fmtid="{D5CDD505-2E9C-101B-9397-08002B2CF9AE}" pid="3" name="ICV">
    <vt:lpwstr>3D71151C5D3A42C984566EC36F14ECF1</vt:lpwstr>
  </property>
</Properties>
</file>