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紫花苜蓿-青贮玉米</w:t>
      </w:r>
      <w:r>
        <w:rPr>
          <w:rFonts w:hint="eastAsia"/>
        </w:rPr>
        <w:t>周年</w:t>
      </w:r>
      <w:r>
        <w:t>轮作生产</w:t>
      </w:r>
    </w:p>
    <w:p>
      <w:pPr>
        <w:pStyle w:val="197"/>
        <w:framePr w:h="6974" w:hRule="exact" w:wrap="around" w:x="1419" w:anchorLock="1"/>
      </w:pPr>
      <w:r>
        <w:t>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xml:space="preserve">Technical regulation for annual rotation of alfalfa and </w:t>
      </w:r>
      <w:r>
        <w:rPr>
          <w:rFonts w:hint="eastAsia" w:eastAsia="黑体"/>
          <w:szCs w:val="28"/>
        </w:rPr>
        <w:t>s</w:t>
      </w:r>
      <w:r>
        <w:rPr>
          <w:rFonts w:eastAsia="黑体"/>
          <w:szCs w:val="28"/>
        </w:rPr>
        <w:t>ilage maize</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7"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"_Toc135641481" </w:instrText>
      </w:r>
      <w:r>
        <w:fldChar w:fldCharType="separate"/>
      </w:r>
      <w:r>
        <w:rPr>
          <w:rStyle w:val="32"/>
        </w:rPr>
        <w:t>前言</w:t>
      </w:r>
      <w:r>
        <w:tab/>
      </w:r>
      <w:r>
        <w:fldChar w:fldCharType="begin"/>
      </w:r>
      <w:r>
        <w:instrText xml:space="preserve"> PAGEREF _Toc135641481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"_Toc135641482" </w:instrText>
      </w:r>
      <w:r>
        <w:fldChar w:fldCharType="separate"/>
      </w:r>
      <w:r>
        <w:rPr>
          <w:rStyle w:val="32"/>
        </w:rPr>
        <w:t>1  范围</w:t>
      </w:r>
      <w:r>
        <w:tab/>
      </w:r>
      <w:r>
        <w:fldChar w:fldCharType="begin"/>
      </w:r>
      <w:r>
        <w:instrText xml:space="preserve"> PAGEREF _Toc135641482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"_Toc135641483" </w:instrText>
      </w:r>
      <w:r>
        <w:fldChar w:fldCharType="separate"/>
      </w:r>
      <w:r>
        <w:rPr>
          <w:rStyle w:val="32"/>
        </w:rPr>
        <w:t>2  规范性引用文件</w:t>
      </w:r>
      <w:r>
        <w:tab/>
      </w:r>
      <w:r>
        <w:fldChar w:fldCharType="begin"/>
      </w:r>
      <w:r>
        <w:instrText xml:space="preserve"> PAGEREF _Toc135641483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"_Toc135641484" </w:instrText>
      </w:r>
      <w:r>
        <w:fldChar w:fldCharType="separate"/>
      </w:r>
      <w:r>
        <w:rPr>
          <w:rStyle w:val="32"/>
        </w:rPr>
        <w:t>3  术语和定义</w:t>
      </w:r>
      <w:r>
        <w:tab/>
      </w:r>
      <w:r>
        <w:fldChar w:fldCharType="begin"/>
      </w:r>
      <w:r>
        <w:instrText xml:space="preserve"> PAGEREF _Toc135641484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"_Toc135641485" </w:instrText>
      </w:r>
      <w:r>
        <w:fldChar w:fldCharType="separate"/>
      </w:r>
      <w:r>
        <w:rPr>
          <w:rStyle w:val="32"/>
        </w:rPr>
        <w:t>4  基本要求</w:t>
      </w:r>
      <w:r>
        <w:tab/>
      </w:r>
      <w:r>
        <w:fldChar w:fldCharType="begin"/>
      </w:r>
      <w:r>
        <w:instrText xml:space="preserve"> PAGEREF _Toc135641485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"_Toc135641486" </w:instrText>
      </w:r>
      <w:r>
        <w:fldChar w:fldCharType="separate"/>
      </w:r>
      <w:r>
        <w:rPr>
          <w:rStyle w:val="32"/>
          <w14:scene3d w14:prst="orthographicFront">
            <w14:lightRig w14:rig="threePt" w14:dir="t">
              <w14:rot w14:lat="0" w14:lon="0" w14:rev="0"/>
            </w14:lightRig>
          </w14:scene3d>
        </w:rPr>
        <w:t xml:space="preserve">4.1 </w:t>
      </w:r>
      <w:r>
        <w:rPr>
          <w:rStyle w:val="32"/>
        </w:rPr>
        <w:t xml:space="preserve"> 品种选择</w:t>
      </w:r>
      <w:r>
        <w:tab/>
      </w:r>
      <w:r>
        <w:fldChar w:fldCharType="begin"/>
      </w:r>
      <w:r>
        <w:instrText xml:space="preserve"> PAGEREF _Toc135641486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"_Toc135641487" </w:instrText>
      </w:r>
      <w:r>
        <w:fldChar w:fldCharType="separate"/>
      </w:r>
      <w:r>
        <w:rPr>
          <w:rStyle w:val="32"/>
          <w14:scene3d w14:prst="orthographicFront">
            <w14:lightRig w14:rig="threePt" w14:dir="t">
              <w14:rot w14:lat="0" w14:lon="0" w14:rev="0"/>
            </w14:lightRig>
          </w14:scene3d>
        </w:rPr>
        <w:t xml:space="preserve">4.2 </w:t>
      </w:r>
      <w:r>
        <w:rPr>
          <w:rStyle w:val="32"/>
        </w:rPr>
        <w:t xml:space="preserve"> 产地环境</w:t>
      </w:r>
      <w:r>
        <w:tab/>
      </w:r>
      <w:r>
        <w:fldChar w:fldCharType="begin"/>
      </w:r>
      <w:r>
        <w:instrText xml:space="preserve"> PAGEREF _Toc135641487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"_Toc135641488" </w:instrText>
      </w:r>
      <w:r>
        <w:fldChar w:fldCharType="separate"/>
      </w:r>
      <w:r>
        <w:rPr>
          <w:rStyle w:val="32"/>
          <w14:scene3d w14:prst="orthographicFront">
            <w14:lightRig w14:rig="threePt" w14:dir="t">
              <w14:rot w14:lat="0" w14:lon="0" w14:rev="0"/>
            </w14:lightRig>
          </w14:scene3d>
        </w:rPr>
        <w:t xml:space="preserve">4.3 </w:t>
      </w:r>
      <w:r>
        <w:rPr>
          <w:rStyle w:val="32"/>
        </w:rPr>
        <w:t xml:space="preserve"> 土壤基础肥力</w:t>
      </w:r>
      <w:r>
        <w:tab/>
      </w:r>
      <w:r>
        <w:fldChar w:fldCharType="begin"/>
      </w:r>
      <w:r>
        <w:instrText xml:space="preserve"> PAGEREF _Toc135641488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"_Toc135641489" </w:instrText>
      </w:r>
      <w:r>
        <w:fldChar w:fldCharType="separate"/>
      </w:r>
      <w:r>
        <w:rPr>
          <w:rStyle w:val="32"/>
          <w14:scene3d w14:prst="orthographicFront">
            <w14:lightRig w14:rig="threePt" w14:dir="t">
              <w14:rot w14:lat="0" w14:lon="0" w14:rev="0"/>
            </w14:lightRig>
          </w14:scene3d>
        </w:rPr>
        <w:t xml:space="preserve">4.4 </w:t>
      </w:r>
      <w:r>
        <w:rPr>
          <w:rStyle w:val="32"/>
        </w:rPr>
        <w:t xml:space="preserve"> 肥料使用</w:t>
      </w:r>
      <w:r>
        <w:tab/>
      </w:r>
      <w:r>
        <w:fldChar w:fldCharType="begin"/>
      </w:r>
      <w:r>
        <w:instrText xml:space="preserve"> PAGEREF _Toc135641489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"_Toc135641490" </w:instrText>
      </w:r>
      <w:r>
        <w:fldChar w:fldCharType="separate"/>
      </w:r>
      <w:r>
        <w:rPr>
          <w:rStyle w:val="32"/>
          <w14:scene3d w14:prst="orthographicFront">
            <w14:lightRig w14:rig="threePt" w14:dir="t">
              <w14:rot w14:lat="0" w14:lon="0" w14:rev="0"/>
            </w14:lightRig>
          </w14:scene3d>
        </w:rPr>
        <w:t xml:space="preserve">4.5 </w:t>
      </w:r>
      <w:r>
        <w:rPr>
          <w:rStyle w:val="32"/>
        </w:rPr>
        <w:t xml:space="preserve"> 农药使用</w:t>
      </w:r>
      <w:r>
        <w:tab/>
      </w:r>
      <w:r>
        <w:fldChar w:fldCharType="begin"/>
      </w:r>
      <w:r>
        <w:instrText xml:space="preserve"> PAGEREF _Toc135641490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"_Toc135641491" </w:instrText>
      </w:r>
      <w:r>
        <w:fldChar w:fldCharType="separate"/>
      </w:r>
      <w:r>
        <w:rPr>
          <w:rStyle w:val="32"/>
          <w14:scene3d w14:prst="orthographicFront">
            <w14:lightRig w14:rig="threePt" w14:dir="t">
              <w14:rot w14:lat="0" w14:lon="0" w14:rev="0"/>
            </w14:lightRig>
          </w14:scene3d>
        </w:rPr>
        <w:t xml:space="preserve">4.6 </w:t>
      </w:r>
      <w:r>
        <w:rPr>
          <w:rStyle w:val="32"/>
        </w:rPr>
        <w:t xml:space="preserve"> 灌溉用水</w:t>
      </w:r>
      <w:r>
        <w:tab/>
      </w:r>
      <w:r>
        <w:fldChar w:fldCharType="begin"/>
      </w:r>
      <w:r>
        <w:instrText xml:space="preserve"> PAGEREF _Toc135641491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"_Toc135641492" </w:instrText>
      </w:r>
      <w:r>
        <w:fldChar w:fldCharType="separate"/>
      </w:r>
      <w:r>
        <w:rPr>
          <w:rStyle w:val="32"/>
        </w:rPr>
        <w:t>5  苜蓿栽培技术</w:t>
      </w:r>
      <w:r>
        <w:tab/>
      </w:r>
      <w:r>
        <w:fldChar w:fldCharType="begin"/>
      </w:r>
      <w:r>
        <w:instrText xml:space="preserve"> PAGEREF _Toc135641492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"_Toc135641493" </w:instrText>
      </w:r>
      <w:r>
        <w:fldChar w:fldCharType="separate"/>
      </w:r>
      <w:r>
        <w:rPr>
          <w:rStyle w:val="32"/>
          <w14:scene3d w14:prst="orthographicFront">
            <w14:lightRig w14:rig="threePt" w14:dir="t">
              <w14:rot w14:lat="0" w14:lon="0" w14:rev="0"/>
            </w14:lightRig>
          </w14:scene3d>
        </w:rPr>
        <w:t xml:space="preserve">5.1 </w:t>
      </w:r>
      <w:r>
        <w:rPr>
          <w:rStyle w:val="32"/>
        </w:rPr>
        <w:t xml:space="preserve"> 播种</w:t>
      </w:r>
      <w:r>
        <w:tab/>
      </w:r>
      <w:r>
        <w:fldChar w:fldCharType="begin"/>
      </w:r>
      <w:r>
        <w:instrText xml:space="preserve"> PAGEREF _Toc135641493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"_Toc135641494" </w:instrText>
      </w:r>
      <w:r>
        <w:fldChar w:fldCharType="separate"/>
      </w:r>
      <w:r>
        <w:rPr>
          <w:rStyle w:val="32"/>
          <w14:scene3d w14:prst="orthographicFront">
            <w14:lightRig w14:rig="threePt" w14:dir="t">
              <w14:rot w14:lat="0" w14:lon="0" w14:rev="0"/>
            </w14:lightRig>
          </w14:scene3d>
        </w:rPr>
        <w:t xml:space="preserve">5.2 </w:t>
      </w:r>
      <w:r>
        <w:rPr>
          <w:rStyle w:val="32"/>
        </w:rPr>
        <w:t xml:space="preserve"> 田间管理</w:t>
      </w:r>
      <w:r>
        <w:tab/>
      </w:r>
      <w:r>
        <w:fldChar w:fldCharType="begin"/>
      </w:r>
      <w:r>
        <w:instrText xml:space="preserve"> PAGEREF _Toc135641494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"_Toc135641495" </w:instrText>
      </w:r>
      <w:r>
        <w:fldChar w:fldCharType="separate"/>
      </w:r>
      <w:r>
        <w:rPr>
          <w:rStyle w:val="32"/>
          <w14:scene3d w14:prst="orthographicFront">
            <w14:lightRig w14:rig="threePt" w14:dir="t">
              <w14:rot w14:lat="0" w14:lon="0" w14:rev="0"/>
            </w14:lightRig>
          </w14:scene3d>
        </w:rPr>
        <w:t xml:space="preserve">5.3 </w:t>
      </w:r>
      <w:r>
        <w:rPr>
          <w:rStyle w:val="32"/>
        </w:rPr>
        <w:t xml:space="preserve"> 贮藏</w:t>
      </w:r>
      <w:r>
        <w:tab/>
      </w:r>
      <w:r>
        <w:fldChar w:fldCharType="begin"/>
      </w:r>
      <w:r>
        <w:instrText xml:space="preserve"> PAGEREF _Toc135641495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"_Toc135641496" </w:instrText>
      </w:r>
      <w:r>
        <w:fldChar w:fldCharType="separate"/>
      </w:r>
      <w:r>
        <w:rPr>
          <w:rStyle w:val="32"/>
        </w:rPr>
        <w:t>6  青贮玉米栽培技术</w:t>
      </w:r>
      <w:r>
        <w:tab/>
      </w:r>
      <w:r>
        <w:fldChar w:fldCharType="begin"/>
      </w:r>
      <w:r>
        <w:instrText xml:space="preserve"> PAGEREF _Toc135641496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"_Toc135641497" </w:instrText>
      </w:r>
      <w:r>
        <w:fldChar w:fldCharType="separate"/>
      </w:r>
      <w:r>
        <w:rPr>
          <w:rStyle w:val="32"/>
          <w14:scene3d w14:prst="orthographicFront">
            <w14:lightRig w14:rig="threePt" w14:dir="t">
              <w14:rot w14:lat="0" w14:lon="0" w14:rev="0"/>
            </w14:lightRig>
          </w14:scene3d>
        </w:rPr>
        <w:t xml:space="preserve">6.1 </w:t>
      </w:r>
      <w:r>
        <w:rPr>
          <w:rStyle w:val="32"/>
        </w:rPr>
        <w:t xml:space="preserve"> 播前</w:t>
      </w:r>
      <w:r>
        <w:tab/>
      </w:r>
      <w:r>
        <w:fldChar w:fldCharType="begin"/>
      </w:r>
      <w:r>
        <w:instrText xml:space="preserve"> PAGEREF _Toc135641497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"_Toc135641498" </w:instrText>
      </w:r>
      <w:r>
        <w:fldChar w:fldCharType="separate"/>
      </w:r>
      <w:r>
        <w:rPr>
          <w:rStyle w:val="32"/>
          <w14:scene3d w14:prst="orthographicFront">
            <w14:lightRig w14:rig="threePt" w14:dir="t">
              <w14:rot w14:lat="0" w14:lon="0" w14:rev="0"/>
            </w14:lightRig>
          </w14:scene3d>
        </w:rPr>
        <w:t xml:space="preserve">6.2 </w:t>
      </w:r>
      <w:r>
        <w:rPr>
          <w:rStyle w:val="32"/>
        </w:rPr>
        <w:t xml:space="preserve"> 田间管理</w:t>
      </w:r>
      <w:r>
        <w:tab/>
      </w:r>
      <w:r>
        <w:fldChar w:fldCharType="begin"/>
      </w:r>
      <w:r>
        <w:instrText xml:space="preserve"> PAGEREF _Toc135641498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"_Toc135641499" </w:instrText>
      </w:r>
      <w:r>
        <w:fldChar w:fldCharType="separate"/>
      </w:r>
      <w:r>
        <w:rPr>
          <w:rStyle w:val="32"/>
          <w14:scene3d w14:prst="orthographicFront">
            <w14:lightRig w14:rig="threePt" w14:dir="t">
              <w14:rot w14:lat="0" w14:lon="0" w14:rev="0"/>
            </w14:lightRig>
          </w14:scene3d>
        </w:rPr>
        <w:t xml:space="preserve">6.3 </w:t>
      </w:r>
      <w:r>
        <w:rPr>
          <w:rStyle w:val="32"/>
        </w:rPr>
        <w:t xml:space="preserve"> 贮藏</w:t>
      </w:r>
      <w:r>
        <w:tab/>
      </w:r>
      <w:r>
        <w:fldChar w:fldCharType="begin"/>
      </w:r>
      <w:r>
        <w:instrText xml:space="preserve"> PAGEREF _Toc135641499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7"/>
    <w:p>
      <w:pPr>
        <w:pStyle w:val="89"/>
        <w:spacing w:before="900" w:after="468"/>
      </w:pPr>
      <w:bookmarkStart w:id="18" w:name="_Toc135641481"/>
      <w:bookmarkStart w:id="19" w:name="BookMark2"/>
      <w:r>
        <w:rPr>
          <w:spacing w:val="320"/>
        </w:rPr>
        <w:t>前</w:t>
      </w:r>
      <w:r>
        <w:t>言</w:t>
      </w:r>
      <w:bookmarkEnd w:id="18"/>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本文件由扬州大学提出。</w:t>
      </w:r>
    </w:p>
    <w:p>
      <w:pPr>
        <w:pStyle w:val="56"/>
        <w:ind w:firstLine="420"/>
      </w:pPr>
      <w:r>
        <w:rPr>
          <w:rFonts w:hint="eastAsia"/>
        </w:rPr>
        <w:t>本文件由江苏省农业农村厅归口。</w:t>
      </w:r>
    </w:p>
    <w:p>
      <w:pPr>
        <w:pStyle w:val="56"/>
        <w:ind w:firstLine="420"/>
      </w:pPr>
      <w:r>
        <w:rPr>
          <w:rFonts w:hint="eastAsia"/>
        </w:rPr>
        <w:t>本文件起草单位：扬州大学、江苏众鑫农业发展有限公司、江苏省盐城市大丰区农技推广中心。</w:t>
      </w:r>
    </w:p>
    <w:p>
      <w:pPr>
        <w:pStyle w:val="56"/>
        <w:ind w:firstLine="420"/>
      </w:pPr>
      <w:r>
        <w:rPr>
          <w:rFonts w:hint="eastAsia"/>
        </w:rPr>
        <w:t>本文件主要起草人：季中亚、王小山、周桂生、沈琴、朱玉淋、潘玲。</w:t>
      </w: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08626846EC3C4E8D9BCE1B307F04FF04"/>
        </w:placeholder>
      </w:sdtPr>
      <w:sdtContent>
        <w:p>
          <w:pPr>
            <w:pStyle w:val="177"/>
            <w:spacing w:before="3" w:beforeLines="1" w:after="3" w:afterLines="1"/>
          </w:pPr>
          <w:bookmarkStart w:id="21" w:name="NEW_STAND_NAME"/>
          <w:r>
            <w:rPr>
              <w:rFonts w:hint="eastAsia"/>
            </w:rPr>
            <w:t>紫花苜蓿</w:t>
          </w:r>
          <w:r>
            <w:t>-青贮玉米</w:t>
          </w:r>
          <w:r>
            <w:rPr>
              <w:rFonts w:hint="eastAsia"/>
            </w:rPr>
            <w:t>周年</w:t>
          </w:r>
          <w:r>
            <w:t>轮作生产</w:t>
          </w:r>
        </w:p>
        <w:p>
          <w:pPr>
            <w:pStyle w:val="177"/>
            <w:spacing w:before="3" w:beforeLines="1" w:after="680"/>
          </w:pPr>
          <w:r>
            <w:rPr>
              <w:rFonts w:hint="eastAsia"/>
            </w:rPr>
            <w:t>技术规程</w:t>
          </w:r>
        </w:p>
      </w:sdtContent>
    </w:sdt>
    <w:bookmarkEnd w:id="21"/>
    <w:p>
      <w:pPr>
        <w:pStyle w:val="104"/>
        <w:spacing w:before="312" w:after="312"/>
      </w:pPr>
      <w:bookmarkStart w:id="22" w:name="_Toc135641482"/>
      <w:bookmarkStart w:id="23" w:name="_Toc24884218"/>
      <w:bookmarkStart w:id="24" w:name="_Toc24884211"/>
      <w:bookmarkStart w:id="25" w:name="_Toc26718930"/>
      <w:bookmarkStart w:id="26" w:name="_Toc97191423"/>
      <w:bookmarkStart w:id="27" w:name="_Toc26986530"/>
      <w:bookmarkStart w:id="28" w:name="_Toc26648465"/>
      <w:bookmarkStart w:id="29" w:name="_Toc17233325"/>
      <w:bookmarkStart w:id="30" w:name="_Toc17233333"/>
      <w:bookmarkStart w:id="31" w:name="_Toc26986771"/>
      <w:r>
        <w:rPr>
          <w:rFonts w:hint="eastAsia"/>
        </w:rPr>
        <w:t>范围</w:t>
      </w:r>
      <w:bookmarkEnd w:id="22"/>
      <w:bookmarkEnd w:id="23"/>
      <w:bookmarkEnd w:id="24"/>
      <w:bookmarkEnd w:id="25"/>
      <w:bookmarkEnd w:id="26"/>
      <w:bookmarkEnd w:id="27"/>
      <w:bookmarkEnd w:id="28"/>
      <w:bookmarkEnd w:id="29"/>
      <w:bookmarkEnd w:id="30"/>
      <w:bookmarkEnd w:id="31"/>
    </w:p>
    <w:p>
      <w:pPr>
        <w:pStyle w:val="56"/>
        <w:ind w:firstLine="420"/>
      </w:pPr>
      <w:bookmarkStart w:id="32" w:name="_Toc24884219"/>
      <w:bookmarkStart w:id="33" w:name="_Toc26648466"/>
      <w:bookmarkStart w:id="34" w:name="_Toc17233326"/>
      <w:bookmarkStart w:id="35" w:name="_Toc17233334"/>
      <w:bookmarkStart w:id="36" w:name="_Toc24884212"/>
      <w:r>
        <w:rPr>
          <w:rFonts w:hint="eastAsia"/>
        </w:rPr>
        <w:t>本文件规定了紫花苜蓿-青贮玉米周年轮作生产的基本要求及紫花苜蓿栽培、青贮玉米栽培的技术要求。</w:t>
      </w:r>
    </w:p>
    <w:p>
      <w:pPr>
        <w:pStyle w:val="56"/>
        <w:ind w:firstLine="420"/>
      </w:pPr>
      <w:r>
        <w:rPr>
          <w:rFonts w:hint="eastAsia"/>
        </w:rPr>
        <w:t>本文件适用于长江中下游地区的紫花苜蓿-青贮玉米周年轮作生产。</w:t>
      </w:r>
    </w:p>
    <w:p>
      <w:pPr>
        <w:pStyle w:val="104"/>
        <w:spacing w:before="312" w:after="312"/>
      </w:pPr>
      <w:bookmarkStart w:id="37" w:name="_Toc26718931"/>
      <w:bookmarkStart w:id="38" w:name="_Toc97191424"/>
      <w:bookmarkStart w:id="39" w:name="_Toc26986531"/>
      <w:bookmarkStart w:id="40" w:name="_Toc26986772"/>
      <w:bookmarkStart w:id="41" w:name="_Toc135641483"/>
      <w:r>
        <w:rPr>
          <w:rFonts w:hint="eastAsia"/>
        </w:rPr>
        <w:t>规范性引用文件</w:t>
      </w:r>
      <w:bookmarkEnd w:id="32"/>
      <w:bookmarkEnd w:id="33"/>
      <w:bookmarkEnd w:id="34"/>
      <w:bookmarkEnd w:id="35"/>
      <w:bookmarkEnd w:id="36"/>
      <w:bookmarkEnd w:id="37"/>
      <w:bookmarkEnd w:id="38"/>
      <w:bookmarkEnd w:id="39"/>
      <w:bookmarkEnd w:id="40"/>
      <w:bookmarkEnd w:id="41"/>
    </w:p>
    <w:sdt>
      <w:sdtPr>
        <w:rPr>
          <w:rFonts w:hint="eastAsia"/>
        </w:rPr>
        <w:id w:val="715848253"/>
        <w:placeholder>
          <w:docPart w:val="D64139274B44490B877A248B5FDD7D4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GB/T 25882</w:t>
      </w:r>
      <w:r>
        <w:t xml:space="preserve">  </w:t>
      </w:r>
      <w:r>
        <w:rPr>
          <w:rFonts w:hint="eastAsia"/>
        </w:rPr>
        <w:t>青贮玉米品质分级</w:t>
      </w:r>
    </w:p>
    <w:p>
      <w:pPr>
        <w:pStyle w:val="56"/>
        <w:ind w:firstLine="420"/>
      </w:pPr>
      <w:r>
        <w:rPr>
          <w:rFonts w:hint="eastAsia"/>
        </w:rPr>
        <w:t xml:space="preserve">GB/T 8321（所有部分） </w:t>
      </w:r>
      <w:r>
        <w:t xml:space="preserve"> </w:t>
      </w:r>
      <w:r>
        <w:rPr>
          <w:rFonts w:hint="eastAsia"/>
        </w:rPr>
        <w:t>农药合理使用准则</w:t>
      </w:r>
    </w:p>
    <w:p>
      <w:pPr>
        <w:pStyle w:val="56"/>
        <w:ind w:firstLine="420"/>
      </w:pPr>
      <w:r>
        <w:rPr>
          <w:rFonts w:hint="eastAsia"/>
        </w:rPr>
        <w:t xml:space="preserve">GB 5084-2021 </w:t>
      </w:r>
      <w:r>
        <w:t xml:space="preserve"> </w:t>
      </w:r>
      <w:r>
        <w:rPr>
          <w:rFonts w:hint="eastAsia"/>
        </w:rPr>
        <w:t>农田灌溉水质标准</w:t>
      </w:r>
    </w:p>
    <w:p>
      <w:pPr>
        <w:pStyle w:val="56"/>
        <w:ind w:firstLine="420"/>
      </w:pPr>
      <w:r>
        <w:rPr>
          <w:rFonts w:hint="eastAsia"/>
        </w:rPr>
        <w:t xml:space="preserve">GB/T 6141 </w:t>
      </w:r>
      <w:r>
        <w:t xml:space="preserve"> </w:t>
      </w:r>
      <w:r>
        <w:rPr>
          <w:rFonts w:hint="eastAsia"/>
        </w:rPr>
        <w:t>豆科草种子质量分级</w:t>
      </w:r>
    </w:p>
    <w:p>
      <w:pPr>
        <w:pStyle w:val="56"/>
        <w:ind w:firstLine="420"/>
      </w:pPr>
      <w:r>
        <w:rPr>
          <w:rFonts w:hint="eastAsia"/>
        </w:rPr>
        <w:t>GB</w:t>
      </w:r>
      <w:r>
        <w:t xml:space="preserve"> </w:t>
      </w:r>
      <w:r>
        <w:rPr>
          <w:rFonts w:hint="eastAsia"/>
        </w:rPr>
        <w:t>4404.1</w:t>
      </w:r>
      <w:r>
        <w:t xml:space="preserve">  </w:t>
      </w:r>
      <w:r>
        <w:rPr>
          <w:rFonts w:hint="eastAsia"/>
        </w:rPr>
        <w:t>粮食作物种子  第1部分：禾谷类</w:t>
      </w:r>
    </w:p>
    <w:p>
      <w:pPr>
        <w:pStyle w:val="56"/>
        <w:ind w:firstLine="420"/>
      </w:pPr>
      <w:r>
        <w:t xml:space="preserve">DB 32/T 2270-2012  </w:t>
      </w:r>
      <w:r>
        <w:rPr>
          <w:rFonts w:hint="eastAsia"/>
        </w:rPr>
        <w:t>淮北农区高标准农田土壤肥力指标</w:t>
      </w:r>
    </w:p>
    <w:p>
      <w:pPr>
        <w:pStyle w:val="56"/>
        <w:ind w:firstLine="420"/>
      </w:pPr>
      <w:r>
        <w:rPr>
          <w:rFonts w:hint="eastAsia"/>
        </w:rPr>
        <w:t>DB</w:t>
      </w:r>
      <w:r>
        <w:t xml:space="preserve"> 32</w:t>
      </w:r>
      <w:r>
        <w:rPr>
          <w:rFonts w:hint="eastAsia"/>
        </w:rPr>
        <w:t>/T 3543-2019</w:t>
      </w:r>
      <w:r>
        <w:t xml:space="preserve">  </w:t>
      </w:r>
      <w:r>
        <w:rPr>
          <w:rFonts w:hint="eastAsia"/>
        </w:rPr>
        <w:t>玉米田化学除草技术规范</w:t>
      </w:r>
    </w:p>
    <w:p>
      <w:pPr>
        <w:pStyle w:val="56"/>
        <w:ind w:firstLine="420"/>
      </w:pPr>
      <w:r>
        <w:rPr>
          <w:rFonts w:hint="eastAsia"/>
        </w:rPr>
        <w:t xml:space="preserve">NY/T 5010-2016 </w:t>
      </w:r>
      <w:r>
        <w:t xml:space="preserve"> </w:t>
      </w:r>
      <w:r>
        <w:rPr>
          <w:rFonts w:hint="eastAsia"/>
        </w:rPr>
        <w:t>无公害农产品种植业产地环境条件</w:t>
      </w:r>
    </w:p>
    <w:p>
      <w:pPr>
        <w:pStyle w:val="56"/>
        <w:ind w:firstLine="420"/>
      </w:pPr>
      <w:r>
        <w:rPr>
          <w:rFonts w:hint="eastAsia"/>
        </w:rPr>
        <w:t xml:space="preserve">NY/T 394 </w:t>
      </w:r>
      <w:r>
        <w:t xml:space="preserve"> </w:t>
      </w:r>
      <w:r>
        <w:rPr>
          <w:rFonts w:hint="eastAsia"/>
        </w:rPr>
        <w:t>绿色食品  肥料使用准则</w:t>
      </w:r>
    </w:p>
    <w:p>
      <w:pPr>
        <w:pStyle w:val="56"/>
        <w:ind w:firstLine="420"/>
        <w:rPr>
          <w:rFonts w:hint="eastAsia"/>
        </w:rPr>
      </w:pPr>
      <w:r>
        <w:rPr>
          <w:rFonts w:hint="eastAsia"/>
        </w:rPr>
        <w:t xml:space="preserve">NY/T 496 </w:t>
      </w:r>
      <w:r>
        <w:t xml:space="preserve"> </w:t>
      </w:r>
      <w:r>
        <w:rPr>
          <w:rFonts w:hint="eastAsia"/>
        </w:rPr>
        <w:t>肥料合理使用准则  通则</w:t>
      </w:r>
    </w:p>
    <w:p>
      <w:pPr>
        <w:pStyle w:val="56"/>
        <w:ind w:firstLine="420"/>
        <w:rPr>
          <w:rFonts w:hint="eastAsia"/>
        </w:rPr>
      </w:pPr>
      <w:r>
        <w:rPr>
          <w:rFonts w:hint="eastAsia"/>
        </w:rPr>
        <w:t xml:space="preserve">NY/T 393 </w:t>
      </w:r>
      <w:r>
        <w:t xml:space="preserve"> </w:t>
      </w:r>
      <w:r>
        <w:rPr>
          <w:rFonts w:hint="eastAsia"/>
        </w:rPr>
        <w:t>绿色食品  农药使用准则</w:t>
      </w:r>
    </w:p>
    <w:p>
      <w:pPr>
        <w:pStyle w:val="56"/>
        <w:ind w:firstLine="420"/>
      </w:pPr>
      <w:r>
        <w:rPr>
          <w:rFonts w:hint="eastAsia"/>
        </w:rPr>
        <w:t xml:space="preserve">NY/T 2701-2015 </w:t>
      </w:r>
      <w:r>
        <w:t xml:space="preserve"> </w:t>
      </w:r>
      <w:r>
        <w:rPr>
          <w:rFonts w:hint="eastAsia"/>
        </w:rPr>
        <w:t xml:space="preserve">人工草地杂草防除技术规范 </w:t>
      </w:r>
      <w:r>
        <w:t xml:space="preserve"> </w:t>
      </w:r>
      <w:r>
        <w:rPr>
          <w:rFonts w:hint="eastAsia"/>
        </w:rPr>
        <w:t>紫花苜蓿</w:t>
      </w:r>
    </w:p>
    <w:p>
      <w:pPr>
        <w:pStyle w:val="56"/>
        <w:ind w:firstLine="420"/>
      </w:pPr>
      <w:r>
        <w:rPr>
          <w:rFonts w:hint="eastAsia"/>
        </w:rPr>
        <w:t xml:space="preserve">NY/T 2994-2016 </w:t>
      </w:r>
      <w:r>
        <w:t xml:space="preserve"> </w:t>
      </w:r>
      <w:r>
        <w:rPr>
          <w:rFonts w:hint="eastAsia"/>
        </w:rPr>
        <w:t>苜蓿草田主要虫害防治技术规程</w:t>
      </w:r>
    </w:p>
    <w:p>
      <w:pPr>
        <w:pStyle w:val="56"/>
        <w:ind w:firstLine="420"/>
      </w:pPr>
      <w:r>
        <w:rPr>
          <w:rFonts w:hint="eastAsia"/>
        </w:rPr>
        <w:t xml:space="preserve">NY/T 2702-2015 </w:t>
      </w:r>
      <w:r>
        <w:t xml:space="preserve"> </w:t>
      </w:r>
      <w:r>
        <w:rPr>
          <w:rFonts w:hint="eastAsia"/>
        </w:rPr>
        <w:t>紫花苜蓿主要病害防治技术规程</w:t>
      </w:r>
    </w:p>
    <w:p>
      <w:pPr>
        <w:pStyle w:val="56"/>
        <w:ind w:firstLine="420"/>
        <w:rPr>
          <w:rFonts w:hint="eastAsia"/>
        </w:rPr>
      </w:pPr>
      <w:r>
        <w:rPr>
          <w:rFonts w:hint="eastAsia"/>
        </w:rPr>
        <w:t xml:space="preserve">NY/T 2697-2015 </w:t>
      </w:r>
      <w:r>
        <w:t xml:space="preserve"> </w:t>
      </w:r>
      <w:r>
        <w:rPr>
          <w:rFonts w:hint="eastAsia"/>
        </w:rPr>
        <w:t xml:space="preserve">饲草青贮技术规程 </w:t>
      </w:r>
      <w:r>
        <w:t xml:space="preserve"> </w:t>
      </w:r>
      <w:r>
        <w:rPr>
          <w:rFonts w:hint="eastAsia"/>
        </w:rPr>
        <w:t>紫花苜蓿</w:t>
      </w:r>
      <w:bookmarkStart w:id="61" w:name="_GoBack"/>
      <w:bookmarkEnd w:id="61"/>
    </w:p>
    <w:p>
      <w:pPr>
        <w:pStyle w:val="56"/>
        <w:ind w:firstLine="420"/>
      </w:pPr>
      <w:r>
        <w:rPr>
          <w:rFonts w:hint="eastAsia"/>
        </w:rPr>
        <w:t xml:space="preserve">NY/T 2696-2015 </w:t>
      </w:r>
      <w:r>
        <w:t xml:space="preserve"> </w:t>
      </w:r>
      <w:r>
        <w:rPr>
          <w:rFonts w:hint="eastAsia"/>
        </w:rPr>
        <w:t xml:space="preserve">饲草青贮技术规程 </w:t>
      </w:r>
      <w:r>
        <w:t xml:space="preserve"> </w:t>
      </w:r>
      <w:r>
        <w:rPr>
          <w:rFonts w:hint="eastAsia"/>
        </w:rPr>
        <w:t>玉米</w:t>
      </w:r>
    </w:p>
    <w:p>
      <w:pPr>
        <w:pStyle w:val="104"/>
        <w:spacing w:before="312" w:after="312"/>
      </w:pPr>
      <w:bookmarkStart w:id="42" w:name="_Toc97191425"/>
      <w:bookmarkStart w:id="43" w:name="_Toc135641484"/>
      <w:r>
        <w:rPr>
          <w:rFonts w:hint="eastAsia"/>
          <w:szCs w:val="21"/>
        </w:rPr>
        <w:t>术语和定义</w:t>
      </w:r>
      <w:bookmarkEnd w:id="42"/>
      <w:bookmarkEnd w:id="43"/>
    </w:p>
    <w:sdt>
      <w:sdtPr>
        <w:id w:val="-1909835108"/>
        <w:placeholder>
          <w:docPart w:val="E06BEDD246824A018C7C24849BB0BA6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下列术语和定义适用于本文件。</w:t>
          </w:r>
        </w:p>
      </w:sdtContent>
    </w:sdt>
    <w:p>
      <w:pPr>
        <w:pStyle w:val="223"/>
        <w:ind w:left="420" w:hanging="420" w:hangingChars="200"/>
        <w:rPr>
          <w:rFonts w:ascii="黑体" w:hAnsi="黑体" w:eastAsia="黑体"/>
        </w:rPr>
      </w:pPr>
      <w:r>
        <w:rPr>
          <w:rFonts w:hint="eastAsia" w:ascii="黑体" w:hAnsi="黑体" w:eastAsia="黑体"/>
        </w:rPr>
        <w:t>紫花苜蓿-青贮玉米周年</w:t>
      </w:r>
      <w:r>
        <w:rPr>
          <w:rFonts w:hint="eastAsia" w:ascii="黑体" w:hAnsi="黑体" w:eastAsia="黑体"/>
          <w:bCs/>
        </w:rPr>
        <w:t>轮作（</w:t>
      </w:r>
      <w:r>
        <w:rPr>
          <w:rFonts w:ascii="黑体" w:hAnsi="黑体" w:eastAsia="黑体"/>
        </w:rPr>
        <w:t xml:space="preserve">annual rotation of alfalfa and </w:t>
      </w:r>
      <w:r>
        <w:rPr>
          <w:rFonts w:hint="eastAsia" w:ascii="黑体" w:hAnsi="黑体" w:eastAsia="黑体"/>
        </w:rPr>
        <w:t>s</w:t>
      </w:r>
      <w:r>
        <w:rPr>
          <w:rFonts w:ascii="黑体" w:hAnsi="黑体" w:eastAsia="黑体"/>
        </w:rPr>
        <w:t>ilage maize</w:t>
      </w:r>
      <w:r>
        <w:rPr>
          <w:rFonts w:hint="eastAsia" w:ascii="黑体" w:hAnsi="黑体" w:eastAsia="黑体"/>
        </w:rPr>
        <w:t>）</w:t>
      </w:r>
    </w:p>
    <w:p>
      <w:pPr>
        <w:pStyle w:val="56"/>
        <w:ind w:firstLine="420"/>
        <w:rPr>
          <w:rFonts w:hint="eastAsia" w:cs="宋体"/>
          <w:bCs/>
        </w:rPr>
      </w:pPr>
    </w:p>
    <w:p>
      <w:pPr>
        <w:pStyle w:val="56"/>
        <w:ind w:firstLine="420"/>
      </w:pPr>
      <w:r>
        <w:rPr>
          <w:rFonts w:hint="eastAsia" w:cs="宋体"/>
          <w:bCs/>
        </w:rPr>
        <w:t>长江中下游地区</w:t>
      </w:r>
      <w:r>
        <w:rPr>
          <w:rFonts w:hint="eastAsia"/>
        </w:rPr>
        <w:t>周年内同一地块先后种植紫花苜蓿和青贮玉米的栽培模式。紫花苜蓿于每年</w:t>
      </w:r>
      <w:r>
        <w:rPr>
          <w:rFonts w:hint="eastAsia"/>
          <w:lang w:val="en-US" w:eastAsia="zh-CN"/>
        </w:rPr>
        <w:t>9月下旬至</w:t>
      </w:r>
      <w:r>
        <w:t>10</w:t>
      </w:r>
      <w:r>
        <w:rPr>
          <w:rFonts w:hint="eastAsia"/>
        </w:rPr>
        <w:t>月上中旬播种，次年</w:t>
      </w:r>
      <w:r>
        <w:rPr>
          <w:rFonts w:hint="eastAsia"/>
          <w:lang w:val="en-US" w:eastAsia="zh-CN"/>
        </w:rPr>
        <w:t>4月下旬至</w:t>
      </w:r>
      <w:r>
        <w:rPr>
          <w:rFonts w:hint="eastAsia"/>
        </w:rPr>
        <w:t>6月中下旬收获；青贮玉米于当年6月中下旬播种，</w:t>
      </w:r>
      <w:r>
        <w:rPr>
          <w:rFonts w:hint="eastAsia"/>
          <w:lang w:val="en-US" w:eastAsia="zh-CN"/>
        </w:rPr>
        <w:t>9月下旬至</w:t>
      </w:r>
      <w:r>
        <w:t>10</w:t>
      </w:r>
      <w:r>
        <w:rPr>
          <w:rFonts w:hint="eastAsia"/>
        </w:rPr>
        <w:t>月上中旬收获。</w:t>
      </w:r>
    </w:p>
    <w:p>
      <w:pPr>
        <w:pStyle w:val="104"/>
        <w:spacing w:before="312" w:after="312"/>
      </w:pPr>
      <w:bookmarkStart w:id="45" w:name="_Toc135641485"/>
      <w:r>
        <w:rPr>
          <w:rFonts w:hint="eastAsia"/>
        </w:rPr>
        <w:t>基本要求</w:t>
      </w:r>
      <w:bookmarkEnd w:id="45"/>
    </w:p>
    <w:p>
      <w:pPr>
        <w:pStyle w:val="105"/>
        <w:spacing w:before="156" w:after="156"/>
      </w:pPr>
      <w:bookmarkStart w:id="46" w:name="_Toc135641486"/>
      <w:r>
        <w:rPr>
          <w:rFonts w:hint="eastAsia"/>
        </w:rPr>
        <w:t>品种选择</w:t>
      </w:r>
      <w:bookmarkEnd w:id="46"/>
    </w:p>
    <w:p>
      <w:pPr>
        <w:pStyle w:val="56"/>
        <w:ind w:firstLine="420"/>
      </w:pPr>
      <w:r>
        <w:rPr>
          <w:rFonts w:hint="eastAsia"/>
        </w:rPr>
        <w:t>选择通过国家或省级品种审定委员会审定登记，且适合当地种植的紫花苜蓿及青贮玉米品种。青贮玉米品质分级应达到GB/T 25882规定的三级标准及以上。</w:t>
      </w:r>
    </w:p>
    <w:p>
      <w:pPr>
        <w:pStyle w:val="105"/>
        <w:spacing w:before="156" w:after="156"/>
      </w:pPr>
      <w:bookmarkStart w:id="47" w:name="_Toc135641487"/>
      <w:r>
        <w:rPr>
          <w:rFonts w:hint="eastAsia"/>
        </w:rPr>
        <w:t>产地环境</w:t>
      </w:r>
      <w:bookmarkEnd w:id="47"/>
    </w:p>
    <w:p>
      <w:pPr>
        <w:pStyle w:val="56"/>
        <w:ind w:firstLine="420"/>
      </w:pPr>
      <w:r>
        <w:rPr>
          <w:rFonts w:hint="eastAsia"/>
        </w:rPr>
        <w:t>应符合NY/T 5010-2016要求。</w:t>
      </w:r>
    </w:p>
    <w:p>
      <w:pPr>
        <w:pStyle w:val="105"/>
        <w:spacing w:before="156" w:after="156"/>
      </w:pPr>
      <w:bookmarkStart w:id="48" w:name="_Toc135641488"/>
      <w:r>
        <w:rPr>
          <w:rFonts w:hint="eastAsia"/>
        </w:rPr>
        <w:t>土壤基础肥力</w:t>
      </w:r>
      <w:bookmarkEnd w:id="48"/>
    </w:p>
    <w:p>
      <w:pPr>
        <w:pStyle w:val="56"/>
        <w:ind w:firstLine="420"/>
      </w:pPr>
      <w:r>
        <w:rPr>
          <w:rFonts w:hint="eastAsia"/>
        </w:rPr>
        <w:t>应符合DB</w:t>
      </w:r>
      <w:r>
        <w:t xml:space="preserve"> </w:t>
      </w:r>
      <w:r>
        <w:rPr>
          <w:rFonts w:hint="eastAsia"/>
        </w:rPr>
        <w:t>32/T 2270-2012要求。</w:t>
      </w:r>
    </w:p>
    <w:p>
      <w:pPr>
        <w:pStyle w:val="105"/>
        <w:spacing w:before="156" w:after="156"/>
      </w:pPr>
      <w:bookmarkStart w:id="49" w:name="_Toc135641489"/>
      <w:r>
        <w:rPr>
          <w:rFonts w:hint="eastAsia"/>
        </w:rPr>
        <w:t>肥料使用</w:t>
      </w:r>
      <w:bookmarkEnd w:id="49"/>
    </w:p>
    <w:p>
      <w:pPr>
        <w:pStyle w:val="56"/>
        <w:ind w:firstLine="420"/>
      </w:pPr>
      <w:r>
        <w:rPr>
          <w:rFonts w:hint="eastAsia"/>
        </w:rPr>
        <w:t>应符合NY/T 394或NY/T 496要求。</w:t>
      </w:r>
    </w:p>
    <w:p>
      <w:pPr>
        <w:pStyle w:val="105"/>
        <w:spacing w:before="156" w:after="156"/>
      </w:pPr>
      <w:bookmarkStart w:id="50" w:name="_Toc135641490"/>
      <w:r>
        <w:rPr>
          <w:rFonts w:hint="eastAsia"/>
        </w:rPr>
        <w:t>农药使用</w:t>
      </w:r>
      <w:bookmarkEnd w:id="50"/>
    </w:p>
    <w:p>
      <w:pPr>
        <w:pStyle w:val="56"/>
        <w:ind w:firstLine="420"/>
      </w:pPr>
      <w:r>
        <w:rPr>
          <w:rFonts w:hint="eastAsia"/>
        </w:rPr>
        <w:t>应符合GB/T 8321或NY/T 393要求。</w:t>
      </w:r>
    </w:p>
    <w:p>
      <w:pPr>
        <w:pStyle w:val="105"/>
        <w:spacing w:before="156" w:after="156"/>
      </w:pPr>
      <w:bookmarkStart w:id="51" w:name="_Toc135641491"/>
      <w:r>
        <w:rPr>
          <w:rFonts w:hint="eastAsia"/>
        </w:rPr>
        <w:t>灌溉用水</w:t>
      </w:r>
      <w:bookmarkEnd w:id="51"/>
    </w:p>
    <w:p>
      <w:pPr>
        <w:pStyle w:val="56"/>
        <w:ind w:firstLine="420"/>
      </w:pPr>
      <w:r>
        <w:rPr>
          <w:rFonts w:hint="eastAsia"/>
        </w:rPr>
        <w:t>应符合GB 5084-2021要求。</w:t>
      </w:r>
    </w:p>
    <w:p>
      <w:pPr>
        <w:pStyle w:val="104"/>
        <w:spacing w:before="312" w:after="312"/>
      </w:pPr>
      <w:bookmarkStart w:id="52" w:name="_Toc135641492"/>
      <w:r>
        <w:rPr>
          <w:rFonts w:hint="eastAsia"/>
        </w:rPr>
        <w:t>紫花苜蓿栽培技术</w:t>
      </w:r>
      <w:bookmarkEnd w:id="52"/>
    </w:p>
    <w:p>
      <w:pPr>
        <w:pStyle w:val="105"/>
        <w:spacing w:before="156" w:after="156"/>
      </w:pPr>
      <w:bookmarkStart w:id="53" w:name="_Toc135641493"/>
      <w:r>
        <w:rPr>
          <w:rFonts w:hint="eastAsia"/>
        </w:rPr>
        <w:t>播种</w:t>
      </w:r>
      <w:bookmarkEnd w:id="53"/>
    </w:p>
    <w:p>
      <w:pPr>
        <w:pStyle w:val="65"/>
        <w:spacing w:before="156" w:after="156"/>
      </w:pPr>
      <w:r>
        <w:rPr>
          <w:rFonts w:hint="eastAsia"/>
        </w:rPr>
        <w:t>播种时期</w:t>
      </w:r>
    </w:p>
    <w:p>
      <w:pPr>
        <w:pStyle w:val="56"/>
        <w:ind w:firstLine="420"/>
      </w:pPr>
      <w:r>
        <w:rPr>
          <w:rFonts w:hint="eastAsia"/>
        </w:rPr>
        <w:t>紫花苜蓿于9月下旬～10月中上旬播种。</w:t>
      </w:r>
    </w:p>
    <w:p>
      <w:pPr>
        <w:pStyle w:val="65"/>
        <w:spacing w:before="156" w:after="156"/>
      </w:pPr>
      <w:r>
        <w:rPr>
          <w:rFonts w:hint="eastAsia"/>
        </w:rPr>
        <w:t>种子处理</w:t>
      </w:r>
    </w:p>
    <w:p>
      <w:pPr>
        <w:pStyle w:val="56"/>
        <w:ind w:firstLine="420"/>
      </w:pPr>
      <w:r>
        <w:rPr>
          <w:rFonts w:hint="eastAsia"/>
        </w:rPr>
        <w:t>种子质量应符合GB/T 6141的规定。播种前</w:t>
      </w:r>
      <w:r>
        <w:rPr>
          <w:rFonts w:hint="eastAsia"/>
          <w:lang w:val="en-US" w:eastAsia="zh-CN"/>
        </w:rPr>
        <w:t>可</w:t>
      </w:r>
      <w:r>
        <w:rPr>
          <w:rFonts w:hint="eastAsia"/>
        </w:rPr>
        <w:t>对种子进行包衣处理，药剂应符合GB/T</w:t>
      </w:r>
      <w:r>
        <w:t xml:space="preserve"> </w:t>
      </w:r>
      <w:r>
        <w:rPr>
          <w:rFonts w:hint="eastAsia"/>
        </w:rPr>
        <w:t>8321、NY/T</w:t>
      </w:r>
      <w:r>
        <w:t xml:space="preserve"> </w:t>
      </w:r>
      <w:r>
        <w:rPr>
          <w:rFonts w:hint="eastAsia"/>
        </w:rPr>
        <w:t>393的规定。</w:t>
      </w:r>
    </w:p>
    <w:p>
      <w:pPr>
        <w:pStyle w:val="65"/>
        <w:spacing w:before="156" w:after="156"/>
      </w:pPr>
      <w:r>
        <w:rPr>
          <w:rFonts w:hint="eastAsia"/>
        </w:rPr>
        <w:t>播种管理</w:t>
      </w:r>
    </w:p>
    <w:p>
      <w:pPr>
        <w:pStyle w:val="56"/>
        <w:ind w:firstLine="420"/>
      </w:pPr>
      <w:r>
        <w:rPr>
          <w:rFonts w:hint="eastAsia"/>
        </w:rPr>
        <w:t>紫花苜蓿宜采用条播，行距30cm，播种量为15kg/hm</w:t>
      </w:r>
      <w:r>
        <w:rPr>
          <w:rFonts w:hint="eastAsia"/>
          <w:vertAlign w:val="superscript"/>
        </w:rPr>
        <w:t>2</w:t>
      </w:r>
      <w:r>
        <w:rPr>
          <w:rFonts w:hint="eastAsia"/>
        </w:rPr>
        <w:t>～18 kg/hm</w:t>
      </w:r>
      <w:r>
        <w:rPr>
          <w:rFonts w:hint="eastAsia"/>
          <w:vertAlign w:val="superscript"/>
        </w:rPr>
        <w:t>2</w:t>
      </w:r>
      <w:r>
        <w:rPr>
          <w:rFonts w:hint="eastAsia"/>
        </w:rPr>
        <w:t>，播种深度为1cm～2cm，播后及时覆土镇压。播种前应进行土地耕翻，耕翻深度15cm～25cm。耕翻后及时细耙整平，并清除杂草。播种前基肥纯氮为100kg/hm</w:t>
      </w:r>
      <w:r>
        <w:rPr>
          <w:rFonts w:hint="eastAsia"/>
          <w:vertAlign w:val="superscript"/>
        </w:rPr>
        <w:t>2</w:t>
      </w:r>
      <w:r>
        <w:rPr>
          <w:rFonts w:hint="eastAsia"/>
        </w:rPr>
        <w:t>～120kg/hm</w:t>
      </w:r>
      <w:r>
        <w:rPr>
          <w:rFonts w:hint="eastAsia"/>
          <w:vertAlign w:val="superscript"/>
        </w:rPr>
        <w:t>2</w:t>
      </w:r>
      <w:r>
        <w:rPr>
          <w:rFonts w:hint="eastAsia"/>
        </w:rPr>
        <w:t>，五氧化二磷110kg/hm</w:t>
      </w:r>
      <w:r>
        <w:rPr>
          <w:rFonts w:hint="eastAsia"/>
          <w:vertAlign w:val="superscript"/>
        </w:rPr>
        <w:t>2</w:t>
      </w:r>
      <w:r>
        <w:rPr>
          <w:rFonts w:hint="eastAsia"/>
        </w:rPr>
        <w:t>～130kg/hm</w:t>
      </w:r>
      <w:r>
        <w:rPr>
          <w:rFonts w:hint="eastAsia"/>
          <w:vertAlign w:val="superscript"/>
        </w:rPr>
        <w:t>2</w:t>
      </w:r>
      <w:r>
        <w:rPr>
          <w:rFonts w:hint="eastAsia"/>
        </w:rPr>
        <w:t>，氧化钾110kg/hm</w:t>
      </w:r>
      <w:r>
        <w:rPr>
          <w:rFonts w:hint="eastAsia"/>
          <w:vertAlign w:val="superscript"/>
        </w:rPr>
        <w:t>2</w:t>
      </w:r>
      <w:r>
        <w:rPr>
          <w:rFonts w:hint="eastAsia"/>
        </w:rPr>
        <w:t>～120kg/hm</w:t>
      </w:r>
      <w:r>
        <w:rPr>
          <w:rFonts w:hint="eastAsia"/>
          <w:vertAlign w:val="superscript"/>
        </w:rPr>
        <w:t>2</w:t>
      </w:r>
      <w:r>
        <w:rPr>
          <w:rFonts w:hint="eastAsia"/>
        </w:rPr>
        <w:t>。</w:t>
      </w:r>
    </w:p>
    <w:p>
      <w:pPr>
        <w:pStyle w:val="105"/>
        <w:spacing w:before="156" w:after="156"/>
      </w:pPr>
      <w:bookmarkStart w:id="54" w:name="_Toc135641494"/>
      <w:r>
        <w:rPr>
          <w:rFonts w:hint="eastAsia"/>
        </w:rPr>
        <w:t>田间管理</w:t>
      </w:r>
      <w:bookmarkEnd w:id="54"/>
    </w:p>
    <w:p>
      <w:pPr>
        <w:pStyle w:val="65"/>
        <w:spacing w:before="156" w:after="156"/>
      </w:pPr>
      <w:r>
        <w:rPr>
          <w:rFonts w:hint="eastAsia"/>
        </w:rPr>
        <w:t>除草</w:t>
      </w:r>
    </w:p>
    <w:p>
      <w:pPr>
        <w:pStyle w:val="56"/>
        <w:ind w:firstLine="420"/>
      </w:pPr>
      <w:r>
        <w:rPr>
          <w:rFonts w:hint="eastAsia"/>
        </w:rPr>
        <w:t>紫花苜蓿播种后1d～2d内，应进行土壤封闭除草。田间除草除草剂施用符合NY/T 2701-2015要求。</w:t>
      </w:r>
    </w:p>
    <w:p>
      <w:pPr>
        <w:pStyle w:val="65"/>
        <w:spacing w:before="156" w:after="156"/>
      </w:pPr>
      <w:r>
        <w:rPr>
          <w:rFonts w:hint="eastAsia"/>
        </w:rPr>
        <w:t>防治病虫</w:t>
      </w:r>
    </w:p>
    <w:p>
      <w:pPr>
        <w:pStyle w:val="94"/>
        <w:spacing w:before="156" w:after="156"/>
      </w:pPr>
      <w:r>
        <w:rPr>
          <w:rFonts w:hint="eastAsia"/>
        </w:rPr>
        <w:t>物理除虫</w:t>
      </w:r>
    </w:p>
    <w:p>
      <w:pPr>
        <w:pStyle w:val="56"/>
        <w:ind w:firstLine="420"/>
      </w:pPr>
      <w:r>
        <w:rPr>
          <w:rFonts w:hint="eastAsia"/>
        </w:rPr>
        <w:t>在害虫成虫盛发期利用黄板杀虫灯或黑光灯诱杀成虫。</w:t>
      </w:r>
    </w:p>
    <w:p>
      <w:pPr>
        <w:pStyle w:val="94"/>
        <w:spacing w:before="156" w:after="156"/>
      </w:pPr>
      <w:r>
        <w:rPr>
          <w:rFonts w:hint="eastAsia"/>
        </w:rPr>
        <w:t>化学防治</w:t>
      </w:r>
    </w:p>
    <w:p>
      <w:pPr>
        <w:pStyle w:val="56"/>
        <w:ind w:firstLine="420"/>
      </w:pPr>
      <w:r>
        <w:rPr>
          <w:rFonts w:hint="eastAsia"/>
        </w:rPr>
        <w:t>紫花苜蓿重点防治虫害及苜蓿褐斑病、锈病、霜霉病、白粉病。病虫害药剂应符合GB/T 8321、NY/T 393、NY/T 2994-2016、NY/T 2702-2015要求。</w:t>
      </w:r>
    </w:p>
    <w:p>
      <w:pPr>
        <w:pStyle w:val="65"/>
        <w:spacing w:before="156" w:after="156"/>
      </w:pPr>
      <w:r>
        <w:rPr>
          <w:rFonts w:hint="eastAsia"/>
        </w:rPr>
        <w:t>追肥</w:t>
      </w:r>
    </w:p>
    <w:p>
      <w:pPr>
        <w:pStyle w:val="56"/>
        <w:ind w:firstLine="420"/>
      </w:pPr>
      <w:r>
        <w:rPr>
          <w:rFonts w:hint="eastAsia"/>
        </w:rPr>
        <w:t>在春季分枝期结合降水施肥，根据0cm～20cm土层养分状况确定追肥量，以磷、钾肥为主，施肥后土壤有效磷含量达到10mg/kg～15mg/kg,速效钾含量达到100mg/kg～150mg/kg。</w:t>
      </w:r>
    </w:p>
    <w:p>
      <w:pPr>
        <w:pStyle w:val="65"/>
        <w:spacing w:before="156" w:after="156"/>
      </w:pPr>
      <w:r>
        <w:rPr>
          <w:rFonts w:hint="eastAsia"/>
        </w:rPr>
        <w:t>刈割</w:t>
      </w:r>
    </w:p>
    <w:p>
      <w:pPr>
        <w:pStyle w:val="56"/>
        <w:ind w:firstLine="420"/>
      </w:pPr>
      <w:r>
        <w:rPr>
          <w:rFonts w:hint="eastAsia"/>
        </w:rPr>
        <w:t>紫花苜蓿初次刈割在现蕾期至初花期，留茬高度为8cm～10cm，周年内可刈割2～3次。刈割后及时进行饲草青贮处理。收割完后，土地旋耕用于后茬种植。</w:t>
      </w:r>
    </w:p>
    <w:p>
      <w:pPr>
        <w:pStyle w:val="105"/>
        <w:spacing w:before="156" w:after="156"/>
      </w:pPr>
      <w:bookmarkStart w:id="55" w:name="_Toc135641495"/>
      <w:r>
        <w:rPr>
          <w:rFonts w:hint="eastAsia"/>
        </w:rPr>
        <w:t>贮藏</w:t>
      </w:r>
      <w:bookmarkEnd w:id="55"/>
    </w:p>
    <w:p>
      <w:pPr>
        <w:pStyle w:val="56"/>
        <w:ind w:firstLine="420"/>
      </w:pPr>
      <w:r>
        <w:rPr>
          <w:rFonts w:hint="eastAsia"/>
        </w:rPr>
        <w:t>紫花苜蓿收割贮藏应符合NY/T 2697-2015要求。</w:t>
      </w:r>
    </w:p>
    <w:p>
      <w:pPr>
        <w:pStyle w:val="104"/>
        <w:spacing w:before="312" w:after="312"/>
      </w:pPr>
      <w:bookmarkStart w:id="56" w:name="_Toc135641496"/>
      <w:r>
        <w:rPr>
          <w:rFonts w:hint="eastAsia"/>
        </w:rPr>
        <w:t>青贮玉米栽培技术</w:t>
      </w:r>
      <w:bookmarkEnd w:id="56"/>
    </w:p>
    <w:p>
      <w:pPr>
        <w:pStyle w:val="105"/>
        <w:spacing w:before="156" w:after="156"/>
      </w:pPr>
      <w:bookmarkStart w:id="57" w:name="_Toc135641497"/>
      <w:r>
        <w:rPr>
          <w:rFonts w:hint="eastAsia"/>
        </w:rPr>
        <w:t>播</w:t>
      </w:r>
      <w:bookmarkEnd w:id="57"/>
      <w:r>
        <w:rPr>
          <w:rFonts w:hint="eastAsia"/>
        </w:rPr>
        <w:t>种</w:t>
      </w:r>
    </w:p>
    <w:p>
      <w:pPr>
        <w:pStyle w:val="65"/>
        <w:spacing w:before="156" w:after="156"/>
      </w:pPr>
      <w:r>
        <w:rPr>
          <w:rFonts w:hint="eastAsia"/>
        </w:rPr>
        <w:t>播种时期</w:t>
      </w:r>
    </w:p>
    <w:p>
      <w:pPr>
        <w:pStyle w:val="56"/>
        <w:ind w:firstLine="420"/>
      </w:pPr>
      <w:r>
        <w:rPr>
          <w:rFonts w:hint="eastAsia"/>
        </w:rPr>
        <w:t>青贮玉米的接茬播期为6月中下旬。</w:t>
      </w:r>
    </w:p>
    <w:p>
      <w:pPr>
        <w:pStyle w:val="65"/>
        <w:spacing w:before="156" w:after="156"/>
      </w:pPr>
      <w:r>
        <w:rPr>
          <w:rFonts w:hint="eastAsia"/>
        </w:rPr>
        <w:t>种子处理</w:t>
      </w:r>
    </w:p>
    <w:p>
      <w:pPr>
        <w:pStyle w:val="56"/>
        <w:ind w:firstLine="420"/>
      </w:pPr>
      <w:r>
        <w:rPr>
          <w:rFonts w:hint="eastAsia"/>
        </w:rPr>
        <w:t>青贮玉米种子质量应符合GB</w:t>
      </w:r>
      <w:r>
        <w:t xml:space="preserve"> </w:t>
      </w:r>
      <w:r>
        <w:rPr>
          <w:rFonts w:hint="eastAsia"/>
        </w:rPr>
        <w:t>4404.1的规定。播种前对种子进行包衣处理，药剂应符合GB/T</w:t>
      </w:r>
      <w:r>
        <w:t xml:space="preserve"> </w:t>
      </w:r>
      <w:r>
        <w:rPr>
          <w:rFonts w:hint="eastAsia"/>
        </w:rPr>
        <w:t>8321、NY/T</w:t>
      </w:r>
      <w:r>
        <w:t xml:space="preserve"> </w:t>
      </w:r>
      <w:r>
        <w:rPr>
          <w:rFonts w:hint="eastAsia"/>
        </w:rPr>
        <w:t>393的规定。</w:t>
      </w:r>
    </w:p>
    <w:p>
      <w:pPr>
        <w:pStyle w:val="65"/>
        <w:spacing w:before="156" w:after="156"/>
      </w:pPr>
      <w:r>
        <w:rPr>
          <w:rFonts w:hint="eastAsia"/>
        </w:rPr>
        <w:t>播种管理</w:t>
      </w:r>
    </w:p>
    <w:p>
      <w:pPr>
        <w:pStyle w:val="56"/>
        <w:ind w:firstLine="420"/>
      </w:pPr>
      <w:r>
        <w:rPr>
          <w:rFonts w:hint="eastAsia"/>
        </w:rPr>
        <w:t>青贮玉米宜采用穴播，深度为3cm～5cm，玉米留苗数宜为75000株/hm</w:t>
      </w:r>
      <w:r>
        <w:rPr>
          <w:rFonts w:hint="eastAsia"/>
          <w:vertAlign w:val="superscript"/>
        </w:rPr>
        <w:t>2</w:t>
      </w:r>
      <w:r>
        <w:rPr>
          <w:rFonts w:hint="eastAsia"/>
        </w:rPr>
        <w:t>左右。前茬苜蓿收获后，及时田间清理，整地耙地，结合整地每667m</w:t>
      </w:r>
      <w:r>
        <w:rPr>
          <w:rFonts w:hint="eastAsia"/>
          <w:vertAlign w:val="superscript"/>
        </w:rPr>
        <w:t>2</w:t>
      </w:r>
      <w:r>
        <w:rPr>
          <w:rFonts w:hint="eastAsia"/>
        </w:rPr>
        <w:t>施入45%的三元复合肥（N15-P15-K15）30kg～40kg做基肥，肥料使用应符合NY/T</w:t>
      </w:r>
      <w:r>
        <w:t xml:space="preserve"> </w:t>
      </w:r>
      <w:r>
        <w:rPr>
          <w:rFonts w:hint="eastAsia"/>
        </w:rPr>
        <w:t>394的规定。按畦宽3m左右做畦，开好围沟、腰沟和畦面沟，田间沟系相通。</w:t>
      </w:r>
    </w:p>
    <w:p>
      <w:pPr>
        <w:pStyle w:val="105"/>
        <w:spacing w:before="156" w:after="156"/>
      </w:pPr>
      <w:bookmarkStart w:id="58" w:name="_Toc135641498"/>
      <w:r>
        <w:rPr>
          <w:rFonts w:hint="eastAsia"/>
        </w:rPr>
        <w:t>田间管理</w:t>
      </w:r>
      <w:bookmarkEnd w:id="58"/>
    </w:p>
    <w:p>
      <w:pPr>
        <w:pStyle w:val="65"/>
        <w:spacing w:before="156" w:after="156"/>
      </w:pPr>
      <w:r>
        <w:rPr>
          <w:rFonts w:hint="eastAsia"/>
        </w:rPr>
        <w:t>除草</w:t>
      </w:r>
    </w:p>
    <w:p>
      <w:pPr>
        <w:pStyle w:val="56"/>
        <w:ind w:firstLine="420"/>
      </w:pPr>
      <w:r>
        <w:rPr>
          <w:rFonts w:hint="eastAsia"/>
        </w:rPr>
        <w:t>田间除草剂施用</w:t>
      </w:r>
      <w:r>
        <w:rPr>
          <w:rFonts w:hint="eastAsia"/>
          <w:lang w:val="en-US" w:eastAsia="zh-CN"/>
        </w:rPr>
        <w:t>应</w:t>
      </w:r>
      <w:r>
        <w:rPr>
          <w:rFonts w:hint="eastAsia"/>
        </w:rPr>
        <w:t>符合DB 32/T 3543-2019要求。</w:t>
      </w:r>
    </w:p>
    <w:p>
      <w:pPr>
        <w:pStyle w:val="65"/>
        <w:spacing w:before="156" w:after="156"/>
      </w:pPr>
      <w:r>
        <w:rPr>
          <w:rFonts w:hint="eastAsia"/>
        </w:rPr>
        <w:t>防治病虫</w:t>
      </w:r>
    </w:p>
    <w:p>
      <w:pPr>
        <w:pStyle w:val="56"/>
        <w:ind w:firstLine="420"/>
      </w:pPr>
      <w:r>
        <w:rPr>
          <w:rFonts w:hint="eastAsia"/>
        </w:rPr>
        <w:t>青贮玉米重点防治玉米螟、草地贪夜蛾。采用物理和化学相结合的方法进行虫害和病害的防控。化学防治于大喇叭口期应用高效低毒低残留农药，药液超低量喷雾和颗粒剂灌心处理。病虫害药剂应符合GB/T 8321、NY/T 393、NY/T 2994-2016、NY/T 2702-2015要求。</w:t>
      </w:r>
    </w:p>
    <w:p>
      <w:pPr>
        <w:pStyle w:val="65"/>
        <w:spacing w:before="156" w:after="156"/>
      </w:pPr>
      <w:r>
        <w:rPr>
          <w:rFonts w:hint="eastAsia"/>
        </w:rPr>
        <w:t>追肥</w:t>
      </w:r>
    </w:p>
    <w:p>
      <w:pPr>
        <w:pStyle w:val="56"/>
        <w:ind w:firstLine="420"/>
      </w:pPr>
      <w:r>
        <w:rPr>
          <w:rFonts w:hint="eastAsia"/>
        </w:rPr>
        <w:t>青贮玉米拔节期至大喇叭口期宜追施尿素350～400kg/hm</w:t>
      </w:r>
      <w:r>
        <w:rPr>
          <w:rFonts w:hint="eastAsia"/>
          <w:vertAlign w:val="superscript"/>
        </w:rPr>
        <w:t>2</w:t>
      </w:r>
      <w:r>
        <w:rPr>
          <w:rFonts w:hint="eastAsia"/>
        </w:rPr>
        <w:t>；追氮肥时要尽量开沟深施，或结合灌溉或有效降雨进行追肥，避免在地表撒施。</w:t>
      </w:r>
    </w:p>
    <w:p>
      <w:pPr>
        <w:pStyle w:val="65"/>
        <w:spacing w:before="156" w:after="156"/>
      </w:pPr>
      <w:r>
        <w:rPr>
          <w:rFonts w:hint="eastAsia"/>
        </w:rPr>
        <w:t>刈割</w:t>
      </w:r>
    </w:p>
    <w:p>
      <w:pPr>
        <w:pStyle w:val="56"/>
        <w:ind w:firstLine="420"/>
      </w:pPr>
      <w:r>
        <w:rPr>
          <w:rFonts w:hint="eastAsia"/>
        </w:rPr>
        <w:t>青贮玉米于乳熟后期至蜡熟前期收获，采用全株刈割，切碎青贮。</w:t>
      </w:r>
    </w:p>
    <w:p>
      <w:pPr>
        <w:pStyle w:val="105"/>
        <w:spacing w:before="156" w:after="156"/>
      </w:pPr>
      <w:bookmarkStart w:id="59" w:name="_Toc135641499"/>
      <w:r>
        <w:rPr>
          <w:rFonts w:hint="eastAsia"/>
        </w:rPr>
        <w:t>贮藏</w:t>
      </w:r>
      <w:bookmarkEnd w:id="59"/>
    </w:p>
    <w:p>
      <w:pPr>
        <w:pStyle w:val="56"/>
        <w:ind w:firstLine="420"/>
      </w:pPr>
      <w:r>
        <w:rPr>
          <w:rFonts w:hint="eastAsia"/>
        </w:rPr>
        <w:t>青贮玉米收割贮藏均应符合NY/T 2696-2015要求。</w:t>
      </w:r>
    </w:p>
    <w:bookmarkEnd w:id="20"/>
    <w:p>
      <w:pPr>
        <w:pStyle w:val="56"/>
        <w:ind w:firstLine="0" w:firstLineChars="0"/>
        <w:jc w:val="center"/>
      </w:pPr>
      <w:bookmarkStart w:id="60"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32/T XXXX—2022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32/T XXXX—2022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32/T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FjOqDHWsj9RWeu+B1UacbOKYKpzCyJ202lD5/RiVyR4Sjbx6ljVwK9wfvkeHaovMFPsF6A3Azh6srKbRRWiGLA==" w:salt="ucKftheI7ttAtO7zxN1dt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0NzYwYjkxN2QwZWIxN2EwMTljZTlhYzcxYTgyMjcifQ=="/>
  </w:docVars>
  <w:rsids>
    <w:rsidRoot w:val="0006081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A94"/>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81E"/>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0691"/>
    <w:rsid w:val="00113B1E"/>
    <w:rsid w:val="0011711C"/>
    <w:rsid w:val="0012059C"/>
    <w:rsid w:val="001209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7B2"/>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1A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DB2"/>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065B"/>
    <w:rsid w:val="0034194F"/>
    <w:rsid w:val="00344605"/>
    <w:rsid w:val="003474AA"/>
    <w:rsid w:val="003505E7"/>
    <w:rsid w:val="00350D1D"/>
    <w:rsid w:val="00352C83"/>
    <w:rsid w:val="00355E65"/>
    <w:rsid w:val="003615D2"/>
    <w:rsid w:val="0036429C"/>
    <w:rsid w:val="00364A53"/>
    <w:rsid w:val="003654CB"/>
    <w:rsid w:val="00365AA9"/>
    <w:rsid w:val="00365F86"/>
    <w:rsid w:val="00365F87"/>
    <w:rsid w:val="00366E89"/>
    <w:rsid w:val="003705F4"/>
    <w:rsid w:val="00370D58"/>
    <w:rsid w:val="00371316"/>
    <w:rsid w:val="00376713"/>
    <w:rsid w:val="00380507"/>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A26"/>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3F4D"/>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27E7"/>
    <w:rsid w:val="005D4171"/>
    <w:rsid w:val="005D6A95"/>
    <w:rsid w:val="005D6B2C"/>
    <w:rsid w:val="005D6D9C"/>
    <w:rsid w:val="005E2335"/>
    <w:rsid w:val="005E34CA"/>
    <w:rsid w:val="005E3C18"/>
    <w:rsid w:val="005E429B"/>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BD6"/>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8E7"/>
    <w:rsid w:val="00711CBA"/>
    <w:rsid w:val="00711FB5"/>
    <w:rsid w:val="00712A01"/>
    <w:rsid w:val="00714F58"/>
    <w:rsid w:val="00722FBF"/>
    <w:rsid w:val="00722FC2"/>
    <w:rsid w:val="00724879"/>
    <w:rsid w:val="00724E1B"/>
    <w:rsid w:val="007253EE"/>
    <w:rsid w:val="00725949"/>
    <w:rsid w:val="00727FA2"/>
    <w:rsid w:val="007322D9"/>
    <w:rsid w:val="00732BC0"/>
    <w:rsid w:val="0073720F"/>
    <w:rsid w:val="00737796"/>
    <w:rsid w:val="0074109A"/>
    <w:rsid w:val="0074165C"/>
    <w:rsid w:val="00742C35"/>
    <w:rsid w:val="007432CA"/>
    <w:rsid w:val="007439EB"/>
    <w:rsid w:val="00743CB4"/>
    <w:rsid w:val="00743F0A"/>
    <w:rsid w:val="007444E8"/>
    <w:rsid w:val="0074548E"/>
    <w:rsid w:val="00745773"/>
    <w:rsid w:val="00746800"/>
    <w:rsid w:val="007501A8"/>
    <w:rsid w:val="00750D61"/>
    <w:rsid w:val="00750EE1"/>
    <w:rsid w:val="00751ABA"/>
    <w:rsid w:val="00752B4D"/>
    <w:rsid w:val="00755402"/>
    <w:rsid w:val="00756B26"/>
    <w:rsid w:val="00756EDF"/>
    <w:rsid w:val="007600E3"/>
    <w:rsid w:val="0076071B"/>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16AF"/>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27B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D03"/>
    <w:rsid w:val="0096381A"/>
    <w:rsid w:val="00965E04"/>
    <w:rsid w:val="009674AD"/>
    <w:rsid w:val="00970CDC"/>
    <w:rsid w:val="00973A75"/>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C9C"/>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D5B"/>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1E"/>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2F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2D83"/>
    <w:rsid w:val="00BC4790"/>
    <w:rsid w:val="00BC5DC7"/>
    <w:rsid w:val="00BC6B8B"/>
    <w:rsid w:val="00BC73D8"/>
    <w:rsid w:val="00BD52D7"/>
    <w:rsid w:val="00BD5AD2"/>
    <w:rsid w:val="00BE22F3"/>
    <w:rsid w:val="00BE5B52"/>
    <w:rsid w:val="00BE7B8D"/>
    <w:rsid w:val="00BF0993"/>
    <w:rsid w:val="00BF10A9"/>
    <w:rsid w:val="00BF1703"/>
    <w:rsid w:val="00BF231C"/>
    <w:rsid w:val="00BF4851"/>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7848"/>
    <w:rsid w:val="00C521D6"/>
    <w:rsid w:val="00C55232"/>
    <w:rsid w:val="00C553A4"/>
    <w:rsid w:val="00C55A06"/>
    <w:rsid w:val="00C55D03"/>
    <w:rsid w:val="00C601BC"/>
    <w:rsid w:val="00C6329F"/>
    <w:rsid w:val="00C63340"/>
    <w:rsid w:val="00C643F9"/>
    <w:rsid w:val="00C64E95"/>
    <w:rsid w:val="00C71372"/>
    <w:rsid w:val="00C72410"/>
    <w:rsid w:val="00C7287F"/>
    <w:rsid w:val="00C80669"/>
    <w:rsid w:val="00C80982"/>
    <w:rsid w:val="00C80CB8"/>
    <w:rsid w:val="00C819F8"/>
    <w:rsid w:val="00C8248C"/>
    <w:rsid w:val="00C82ABF"/>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108"/>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2C91"/>
    <w:rsid w:val="00D5746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FC0"/>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3E00"/>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22D"/>
    <w:rsid w:val="00F157A9"/>
    <w:rsid w:val="00F25BB6"/>
    <w:rsid w:val="00F26B7E"/>
    <w:rsid w:val="00F27A3B"/>
    <w:rsid w:val="00F33817"/>
    <w:rsid w:val="00F420D5"/>
    <w:rsid w:val="00F451EA"/>
    <w:rsid w:val="00F45447"/>
    <w:rsid w:val="00F456C6"/>
    <w:rsid w:val="00F4577B"/>
    <w:rsid w:val="00F46496"/>
    <w:rsid w:val="00F474D0"/>
    <w:rsid w:val="00F47D42"/>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DF15B5A"/>
    <w:rsid w:val="50261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8626846EC3C4E8D9BCE1B307F04FF04"/>
        <w:style w:val=""/>
        <w:category>
          <w:name w:val="常规"/>
          <w:gallery w:val="placeholder"/>
        </w:category>
        <w:types>
          <w:type w:val="bbPlcHdr"/>
        </w:types>
        <w:behaviors>
          <w:behavior w:val="content"/>
        </w:behaviors>
        <w:description w:val=""/>
        <w:guid w:val="{E50D46DE-AA95-4613-85AD-897A95315320}"/>
      </w:docPartPr>
      <w:docPartBody>
        <w:p>
          <w:pPr>
            <w:pStyle w:val="5"/>
          </w:pPr>
          <w:r>
            <w:rPr>
              <w:rStyle w:val="4"/>
              <w:rFonts w:hint="eastAsia"/>
            </w:rPr>
            <w:t>单击或点击此处输入文字。</w:t>
          </w:r>
        </w:p>
      </w:docPartBody>
    </w:docPart>
    <w:docPart>
      <w:docPartPr>
        <w:name w:val="D64139274B44490B877A248B5FDD7D46"/>
        <w:style w:val=""/>
        <w:category>
          <w:name w:val="常规"/>
          <w:gallery w:val="placeholder"/>
        </w:category>
        <w:types>
          <w:type w:val="bbPlcHdr"/>
        </w:types>
        <w:behaviors>
          <w:behavior w:val="content"/>
        </w:behaviors>
        <w:description w:val=""/>
        <w:guid w:val="{3E9E6F6D-F0DB-404A-B3BA-2D9E63A09958}"/>
      </w:docPartPr>
      <w:docPartBody>
        <w:p>
          <w:pPr>
            <w:pStyle w:val="6"/>
          </w:pPr>
          <w:r>
            <w:rPr>
              <w:rStyle w:val="4"/>
              <w:rFonts w:hint="eastAsia"/>
            </w:rPr>
            <w:t>选择一项。</w:t>
          </w:r>
        </w:p>
      </w:docPartBody>
    </w:docPart>
    <w:docPart>
      <w:docPartPr>
        <w:name w:val="E06BEDD246824A018C7C24849BB0BA6F"/>
        <w:style w:val=""/>
        <w:category>
          <w:name w:val="常规"/>
          <w:gallery w:val="placeholder"/>
        </w:category>
        <w:types>
          <w:type w:val="bbPlcHdr"/>
        </w:types>
        <w:behaviors>
          <w:behavior w:val="content"/>
        </w:behaviors>
        <w:description w:val=""/>
        <w:guid w:val="{2321F027-19E8-4FEE-9258-599D3ECF699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74"/>
    <w:rsid w:val="002B5DD1"/>
    <w:rsid w:val="0030790D"/>
    <w:rsid w:val="004D3A2F"/>
    <w:rsid w:val="00663E6E"/>
    <w:rsid w:val="00694ACE"/>
    <w:rsid w:val="006B1980"/>
    <w:rsid w:val="00B41774"/>
    <w:rsid w:val="00F178F0"/>
    <w:rsid w:val="00FC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8626846EC3C4E8D9BCE1B307F04FF0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64139274B44490B877A248B5FDD7D4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06BEDD246824A018C7C24849BB0BA6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A2A43E-F3E9-4894-8917-85900F3F8CF7}">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1971</Words>
  <Characters>2627</Characters>
  <Lines>31</Lines>
  <Paragraphs>8</Paragraphs>
  <TotalTime>2</TotalTime>
  <ScaleCrop>false</ScaleCrop>
  <LinksUpToDate>false</LinksUpToDate>
  <CharactersWithSpaces>2812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2023-05-22T01:19:00Z</dcterms:created>
  <dc:creator>DELL</dc:creator>
  <dc:description>&lt;config cover="true" show_menu="true" version="1.0.0" doctype="SDKXY"&gt;_x000d_
&lt;/config&gt;</dc:description>
  <cp:lastModifiedBy>王小山</cp:lastModifiedBy>
  <cp:lastPrinted>2023-05-29T02:14:12Z</cp:lastPrinted>
  <dcterms:modified xsi:type="dcterms:W3CDTF">2023-05-29T03:05:54Z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8A3BFB8B054943EDB4EDCFF93E0968CF_12</vt:lpwstr>
  </property>
</Properties>
</file>