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黑体" w:hAnsi="黑体" w:eastAsia="黑体" w:cs="黑体"/>
          <w:color w:val="000000"/>
          <w:sz w:val="30"/>
          <w:szCs w:val="30"/>
        </w:rPr>
        <w:t>安徽省地方标准编制说明</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87"/>
        <w:gridCol w:w="3895"/>
        <w:gridCol w:w="1483"/>
        <w:gridCol w:w="105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1" w:type="dxa"/>
            <w:gridSpan w:val="2"/>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标准名称</w:t>
            </w:r>
          </w:p>
        </w:tc>
        <w:tc>
          <w:tcPr>
            <w:tcW w:w="7889" w:type="dxa"/>
            <w:gridSpan w:val="4"/>
            <w:vAlign w:val="center"/>
          </w:tcPr>
          <w:p>
            <w:pPr>
              <w:pStyle w:val="13"/>
              <w:adjustRightInd w:val="0"/>
              <w:spacing w:line="360" w:lineRule="auto"/>
              <w:ind w:firstLine="0" w:firstLineChars="0"/>
              <w:contextualSpacing/>
              <w:rPr>
                <w:rFonts w:hAnsi="宋体"/>
                <w:szCs w:val="21"/>
              </w:rPr>
            </w:pPr>
            <w:r>
              <w:rPr>
                <w:rFonts w:hint="eastAsia"/>
              </w:rPr>
              <w:t>长大桥梁无人机巡检作业技术规程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1" w:type="dxa"/>
            <w:gridSpan w:val="2"/>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任务来源</w:t>
            </w:r>
          </w:p>
          <w:p>
            <w:pPr>
              <w:pStyle w:val="13"/>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7889" w:type="dxa"/>
            <w:gridSpan w:val="4"/>
            <w:vAlign w:val="center"/>
          </w:tcPr>
          <w:p>
            <w:pPr>
              <w:keepNext w:val="0"/>
              <w:keepLines w:val="0"/>
              <w:widowControl/>
              <w:suppressLineNumbers w:val="0"/>
              <w:jc w:val="left"/>
              <w:rPr>
                <w:rFonts w:hint="eastAsia" w:eastAsia="宋体" w:cs="Times New Roman" w:asciiTheme="minorEastAsia" w:hAnsiTheme="minorEastAsia"/>
                <w:kern w:val="0"/>
                <w:sz w:val="21"/>
                <w:szCs w:val="21"/>
                <w:lang w:val="en-US" w:eastAsia="zh-CN" w:bidi="ar-SA"/>
              </w:rPr>
            </w:pPr>
            <w:r>
              <w:rPr>
                <w:rFonts w:hint="eastAsia" w:eastAsia="宋体" w:cs="Times New Roman" w:asciiTheme="minorEastAsia" w:hAnsiTheme="minorEastAsia"/>
                <w:kern w:val="0"/>
                <w:sz w:val="21"/>
                <w:szCs w:val="21"/>
                <w:lang w:val="en-US" w:eastAsia="zh-CN" w:bidi="ar-SA"/>
              </w:rPr>
              <w:t xml:space="preserve">关于下达 </w:t>
            </w:r>
            <w:r>
              <w:rPr>
                <w:rFonts w:hint="default" w:eastAsia="宋体" w:cs="Times New Roman" w:asciiTheme="minorEastAsia" w:hAnsiTheme="minorEastAsia"/>
                <w:kern w:val="0"/>
                <w:sz w:val="21"/>
                <w:szCs w:val="21"/>
                <w:lang w:val="en-US" w:eastAsia="zh-CN" w:bidi="ar-SA"/>
              </w:rPr>
              <w:t>2022年第一批长三角区域地方标准制定项目计划的通知</w:t>
            </w:r>
          </w:p>
          <w:p>
            <w:pPr>
              <w:pStyle w:val="13"/>
              <w:adjustRightInd w:val="0"/>
              <w:spacing w:line="360" w:lineRule="auto"/>
              <w:ind w:firstLine="0" w:firstLineChars="0"/>
              <w:contextualSpacing/>
              <w:rPr>
                <w:rFonts w:hAnsi="宋体"/>
                <w:szCs w:val="21"/>
              </w:rPr>
            </w:pPr>
            <w:r>
              <w:rPr>
                <w:rFonts w:hint="eastAsia" w:cs="Times New Roman" w:asciiTheme="minorEastAsia" w:hAnsiTheme="minorEastAsia"/>
                <w:kern w:val="0"/>
                <w:sz w:val="21"/>
                <w:szCs w:val="21"/>
                <w:lang w:val="en-US" w:eastAsia="zh-CN" w:bidi="ar-SA"/>
              </w:rPr>
              <w:t>（</w:t>
            </w:r>
            <w:r>
              <w:rPr>
                <w:rFonts w:hint="default" w:eastAsia="宋体" w:cs="Times New Roman" w:asciiTheme="minorEastAsia" w:hAnsiTheme="minorEastAsia"/>
                <w:kern w:val="0"/>
                <w:sz w:val="21"/>
                <w:szCs w:val="21"/>
                <w:lang w:val="en-US" w:eastAsia="zh-CN" w:bidi="ar-SA"/>
              </w:rPr>
              <w:t>苏市监标〔2022〕194 号</w:t>
            </w:r>
            <w:r>
              <w:rPr>
                <w:rFonts w:hint="eastAsia" w:cs="Times New Roman" w:asciiTheme="minorEastAsia" w:hAnsiTheme="minorEastAsia"/>
                <w:kern w:val="0"/>
                <w:sz w:val="21"/>
                <w:szCs w:val="21"/>
                <w:lang w:val="en-US" w:eastAsia="zh-CN" w:bidi="ar-SA"/>
              </w:rPr>
              <w:t>）（序号4）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1" w:type="dxa"/>
            <w:gridSpan w:val="2"/>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第一起草单位</w:t>
            </w:r>
          </w:p>
          <w:p>
            <w:pPr>
              <w:pStyle w:val="13"/>
              <w:adjustRightInd w:val="0"/>
              <w:spacing w:line="360" w:lineRule="auto"/>
              <w:ind w:firstLine="0" w:firstLineChars="0"/>
              <w:contextualSpacing/>
              <w:jc w:val="center"/>
              <w:rPr>
                <w:rFonts w:hAnsi="宋体"/>
                <w:szCs w:val="21"/>
              </w:rPr>
            </w:pPr>
            <w:r>
              <w:rPr>
                <w:rFonts w:hint="eastAsia" w:hAnsi="宋体"/>
                <w:szCs w:val="21"/>
              </w:rPr>
              <w:t>（盖章）</w:t>
            </w:r>
          </w:p>
        </w:tc>
        <w:tc>
          <w:tcPr>
            <w:tcW w:w="7889" w:type="dxa"/>
            <w:gridSpan w:val="4"/>
            <w:vAlign w:val="center"/>
          </w:tcPr>
          <w:p>
            <w:pPr>
              <w:pStyle w:val="13"/>
              <w:adjustRightInd w:val="0"/>
              <w:spacing w:line="360" w:lineRule="auto"/>
              <w:ind w:firstLine="0" w:firstLineChars="0"/>
              <w:contextualSpacing/>
              <w:rPr>
                <w:rFonts w:hAnsi="宋体"/>
                <w:szCs w:val="21"/>
              </w:rPr>
            </w:pPr>
            <w:r>
              <w:rPr>
                <w:rFonts w:hint="eastAsia" w:asciiTheme="minorEastAsia" w:hAnsiTheme="minorEastAsia"/>
                <w:szCs w:val="21"/>
              </w:rPr>
              <w:t>安徽省交通控股集团有限公司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1" w:type="dxa"/>
            <w:gridSpan w:val="2"/>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单位地址</w:t>
            </w:r>
          </w:p>
        </w:tc>
        <w:tc>
          <w:tcPr>
            <w:tcW w:w="7889" w:type="dxa"/>
            <w:gridSpan w:val="4"/>
            <w:vAlign w:val="center"/>
          </w:tcPr>
          <w:p>
            <w:pPr>
              <w:pStyle w:val="13"/>
              <w:adjustRightInd w:val="0"/>
              <w:spacing w:line="360" w:lineRule="auto"/>
              <w:ind w:firstLine="0" w:firstLineChars="0"/>
              <w:contextualSpacing/>
              <w:rPr>
                <w:rFonts w:hAnsi="宋体"/>
                <w:szCs w:val="21"/>
              </w:rPr>
            </w:pPr>
            <w:r>
              <w:rPr>
                <w:rFonts w:hint="eastAsia" w:asciiTheme="minorEastAsia" w:hAnsiTheme="minorEastAsia"/>
                <w:szCs w:val="21"/>
              </w:rPr>
              <w:t>安徽省合肥市望江西路520号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1" w:type="dxa"/>
            <w:gridSpan w:val="2"/>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7889" w:type="dxa"/>
            <w:gridSpan w:val="4"/>
            <w:vAlign w:val="center"/>
          </w:tcPr>
          <w:p>
            <w:pPr>
              <w:pStyle w:val="13"/>
              <w:adjustRightInd w:val="0"/>
              <w:contextualSpacing/>
              <w:rPr>
                <w:rFonts w:asciiTheme="minorEastAsia" w:hAnsiTheme="minorEastAsia"/>
              </w:rPr>
            </w:pPr>
            <w:r>
              <w:rPr>
                <w:rFonts w:hint="eastAsia" w:asciiTheme="minorEastAsia" w:hAnsiTheme="minorEastAsia"/>
              </w:rPr>
              <w:t>上海市城建城市运营（集团）有限公司</w:t>
            </w:r>
          </w:p>
          <w:p>
            <w:pPr>
              <w:pStyle w:val="13"/>
              <w:adjustRightInd w:val="0"/>
              <w:contextualSpacing/>
              <w:rPr>
                <w:rFonts w:asciiTheme="minorEastAsia" w:hAnsiTheme="minorEastAsia"/>
              </w:rPr>
            </w:pPr>
            <w:r>
              <w:rPr>
                <w:rFonts w:hint="eastAsia" w:asciiTheme="minorEastAsia" w:hAnsiTheme="minorEastAsia"/>
              </w:rPr>
              <w:t>江苏高速公路工程养护技术有限公司</w:t>
            </w:r>
          </w:p>
          <w:p>
            <w:pPr>
              <w:pStyle w:val="13"/>
              <w:adjustRightInd w:val="0"/>
              <w:contextualSpacing/>
              <w:rPr>
                <w:rFonts w:asciiTheme="minorEastAsia" w:hAnsiTheme="minorEastAsia"/>
              </w:rPr>
            </w:pPr>
            <w:r>
              <w:rPr>
                <w:rFonts w:hint="eastAsia" w:asciiTheme="minorEastAsia" w:hAnsiTheme="minorEastAsia"/>
              </w:rPr>
              <w:t>浙江省交通运输科学研究院</w:t>
            </w:r>
          </w:p>
          <w:p>
            <w:pPr>
              <w:pStyle w:val="13"/>
              <w:adjustRightInd w:val="0"/>
              <w:contextualSpacing/>
              <w:rPr>
                <w:rFonts w:asciiTheme="minorEastAsia" w:hAnsiTheme="minorEastAsia"/>
              </w:rPr>
            </w:pPr>
            <w:r>
              <w:rPr>
                <w:rFonts w:hint="eastAsia" w:asciiTheme="minorEastAsia" w:hAnsiTheme="minorEastAsia"/>
              </w:rPr>
              <w:t>中铁桥研科技有限公司</w:t>
            </w:r>
          </w:p>
          <w:p>
            <w:pPr>
              <w:pStyle w:val="13"/>
              <w:adjustRightInd w:val="0"/>
              <w:contextualSpacing/>
              <w:rPr>
                <w:rFonts w:asciiTheme="minorEastAsia" w:hAnsiTheme="minorEastAsia"/>
              </w:rPr>
            </w:pPr>
            <w:r>
              <w:rPr>
                <w:rFonts w:hint="eastAsia" w:asciiTheme="minorEastAsia" w:hAnsiTheme="minorEastAsia"/>
              </w:rPr>
              <w:t>安徽圭目机器人有限公司</w:t>
            </w:r>
          </w:p>
          <w:p>
            <w:pPr>
              <w:pStyle w:val="13"/>
              <w:adjustRightInd w:val="0"/>
              <w:contextualSpacing/>
              <w:rPr>
                <w:rFonts w:asciiTheme="minorEastAsia" w:hAnsiTheme="minorEastAsia"/>
              </w:rPr>
            </w:pPr>
            <w:r>
              <w:rPr>
                <w:rFonts w:hint="eastAsia" w:asciiTheme="minorEastAsia" w:hAnsiTheme="minorEastAsia"/>
              </w:rPr>
              <w:t>上海市交通发展研究中心</w:t>
            </w:r>
          </w:p>
          <w:p>
            <w:pPr>
              <w:pStyle w:val="13"/>
              <w:adjustRightInd w:val="0"/>
              <w:contextualSpacing/>
              <w:rPr>
                <w:rFonts w:asciiTheme="minorEastAsia" w:hAnsiTheme="minorEastAsia"/>
              </w:rPr>
            </w:pPr>
            <w:r>
              <w:rPr>
                <w:rFonts w:hint="eastAsia" w:asciiTheme="minorEastAsia" w:hAnsiTheme="minorEastAsia"/>
              </w:rPr>
              <w:t>上海玄风航空科技有限公司</w:t>
            </w:r>
          </w:p>
          <w:p>
            <w:pPr>
              <w:pStyle w:val="13"/>
              <w:adjustRightInd w:val="0"/>
              <w:contextualSpacing/>
              <w:rPr>
                <w:rFonts w:asciiTheme="minorEastAsia" w:hAnsiTheme="minorEastAsia"/>
              </w:rPr>
            </w:pPr>
            <w:r>
              <w:rPr>
                <w:rFonts w:hint="eastAsia" w:asciiTheme="minorEastAsia" w:hAnsiTheme="minorEastAsia"/>
              </w:rPr>
              <w:t>华设设计集团股份有限公司</w:t>
            </w:r>
          </w:p>
          <w:p>
            <w:pPr>
              <w:pStyle w:val="13"/>
              <w:adjustRightInd w:val="0"/>
              <w:contextualSpacing/>
              <w:rPr>
                <w:rFonts w:asciiTheme="minorEastAsia" w:hAnsiTheme="minorEastAsia"/>
              </w:rPr>
            </w:pPr>
            <w:r>
              <w:rPr>
                <w:rFonts w:hint="eastAsia" w:asciiTheme="minorEastAsia" w:hAnsiTheme="minorEastAsia"/>
              </w:rPr>
              <w:t>苏交科集团股份有限公司</w:t>
            </w:r>
          </w:p>
          <w:p>
            <w:pPr>
              <w:pStyle w:val="13"/>
              <w:adjustRightInd w:val="0"/>
              <w:contextualSpacing/>
              <w:rPr>
                <w:rFonts w:asciiTheme="minorEastAsia" w:hAnsiTheme="minorEastAsia"/>
              </w:rPr>
            </w:pPr>
            <w:r>
              <w:rPr>
                <w:rFonts w:hint="eastAsia" w:asciiTheme="minorEastAsia" w:hAnsiTheme="minorEastAsia"/>
              </w:rPr>
              <w:t>浙江沪杭甬高速公路股份有限公司</w:t>
            </w:r>
          </w:p>
          <w:p>
            <w:pPr>
              <w:pStyle w:val="13"/>
              <w:adjustRightInd w:val="0"/>
              <w:contextualSpacing/>
              <w:rPr>
                <w:rFonts w:asciiTheme="minorEastAsia" w:hAnsiTheme="minorEastAsia"/>
              </w:rPr>
            </w:pPr>
            <w:r>
              <w:rPr>
                <w:rFonts w:hint="eastAsia" w:asciiTheme="minorEastAsia" w:hAnsiTheme="minorEastAsia"/>
              </w:rPr>
              <w:t>浙江交工高等级公路养护公司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序号</w:t>
            </w:r>
          </w:p>
        </w:tc>
        <w:tc>
          <w:tcPr>
            <w:tcW w:w="987" w:type="dxa"/>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姓名</w:t>
            </w:r>
          </w:p>
        </w:tc>
        <w:tc>
          <w:tcPr>
            <w:tcW w:w="3895" w:type="dxa"/>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单位</w:t>
            </w:r>
          </w:p>
        </w:tc>
        <w:tc>
          <w:tcPr>
            <w:tcW w:w="1483" w:type="dxa"/>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职务</w:t>
            </w:r>
          </w:p>
        </w:tc>
        <w:tc>
          <w:tcPr>
            <w:tcW w:w="1058" w:type="dxa"/>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职称</w:t>
            </w:r>
          </w:p>
        </w:tc>
        <w:tc>
          <w:tcPr>
            <w:tcW w:w="1453" w:type="dxa"/>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4" w:type="dxa"/>
            <w:vAlign w:val="center"/>
          </w:tcPr>
          <w:p>
            <w:pPr>
              <w:pStyle w:val="13"/>
              <w:ind w:firstLine="0" w:firstLineChars="0"/>
              <w:jc w:val="center"/>
              <w:rPr>
                <w:rFonts w:hAnsi="宋体"/>
                <w:szCs w:val="21"/>
              </w:rPr>
            </w:pPr>
            <w:r>
              <w:rPr>
                <w:rFonts w:hint="eastAsia" w:hAnsi="宋体"/>
                <w:szCs w:val="21"/>
              </w:rPr>
              <w:t>1</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4" w:type="dxa"/>
            <w:vAlign w:val="center"/>
          </w:tcPr>
          <w:p>
            <w:pPr>
              <w:pStyle w:val="13"/>
              <w:ind w:firstLine="0" w:firstLineChars="0"/>
              <w:jc w:val="center"/>
              <w:rPr>
                <w:rFonts w:hAnsi="宋体"/>
                <w:szCs w:val="21"/>
              </w:rPr>
            </w:pPr>
            <w:r>
              <w:rPr>
                <w:rFonts w:hint="eastAsia" w:hAnsi="宋体"/>
                <w:szCs w:val="21"/>
              </w:rPr>
              <w:t>2</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3</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4</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Ansi="宋体"/>
                <w:szCs w:val="21"/>
              </w:rPr>
              <w:t>5</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6</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7</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8</w:t>
            </w:r>
          </w:p>
        </w:tc>
        <w:tc>
          <w:tcPr>
            <w:tcW w:w="987" w:type="dxa"/>
            <w:vAlign w:val="center"/>
          </w:tcPr>
          <w:p/>
        </w:tc>
        <w:tc>
          <w:tcPr>
            <w:tcW w:w="3895" w:type="dxa"/>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9</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10</w:t>
            </w:r>
          </w:p>
        </w:tc>
        <w:tc>
          <w:tcPr>
            <w:tcW w:w="987" w:type="dxa"/>
            <w:vAlign w:val="center"/>
          </w:tcPr>
          <w:p/>
        </w:tc>
        <w:tc>
          <w:tcPr>
            <w:tcW w:w="3895" w:type="dxa"/>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11</w:t>
            </w:r>
          </w:p>
        </w:tc>
        <w:tc>
          <w:tcPr>
            <w:tcW w:w="987" w:type="dxa"/>
            <w:vAlign w:val="center"/>
          </w:tcPr>
          <w:p/>
        </w:tc>
        <w:tc>
          <w:tcPr>
            <w:tcW w:w="3895" w:type="dxa"/>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12</w:t>
            </w:r>
          </w:p>
        </w:tc>
        <w:tc>
          <w:tcPr>
            <w:tcW w:w="987" w:type="dxa"/>
            <w:vAlign w:val="center"/>
          </w:tcPr>
          <w:p/>
        </w:tc>
        <w:tc>
          <w:tcPr>
            <w:tcW w:w="3895" w:type="dxa"/>
            <w:vAlign w:val="center"/>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13</w:t>
            </w:r>
          </w:p>
        </w:tc>
        <w:tc>
          <w:tcPr>
            <w:tcW w:w="987" w:type="dxa"/>
            <w:vAlign w:val="center"/>
          </w:tcPr>
          <w:p/>
        </w:tc>
        <w:tc>
          <w:tcPr>
            <w:tcW w:w="3895" w:type="dxa"/>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vAlign w:val="center"/>
          </w:tcPr>
          <w:p>
            <w:pPr>
              <w:pStyle w:val="13"/>
              <w:ind w:firstLine="0" w:firstLineChars="0"/>
              <w:jc w:val="center"/>
              <w:rPr>
                <w:rFonts w:hAnsi="宋体"/>
                <w:szCs w:val="21"/>
              </w:rPr>
            </w:pPr>
            <w:r>
              <w:rPr>
                <w:rFonts w:hint="eastAsia" w:hAnsi="宋体"/>
                <w:szCs w:val="21"/>
              </w:rPr>
              <w:t>14</w:t>
            </w:r>
          </w:p>
        </w:tc>
        <w:tc>
          <w:tcPr>
            <w:tcW w:w="987" w:type="dxa"/>
            <w:vAlign w:val="center"/>
          </w:tcPr>
          <w:p/>
        </w:tc>
        <w:tc>
          <w:tcPr>
            <w:tcW w:w="3895" w:type="dxa"/>
          </w:tcPr>
          <w:p/>
        </w:tc>
        <w:tc>
          <w:tcPr>
            <w:tcW w:w="1483" w:type="dxa"/>
            <w:vAlign w:val="center"/>
          </w:tcPr>
          <w:p/>
        </w:tc>
        <w:tc>
          <w:tcPr>
            <w:tcW w:w="1058" w:type="dxa"/>
            <w:vAlign w:val="center"/>
          </w:tcPr>
          <w:p/>
        </w:tc>
        <w:tc>
          <w:tcPr>
            <w:tcW w:w="145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jc w:val="center"/>
              <w:rPr>
                <w:rFonts w:hAnsi="宋体"/>
                <w:szCs w:val="21"/>
              </w:rPr>
            </w:pPr>
            <w:r>
              <w:rPr>
                <w:rFonts w:hint="eastAsia" w:hAnsi="宋体"/>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r>
              <w:rPr>
                <w:rFonts w:hint="eastAsia" w:hAnsi="宋体"/>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contextualSpacing/>
              <w:rPr>
                <w:rFonts w:hAnsi="宋体"/>
                <w:szCs w:val="21"/>
              </w:rPr>
            </w:pPr>
            <w:r>
              <w:rPr>
                <w:rFonts w:hint="eastAsia" w:ascii="Times New Roman" w:hAnsi="Times New Roman" w:eastAsia="宋体" w:cs="Times New Roman"/>
                <w:kern w:val="0"/>
                <w:sz w:val="21"/>
                <w:szCs w:val="24"/>
                <w:lang w:val="en-US" w:eastAsia="zh-CN" w:bidi="ar-SA"/>
              </w:rPr>
              <w:t xml:space="preserve">2022年6月，收到江苏省市场监督管理局、上海市市场监督管理局、浙江省市场监督管理局、安徽省市场监督管理局《关于下达 </w:t>
            </w:r>
            <w:r>
              <w:rPr>
                <w:rFonts w:hint="default" w:ascii="Times New Roman" w:hAnsi="Times New Roman" w:eastAsia="宋体" w:cs="Times New Roman"/>
                <w:kern w:val="0"/>
                <w:sz w:val="21"/>
                <w:szCs w:val="24"/>
                <w:lang w:val="en-US" w:eastAsia="zh-CN" w:bidi="ar-SA"/>
              </w:rPr>
              <w:t>2022年第一批长三角区域地方标准制定项目计划的通知</w:t>
            </w:r>
            <w:r>
              <w:rPr>
                <w:rFonts w:hint="eastAsia" w:ascii="Times New Roman" w:hAnsi="Times New Roman" w:cs="Times New Roman"/>
                <w:kern w:val="0"/>
                <w:sz w:val="21"/>
                <w:szCs w:val="24"/>
                <w:lang w:val="en-US" w:eastAsia="zh-CN" w:bidi="ar-SA"/>
              </w:rPr>
              <w:t>》</w:t>
            </w:r>
            <w:r>
              <w:rPr>
                <w:rFonts w:hint="eastAsia" w:ascii="Times New Roman" w:hAnsi="Times New Roman" w:eastAsia="宋体" w:cs="Times New Roman"/>
                <w:kern w:val="0"/>
                <w:sz w:val="21"/>
                <w:szCs w:val="24"/>
                <w:lang w:val="en-US" w:eastAsia="zh-CN" w:bidi="ar-SA"/>
              </w:rPr>
              <w:t>（</w:t>
            </w:r>
            <w:r>
              <w:rPr>
                <w:rFonts w:hint="default" w:ascii="Times New Roman" w:hAnsi="Times New Roman" w:eastAsia="宋体" w:cs="Times New Roman"/>
                <w:kern w:val="0"/>
                <w:sz w:val="21"/>
                <w:szCs w:val="24"/>
                <w:lang w:val="en-US" w:eastAsia="zh-CN" w:bidi="ar-SA"/>
              </w:rPr>
              <w:t>苏市监标〔2022〕194 号</w:t>
            </w:r>
            <w:r>
              <w:rPr>
                <w:rFonts w:hint="eastAsia" w:ascii="Times New Roman" w:hAnsi="Times New Roman" w:eastAsia="宋体" w:cs="Times New Roman"/>
                <w:kern w:val="0"/>
                <w:sz w:val="21"/>
                <w:szCs w:val="24"/>
                <w:lang w:val="en-US" w:eastAsia="zh-CN" w:bidi="ar-SA"/>
              </w:rPr>
              <w:t>）（序号4），项目正式启动。</w:t>
            </w:r>
          </w:p>
          <w:p>
            <w:pPr>
              <w:pStyle w:val="13"/>
              <w:adjustRightInd w:val="0"/>
              <w:spacing w:line="360" w:lineRule="auto"/>
              <w:contextualSpacing/>
              <w:rPr>
                <w:rFonts w:ascii="Times New Roman"/>
              </w:rPr>
            </w:pPr>
            <w:r>
              <w:rPr>
                <w:rFonts w:hint="eastAsia" w:ascii="Times New Roman" w:hAnsi="Times New Roman" w:eastAsia="宋体" w:cs="Times New Roman"/>
                <w:kern w:val="0"/>
                <w:sz w:val="21"/>
                <w:szCs w:val="24"/>
                <w:lang w:val="en-US" w:eastAsia="zh-CN" w:bidi="ar-SA"/>
              </w:rPr>
              <w:t>标准起草过程：2022年 8月安徽省交通控股集团有限公司成立了标准编写组；2022年9月组织调研；2022年11月完成初稿编制；202</w:t>
            </w:r>
            <w:r>
              <w:rPr>
                <w:rFonts w:hint="default" w:ascii="Times New Roman" w:hAnsi="Times New Roman" w:eastAsia="宋体" w:cs="Times New Roman"/>
                <w:kern w:val="0"/>
                <w:sz w:val="21"/>
                <w:szCs w:val="24"/>
                <w:lang w:val="en-US" w:eastAsia="zh-CN" w:bidi="ar-SA"/>
              </w:rPr>
              <w:t>2</w:t>
            </w:r>
            <w:r>
              <w:rPr>
                <w:rFonts w:hint="eastAsia" w:ascii="Times New Roman" w:hAnsi="Times New Roman" w:eastAsia="宋体" w:cs="Times New Roman"/>
                <w:kern w:val="0"/>
                <w:sz w:val="21"/>
                <w:szCs w:val="24"/>
                <w:lang w:val="en-US" w:eastAsia="zh-CN" w:bidi="ar-SA"/>
              </w:rPr>
              <w:t>年</w:t>
            </w:r>
            <w:r>
              <w:rPr>
                <w:rFonts w:hint="default" w:ascii="Times New Roman" w:hAnsi="Times New Roman" w:eastAsia="宋体" w:cs="Times New Roman"/>
                <w:kern w:val="0"/>
                <w:sz w:val="21"/>
                <w:szCs w:val="24"/>
                <w:lang w:val="en-US" w:eastAsia="zh-CN" w:bidi="ar-SA"/>
              </w:rPr>
              <w:t>12</w:t>
            </w:r>
            <w:r>
              <w:rPr>
                <w:rFonts w:hint="eastAsia" w:ascii="Times New Roman" w:hAnsi="Times New Roman" w:eastAsia="宋体" w:cs="Times New Roman"/>
                <w:kern w:val="0"/>
                <w:sz w:val="21"/>
                <w:szCs w:val="24"/>
                <w:lang w:val="en-US" w:eastAsia="zh-CN" w:bidi="ar-SA"/>
              </w:rPr>
              <w:t>月组织多次内部讨论，并结合实际进行验证，修改完善内部讨论稿；2023年1月3日，安徽省交通运输厅在合肥组织召开该标准编制工作会议；2023年1月-3月，共向11家参编单位征集意见建议67条，经过5轮修订完善，形成标准征求意见稿草案；202</w:t>
            </w:r>
            <w:r>
              <w:rPr>
                <w:rFonts w:hint="default" w:ascii="Times New Roman" w:hAnsi="Times New Roman" w:eastAsia="宋体" w:cs="Times New Roman"/>
                <w:kern w:val="0"/>
                <w:sz w:val="21"/>
                <w:szCs w:val="24"/>
                <w:lang w:val="en-US" w:eastAsia="zh-CN" w:bidi="ar-SA"/>
              </w:rPr>
              <w:t>3</w:t>
            </w:r>
            <w:r>
              <w:rPr>
                <w:rFonts w:hint="eastAsia" w:ascii="Times New Roman" w:hAnsi="Times New Roman" w:eastAsia="宋体" w:cs="Times New Roman"/>
                <w:kern w:val="0"/>
                <w:sz w:val="21"/>
                <w:szCs w:val="24"/>
                <w:lang w:val="en-US" w:eastAsia="zh-CN" w:bidi="ar-SA"/>
              </w:rPr>
              <w:t>年0</w:t>
            </w:r>
            <w:r>
              <w:rPr>
                <w:rFonts w:hint="default" w:ascii="Times New Roman" w:hAnsi="Times New Roman" w:eastAsia="宋体" w:cs="Times New Roman"/>
                <w:kern w:val="0"/>
                <w:sz w:val="21"/>
                <w:szCs w:val="24"/>
                <w:lang w:val="en-US" w:eastAsia="zh-CN" w:bidi="ar-SA"/>
              </w:rPr>
              <w:t>4</w:t>
            </w:r>
            <w:r>
              <w:rPr>
                <w:rFonts w:hint="eastAsia" w:ascii="Times New Roman" w:hAnsi="Times New Roman" w:eastAsia="宋体" w:cs="Times New Roman"/>
                <w:kern w:val="0"/>
                <w:sz w:val="21"/>
                <w:szCs w:val="24"/>
                <w:lang w:val="en-US" w:eastAsia="zh-CN" w:bidi="ar-SA"/>
              </w:rPr>
              <w:t>月组织召开地方标准征求意见稿讨论会，根据专家的意见完善征求意见稿。</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r>
              <w:rPr>
                <w:rFonts w:hint="eastAsia" w:hAnsi="宋体"/>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contextualSpacing/>
              <w:rPr>
                <w:rFonts w:hAnsi="宋体"/>
                <w:szCs w:val="21"/>
              </w:rPr>
            </w:pPr>
            <w:r>
              <w:rPr>
                <w:rFonts w:hint="eastAsia" w:hAnsi="宋体"/>
                <w:szCs w:val="21"/>
              </w:rPr>
              <w:t>长三角地区跨海、跨江等长大桥梁众多，随着桥梁服役时间的增加，桥梁各结构部件会出现各种病害。由于长大桥梁结构复杂，主塔、缆索系统、主梁梁底等不可到达部位检查手段有限，传统的检查方法和检查频率不能满足管养需求。</w:t>
            </w:r>
          </w:p>
          <w:p>
            <w:pPr>
              <w:pStyle w:val="13"/>
              <w:adjustRightInd w:val="0"/>
              <w:spacing w:line="360" w:lineRule="auto"/>
              <w:contextualSpacing/>
              <w:rPr>
                <w:rFonts w:hAnsi="宋体"/>
                <w:szCs w:val="21"/>
              </w:rPr>
            </w:pPr>
            <w:r>
              <w:rPr>
                <w:rFonts w:hint="eastAsia" w:hAnsi="宋体"/>
                <w:szCs w:val="21"/>
              </w:rPr>
              <w:t>近年来，无人机市场发展迅速，无人机应用行业和范围也越来越广泛。在长大桥梁养护巡查和检查中，可以帮助解决一些实际困难和风险。针对目前长大桥梁各类传统检查、检测中存在难全面、难及时、成本高、存在安全隐患等难点和局限性。使用无人机搭载高清相机能够及时、快速的发现桥梁病害；可利用无人机检查人工不能到达和不易到达的桥梁部位开展多角度的检查；可利用采集图像进行人工识别和智能分析，精准判断桥梁病害发展情况；同时使用无人机开展相关巡检业务，节约人力资源和机械设备成本，促进节能减排。因此长大桥梁各类检查中越来越多的采用无人机巡检的方式开展。</w:t>
            </w:r>
          </w:p>
          <w:p>
            <w:pPr>
              <w:pStyle w:val="13"/>
              <w:adjustRightInd w:val="0"/>
              <w:spacing w:line="360" w:lineRule="auto"/>
              <w:contextualSpacing/>
              <w:rPr>
                <w:rFonts w:hAnsi="宋体"/>
                <w:szCs w:val="21"/>
              </w:rPr>
            </w:pPr>
            <w:r>
              <w:rPr>
                <w:rFonts w:hint="eastAsia" w:hAnsi="宋体"/>
                <w:szCs w:val="21"/>
              </w:rPr>
              <w:t>现阶段国家和行业都暂未发布无人机在长大桥梁巡检中应用的相关规范，在长大桥梁无人机巡检应用中，关于长大桥梁专用的无人机巡检系统、数据采集、数据处理、设备维护保养、异常情况处置等无据可依，增加了无人机在桥梁巡检中的应用推广难度，也在一定程度上阻碍了无人机巡检在交通行业应用的可持续发展。</w:t>
            </w:r>
          </w:p>
          <w:p>
            <w:pPr>
              <w:pStyle w:val="13"/>
              <w:adjustRightInd w:val="0"/>
              <w:spacing w:line="360" w:lineRule="auto"/>
              <w:contextualSpacing/>
              <w:rPr>
                <w:rFonts w:hAnsi="宋体"/>
                <w:szCs w:val="21"/>
              </w:rPr>
            </w:pPr>
            <w:r>
              <w:rPr>
                <w:rFonts w:hint="eastAsia" w:hAnsi="宋体"/>
                <w:szCs w:val="21"/>
              </w:rPr>
              <w:t>本技术规程的实施，可以填补交通运输行业使用无人机在长大桥梁巡检操作规范上的空白，提高长大桥梁无人机检查作业的规范化水平，保证长大桥梁使用无人机开展巡检作业时的安全、规范、快速、高效，更好的发挥其功能。同时对于推动无人机在交通运输行业的应用与研发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r>
              <w:rPr>
                <w:rFonts w:hint="eastAsia" w:hAnsi="宋体"/>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spacing w:line="360" w:lineRule="auto"/>
              <w:ind w:firstLine="420" w:firstLineChars="200"/>
            </w:pPr>
            <w:r>
              <w:rPr>
                <w:rFonts w:hint="eastAsia"/>
              </w:rPr>
              <w:t>本标准是在充分调研了省内外长大桥梁无人机巡检作业的基础上制定，并参考了部分国家</w:t>
            </w:r>
            <w:r>
              <w:t>行业</w:t>
            </w:r>
            <w:r>
              <w:rPr>
                <w:rFonts w:hint="eastAsia"/>
              </w:rPr>
              <w:t>标准。标准的制定既充分考虑了现有相关标准</w:t>
            </w:r>
            <w:r>
              <w:t>内容</w:t>
            </w:r>
            <w:r>
              <w:rPr>
                <w:rFonts w:hint="eastAsia"/>
              </w:rPr>
              <w:t>，同时</w:t>
            </w:r>
            <w:r>
              <w:t>对</w:t>
            </w:r>
            <w:r>
              <w:rPr>
                <w:rFonts w:hint="eastAsia"/>
              </w:rPr>
              <w:t>长大桥梁无人机巡检作业</w:t>
            </w:r>
            <w:r>
              <w:t>等内容</w:t>
            </w:r>
            <w:r>
              <w:rPr>
                <w:rFonts w:hint="eastAsia"/>
              </w:rPr>
              <w:t>进行</w:t>
            </w:r>
            <w:r>
              <w:t>了</w:t>
            </w:r>
            <w:r>
              <w:rPr>
                <w:rFonts w:hint="eastAsia"/>
              </w:rPr>
              <w:t>补充。本标准在制定上，引用了部分有关联内容的国家行业标准，是对现有国家行业标准的重要补充。</w:t>
            </w:r>
          </w:p>
          <w:p>
            <w:pPr>
              <w:spacing w:line="360" w:lineRule="auto"/>
              <w:ind w:firstLine="420" w:firstLineChars="200"/>
              <w:rPr>
                <w:rFonts w:ascii="宋体" w:hAnsi="Times New Roman"/>
                <w:kern w:val="0"/>
                <w:szCs w:val="20"/>
              </w:rPr>
            </w:pPr>
            <w:r>
              <w:rPr>
                <w:rFonts w:hint="eastAsia"/>
              </w:rPr>
              <w:t>本标准与现行相关法律、法规、规章及相关标准协调一致。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r>
              <w:rPr>
                <w:rFonts w:hint="eastAsia" w:hAnsi="宋体"/>
                <w:szCs w:val="21"/>
              </w:rPr>
              <w:t>4、主要条款的说明，主要技术指标、参数、试验验证的论述（</w:t>
            </w:r>
            <w:r>
              <w:rPr>
                <w:rFonts w:hint="eastAsia" w:hAnsi="宋体"/>
                <w:b/>
                <w:szCs w:val="21"/>
              </w:rPr>
              <w:t>详细说明</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400" w:lineRule="atLeast"/>
              <w:ind w:firstLine="0" w:firstLineChars="0"/>
              <w:contextualSpacing/>
              <w:rPr>
                <w:rFonts w:ascii="Calibri" w:hAnsi="Calibri"/>
                <w:kern w:val="2"/>
                <w:szCs w:val="21"/>
              </w:rPr>
            </w:pPr>
            <w:r>
              <w:rPr>
                <w:rFonts w:hint="eastAsia" w:ascii="Calibri" w:hAnsi="Calibri"/>
                <w:kern w:val="2"/>
                <w:szCs w:val="21"/>
              </w:rPr>
              <w:t>主要条款：</w:t>
            </w:r>
          </w:p>
          <w:p>
            <w:pPr>
              <w:pStyle w:val="13"/>
              <w:adjustRightInd w:val="0"/>
              <w:spacing w:line="400" w:lineRule="atLeast"/>
              <w:contextualSpacing/>
              <w:rPr>
                <w:rFonts w:ascii="Calibri" w:hAnsi="Calibri"/>
                <w:kern w:val="2"/>
                <w:szCs w:val="21"/>
              </w:rPr>
            </w:pPr>
            <w:r>
              <w:rPr>
                <w:rFonts w:hint="eastAsia" w:ascii="Calibri" w:hAnsi="Calibri"/>
                <w:kern w:val="2"/>
                <w:szCs w:val="21"/>
              </w:rPr>
              <w:t>1、本标准的章节由：范围、规范性引用文件、术语和定义、基本规定、飞行准备、无人机飞行、数据采集、数据处理、设备维护保养、异常情况处置、作业安全和附录组成。其中基本规定、飞行准备、无人机飞行、数据采集、数据处理、设备维护保养、异常情况处置、作业安全是本标准的主要技术内容。</w:t>
            </w:r>
          </w:p>
          <w:p>
            <w:pPr>
              <w:pStyle w:val="13"/>
              <w:adjustRightInd w:val="0"/>
              <w:spacing w:line="400" w:lineRule="atLeast"/>
              <w:contextualSpacing/>
              <w:rPr>
                <w:rFonts w:ascii="Calibri" w:hAnsi="Calibri"/>
                <w:kern w:val="2"/>
                <w:szCs w:val="21"/>
              </w:rPr>
            </w:pPr>
            <w:r>
              <w:rPr>
                <w:rFonts w:hint="eastAsia" w:ascii="Calibri" w:hAnsi="Calibri"/>
                <w:kern w:val="2"/>
                <w:szCs w:val="21"/>
              </w:rPr>
              <w:t>2、本标准规定了长大桥梁无人机巡检作业的基本要求，规定了长大桥梁无人机巡检作业中作业人员、作业环境、无人机、地面站、云台相机、工作流程要求。</w:t>
            </w:r>
          </w:p>
          <w:p>
            <w:pPr>
              <w:pStyle w:val="13"/>
              <w:adjustRightInd w:val="0"/>
              <w:spacing w:line="400" w:lineRule="atLeast"/>
              <w:contextualSpacing/>
              <w:rPr>
                <w:rFonts w:ascii="Calibri" w:hAnsi="Calibri"/>
                <w:kern w:val="2"/>
                <w:szCs w:val="21"/>
              </w:rPr>
            </w:pPr>
            <w:r>
              <w:rPr>
                <w:rFonts w:hint="eastAsia" w:ascii="Calibri" w:hAnsi="Calibri"/>
                <w:kern w:val="2"/>
                <w:szCs w:val="21"/>
              </w:rPr>
              <w:t>3、主要</w:t>
            </w:r>
            <w:r>
              <w:rPr>
                <w:rFonts w:ascii="Calibri" w:hAnsi="Calibri"/>
                <w:kern w:val="2"/>
                <w:szCs w:val="21"/>
              </w:rPr>
              <w:t>技术指标</w:t>
            </w:r>
            <w:r>
              <w:rPr>
                <w:rFonts w:hint="eastAsia" w:ascii="Calibri" w:hAnsi="Calibri"/>
                <w:kern w:val="2"/>
                <w:szCs w:val="21"/>
              </w:rPr>
              <w:t>方面</w:t>
            </w:r>
            <w:r>
              <w:rPr>
                <w:rFonts w:ascii="Calibri" w:hAnsi="Calibri"/>
                <w:kern w:val="2"/>
                <w:szCs w:val="21"/>
              </w:rPr>
              <w:t>明确了</w:t>
            </w:r>
            <w:r>
              <w:rPr>
                <w:rFonts w:hint="eastAsia" w:ascii="Calibri" w:hAnsi="Calibri"/>
                <w:kern w:val="2"/>
                <w:szCs w:val="21"/>
              </w:rPr>
              <w:t>飞行准备、无人机飞行、数据采集、数据处理、设备维护保养、异常情况处置、安全作业要求。</w:t>
            </w:r>
          </w:p>
          <w:p>
            <w:pPr>
              <w:pStyle w:val="13"/>
              <w:adjustRightInd w:val="0"/>
              <w:spacing w:line="400" w:lineRule="atLeast"/>
              <w:contextualSpacing/>
              <w:rPr>
                <w:rFonts w:ascii="Calibri" w:hAnsi="Calibri"/>
                <w:kern w:val="2"/>
                <w:szCs w:val="21"/>
              </w:rPr>
            </w:pPr>
            <w:r>
              <w:rPr>
                <w:rFonts w:hint="eastAsia" w:ascii="Calibri" w:hAnsi="Calibri"/>
                <w:kern w:val="2"/>
                <w:szCs w:val="21"/>
              </w:rPr>
              <w:t>4、本标准条款</w:t>
            </w:r>
            <w:r>
              <w:rPr>
                <w:rFonts w:ascii="Calibri" w:hAnsi="Calibri"/>
                <w:kern w:val="2"/>
                <w:szCs w:val="21"/>
              </w:rPr>
              <w:t>4.6.2</w:t>
            </w:r>
            <w:r>
              <w:rPr>
                <w:rFonts w:hint="eastAsia" w:ascii="Calibri" w:hAnsi="Calibri"/>
                <w:kern w:val="2"/>
                <w:szCs w:val="21"/>
              </w:rPr>
              <w:t>对工作流程做出如下规定：</w:t>
            </w:r>
            <w:r>
              <w:rPr>
                <w:rFonts w:hint="eastAsia" w:ascii="Times New Roman"/>
              </w:rPr>
              <w:t>无人机巡检作业前应进行飞行准备，然后控制无人机飞行进行数据采集，无人机飞行过程中如出现异常情况，应对异常情况进行处置，再对采集的桥梁数据进行处理，最后应及时对设备进行维护保养</w:t>
            </w:r>
            <w:r>
              <w:rPr>
                <w:rFonts w:hint="eastAsia" w:ascii="Calibri" w:hAnsi="Calibri"/>
                <w:kern w:val="2"/>
                <w:szCs w:val="21"/>
              </w:rPr>
              <w:t>。</w:t>
            </w:r>
          </w:p>
          <w:p>
            <w:pPr>
              <w:pStyle w:val="13"/>
              <w:adjustRightInd w:val="0"/>
              <w:spacing w:line="400" w:lineRule="atLeast"/>
              <w:contextualSpacing/>
              <w:rPr>
                <w:rFonts w:ascii="Calibri" w:hAnsi="Calibri"/>
                <w:kern w:val="2"/>
                <w:szCs w:val="21"/>
              </w:rPr>
            </w:pPr>
            <w:r>
              <w:rPr>
                <w:rFonts w:ascii="Calibri" w:hAnsi="Calibri"/>
                <w:kern w:val="2"/>
                <w:szCs w:val="21"/>
              </w:rPr>
              <w:t>5</w:t>
            </w:r>
            <w:r>
              <w:rPr>
                <w:rFonts w:hint="eastAsia" w:ascii="Calibri" w:hAnsi="Calibri"/>
                <w:kern w:val="2"/>
                <w:szCs w:val="21"/>
              </w:rPr>
              <w:t>、本标准条款5</w:t>
            </w:r>
            <w:r>
              <w:rPr>
                <w:rFonts w:ascii="Calibri" w:hAnsi="Calibri"/>
                <w:kern w:val="2"/>
                <w:szCs w:val="21"/>
              </w:rPr>
              <w:t>.1.1</w:t>
            </w:r>
            <w:r>
              <w:rPr>
                <w:rFonts w:hint="eastAsia" w:ascii="Calibri" w:hAnsi="Calibri"/>
                <w:kern w:val="2"/>
                <w:szCs w:val="21"/>
              </w:rPr>
              <w:t>对巡检方案制定做出如下规定：根据巡检需求制定巡检方案，应包括设备选型、航迹规划、巡检方式、方法选择等。</w:t>
            </w:r>
          </w:p>
          <w:p>
            <w:pPr>
              <w:spacing w:line="360" w:lineRule="auto"/>
              <w:ind w:firstLine="420" w:firstLineChars="200"/>
              <w:rPr>
                <w:rFonts w:ascii="Times New Roman" w:hAnsi="Times New Roman"/>
              </w:rPr>
            </w:pPr>
            <w:r>
              <w:t>6</w:t>
            </w:r>
            <w:r>
              <w:rPr>
                <w:rFonts w:hint="eastAsia"/>
              </w:rPr>
              <w:t>、本标准条款6</w:t>
            </w:r>
            <w:r>
              <w:t>.1.1</w:t>
            </w:r>
            <w:r>
              <w:rPr>
                <w:rFonts w:hint="eastAsia"/>
              </w:rPr>
              <w:t>对无人机飞行数据做出如下规定：</w:t>
            </w:r>
            <w:r>
              <w:rPr>
                <w:rFonts w:hint="eastAsia" w:ascii="Times New Roman" w:hAnsi="Times New Roman"/>
              </w:rPr>
              <w:t>无人机与桥梁待检测部位的距离宜≥3m;无人机靠近桥梁待检测部位时，提升及平移速度宜≤0</w:t>
            </w:r>
            <w:r>
              <w:rPr>
                <w:rFonts w:ascii="Times New Roman" w:hAnsi="Times New Roman"/>
              </w:rPr>
              <w:t>.5m</w:t>
            </w:r>
            <w:r>
              <w:rPr>
                <w:rFonts w:hint="eastAsia" w:ascii="Times New Roman" w:hAnsi="Times New Roman"/>
              </w:rPr>
              <w:t>/</w:t>
            </w:r>
            <w:r>
              <w:rPr>
                <w:rFonts w:ascii="Times New Roman" w:hAnsi="Times New Roman"/>
              </w:rPr>
              <w:t>s</w:t>
            </w:r>
            <w:r>
              <w:rPr>
                <w:rFonts w:hint="eastAsia" w:ascii="Times New Roman" w:hAnsi="Times New Roman"/>
              </w:rPr>
              <w:t>;无人机飞行高度宜≤1</w:t>
            </w:r>
            <w:r>
              <w:rPr>
                <w:rFonts w:ascii="Times New Roman" w:hAnsi="Times New Roman"/>
              </w:rPr>
              <w:t>20</w:t>
            </w:r>
            <w:r>
              <w:rPr>
                <w:rFonts w:hint="eastAsia" w:ascii="Times New Roman" w:hAnsi="Times New Roman"/>
              </w:rPr>
              <w:t>m。</w:t>
            </w:r>
          </w:p>
          <w:p>
            <w:pPr>
              <w:pStyle w:val="13"/>
              <w:adjustRightInd w:val="0"/>
              <w:spacing w:line="400" w:lineRule="atLeast"/>
              <w:contextualSpacing/>
              <w:rPr>
                <w:rFonts w:ascii="Calibri" w:hAnsi="Calibri"/>
                <w:kern w:val="2"/>
                <w:szCs w:val="21"/>
              </w:rPr>
            </w:pPr>
            <w:r>
              <w:rPr>
                <w:rFonts w:ascii="Calibri" w:hAnsi="Calibri"/>
                <w:kern w:val="2"/>
                <w:szCs w:val="21"/>
              </w:rPr>
              <w:t>7</w:t>
            </w:r>
            <w:r>
              <w:rPr>
                <w:rFonts w:hint="eastAsia" w:ascii="Calibri" w:hAnsi="Calibri"/>
                <w:kern w:val="2"/>
                <w:szCs w:val="21"/>
              </w:rPr>
              <w:t>、本标准条款7</w:t>
            </w:r>
            <w:r>
              <w:rPr>
                <w:rFonts w:ascii="Calibri" w:hAnsi="Calibri"/>
                <w:kern w:val="2"/>
                <w:szCs w:val="21"/>
              </w:rPr>
              <w:t>.3.1</w:t>
            </w:r>
            <w:r>
              <w:rPr>
                <w:rFonts w:hint="eastAsia" w:ascii="Calibri" w:hAnsi="Calibri"/>
                <w:kern w:val="2"/>
                <w:szCs w:val="21"/>
              </w:rPr>
              <w:t>对自动巡检和手动巡检做出如下规定：GPS卫星数量大于8颗，无遮挡，导航信号正常情况下，宜利用无人机的位置信息进行自动巡检；GPS定位卫星数量少于8颗，存在遮挡，导航信号差时，宜采用手动巡检。</w:t>
            </w:r>
          </w:p>
          <w:p>
            <w:pPr>
              <w:pStyle w:val="13"/>
              <w:adjustRightInd w:val="0"/>
              <w:spacing w:line="400" w:lineRule="atLeast"/>
              <w:contextualSpacing/>
              <w:rPr>
                <w:rFonts w:ascii="Calibri" w:hAnsi="Calibri"/>
                <w:kern w:val="2"/>
                <w:szCs w:val="21"/>
              </w:rPr>
            </w:pPr>
            <w:r>
              <w:rPr>
                <w:rFonts w:ascii="Calibri" w:hAnsi="Calibri"/>
                <w:kern w:val="2"/>
                <w:szCs w:val="21"/>
              </w:rPr>
              <w:t>8</w:t>
            </w:r>
            <w:r>
              <w:rPr>
                <w:rFonts w:hint="eastAsia" w:ascii="Calibri" w:hAnsi="Calibri"/>
                <w:kern w:val="2"/>
                <w:szCs w:val="21"/>
              </w:rPr>
              <w:t>、本标准条款7</w:t>
            </w:r>
            <w:r>
              <w:rPr>
                <w:rFonts w:ascii="Calibri" w:hAnsi="Calibri"/>
                <w:kern w:val="2"/>
                <w:szCs w:val="21"/>
              </w:rPr>
              <w:t>.4.1</w:t>
            </w:r>
            <w:r>
              <w:rPr>
                <w:rFonts w:hint="eastAsia" w:ascii="Calibri" w:hAnsi="Calibri"/>
                <w:kern w:val="2"/>
                <w:szCs w:val="21"/>
              </w:rPr>
              <w:t>对粗飞方法做出如下规定：粗飞方法适用于桥梁巡检部位表面三维模型建立、明显病害以及病害集中区域发现。其单个条带内部图片重叠率宜不低于</w:t>
            </w:r>
            <w:r>
              <w:rPr>
                <w:rFonts w:ascii="Calibri" w:hAnsi="Calibri"/>
                <w:kern w:val="2"/>
                <w:szCs w:val="21"/>
              </w:rPr>
              <w:t>50%</w:t>
            </w:r>
            <w:r>
              <w:rPr>
                <w:rFonts w:hint="eastAsia" w:ascii="Calibri" w:hAnsi="Calibri"/>
                <w:kern w:val="2"/>
                <w:szCs w:val="21"/>
              </w:rPr>
              <w:t>，条带间重叠率宜不低于</w:t>
            </w:r>
            <w:r>
              <w:rPr>
                <w:rFonts w:ascii="Calibri" w:hAnsi="Calibri"/>
                <w:kern w:val="2"/>
                <w:szCs w:val="21"/>
              </w:rPr>
              <w:t>50%</w:t>
            </w:r>
            <w:r>
              <w:rPr>
                <w:rFonts w:hint="eastAsia" w:ascii="Calibri" w:hAnsi="Calibri"/>
                <w:kern w:val="2"/>
                <w:szCs w:val="21"/>
              </w:rPr>
              <w:t>。</w:t>
            </w:r>
          </w:p>
          <w:p>
            <w:pPr>
              <w:pStyle w:val="13"/>
              <w:adjustRightInd w:val="0"/>
              <w:spacing w:line="400" w:lineRule="atLeast"/>
              <w:contextualSpacing/>
              <w:rPr>
                <w:rFonts w:ascii="Calibri" w:hAnsi="Calibri"/>
                <w:kern w:val="2"/>
                <w:szCs w:val="21"/>
              </w:rPr>
            </w:pPr>
            <w:r>
              <w:rPr>
                <w:rFonts w:ascii="Calibri" w:hAnsi="Calibri"/>
                <w:kern w:val="2"/>
                <w:szCs w:val="21"/>
              </w:rPr>
              <w:t>9</w:t>
            </w:r>
            <w:r>
              <w:rPr>
                <w:rFonts w:hint="eastAsia" w:ascii="Calibri" w:hAnsi="Calibri"/>
                <w:kern w:val="2"/>
                <w:szCs w:val="21"/>
              </w:rPr>
              <w:t>、本标准条款7</w:t>
            </w:r>
            <w:r>
              <w:rPr>
                <w:rFonts w:ascii="Calibri" w:hAnsi="Calibri"/>
                <w:kern w:val="2"/>
                <w:szCs w:val="21"/>
              </w:rPr>
              <w:t>.4.2</w:t>
            </w:r>
            <w:r>
              <w:rPr>
                <w:rFonts w:hint="eastAsia" w:ascii="Calibri" w:hAnsi="Calibri"/>
                <w:kern w:val="2"/>
                <w:szCs w:val="21"/>
              </w:rPr>
              <w:t>对精飞方法做出如下规定：精飞方法适用于病害精细化检测。其图像像素点分辨率宜不低于</w:t>
            </w:r>
            <w:r>
              <w:rPr>
                <w:rFonts w:ascii="Calibri" w:hAnsi="Calibri"/>
                <w:kern w:val="2"/>
                <w:szCs w:val="21"/>
              </w:rPr>
              <w:t>0.1mm/pixel</w:t>
            </w:r>
            <w:r>
              <w:rPr>
                <w:rFonts w:hint="eastAsia" w:ascii="Calibri" w:hAnsi="Calibri"/>
                <w:kern w:val="2"/>
                <w:szCs w:val="21"/>
              </w:rPr>
              <w:t>。</w:t>
            </w:r>
          </w:p>
          <w:p>
            <w:pPr>
              <w:pStyle w:val="13"/>
              <w:adjustRightInd w:val="0"/>
              <w:spacing w:line="400" w:lineRule="atLeast"/>
              <w:contextualSpacing/>
              <w:rPr>
                <w:rFonts w:ascii="Calibri" w:hAnsi="Calibri"/>
                <w:kern w:val="2"/>
                <w:szCs w:val="21"/>
              </w:rPr>
            </w:pPr>
            <w:r>
              <w:rPr>
                <w:rFonts w:ascii="Calibri" w:hAnsi="Calibri"/>
                <w:kern w:val="2"/>
                <w:szCs w:val="21"/>
              </w:rPr>
              <w:t>10</w:t>
            </w:r>
            <w:r>
              <w:rPr>
                <w:rFonts w:hint="eastAsia" w:ascii="Calibri" w:hAnsi="Calibri"/>
                <w:kern w:val="2"/>
                <w:szCs w:val="21"/>
              </w:rPr>
              <w:t>、本标准条款7</w:t>
            </w:r>
            <w:r>
              <w:rPr>
                <w:rFonts w:ascii="Calibri" w:hAnsi="Calibri"/>
                <w:kern w:val="2"/>
                <w:szCs w:val="21"/>
              </w:rPr>
              <w:t>.5.1</w:t>
            </w:r>
            <w:r>
              <w:rPr>
                <w:rFonts w:hint="eastAsia" w:ascii="Calibri" w:hAnsi="Calibri"/>
                <w:kern w:val="2"/>
                <w:szCs w:val="21"/>
              </w:rPr>
              <w:t>对桥梁结构巡检做出如下规定：桥梁结构巡检内容及要求参见附录</w:t>
            </w:r>
            <w:r>
              <w:rPr>
                <w:rFonts w:ascii="Calibri" w:hAnsi="Calibri"/>
                <w:kern w:val="2"/>
                <w:szCs w:val="21"/>
              </w:rPr>
              <w:t>A</w:t>
            </w:r>
            <w:r>
              <w:rPr>
                <w:rFonts w:hint="eastAsia" w:ascii="Calibri" w:hAnsi="Calibri"/>
                <w:kern w:val="2"/>
                <w:szCs w:val="21"/>
              </w:rPr>
              <w:t>，应符合</w:t>
            </w:r>
            <w:r>
              <w:rPr>
                <w:rFonts w:ascii="Calibri" w:hAnsi="Calibri"/>
                <w:kern w:val="2"/>
                <w:szCs w:val="21"/>
              </w:rPr>
              <w:t>CJJ 99</w:t>
            </w:r>
            <w:r>
              <w:rPr>
                <w:rFonts w:hint="eastAsia" w:ascii="Calibri" w:hAnsi="Calibri"/>
                <w:kern w:val="2"/>
                <w:szCs w:val="21"/>
              </w:rPr>
              <w:t>、</w:t>
            </w:r>
            <w:r>
              <w:rPr>
                <w:rFonts w:ascii="Calibri" w:hAnsi="Calibri"/>
                <w:kern w:val="2"/>
                <w:szCs w:val="21"/>
              </w:rPr>
              <w:t>JTG 5120</w:t>
            </w:r>
            <w:r>
              <w:rPr>
                <w:rFonts w:hint="eastAsia" w:ascii="Calibri" w:hAnsi="Calibri"/>
                <w:kern w:val="2"/>
                <w:szCs w:val="21"/>
              </w:rPr>
              <w:t xml:space="preserve"> 、</w:t>
            </w:r>
            <w:r>
              <w:rPr>
                <w:rFonts w:ascii="Calibri" w:hAnsi="Calibri"/>
                <w:kern w:val="2"/>
                <w:szCs w:val="21"/>
              </w:rPr>
              <w:t>JTG H10</w:t>
            </w:r>
            <w:r>
              <w:rPr>
                <w:rFonts w:hint="eastAsia" w:ascii="Calibri" w:hAnsi="Calibri"/>
                <w:kern w:val="2"/>
                <w:szCs w:val="21"/>
              </w:rPr>
              <w:t xml:space="preserve"> 、</w:t>
            </w:r>
            <w:r>
              <w:rPr>
                <w:rFonts w:ascii="Calibri" w:hAnsi="Calibri"/>
                <w:kern w:val="2"/>
                <w:szCs w:val="21"/>
              </w:rPr>
              <w:t>JTG/T 5214</w:t>
            </w:r>
            <w:r>
              <w:rPr>
                <w:rFonts w:hint="eastAsia" w:ascii="Calibri" w:hAnsi="Calibri"/>
                <w:kern w:val="2"/>
                <w:szCs w:val="21"/>
              </w:rPr>
              <w:t xml:space="preserve"> 、</w:t>
            </w:r>
            <w:r>
              <w:rPr>
                <w:rFonts w:ascii="Calibri" w:hAnsi="Calibri"/>
                <w:kern w:val="2"/>
                <w:szCs w:val="21"/>
              </w:rPr>
              <w:t>JTG/T H21</w:t>
            </w:r>
            <w:r>
              <w:rPr>
                <w:rFonts w:hint="eastAsia" w:ascii="Calibri" w:hAnsi="Calibri"/>
                <w:kern w:val="2"/>
                <w:szCs w:val="21"/>
              </w:rPr>
              <w:t>相关规定。</w:t>
            </w:r>
          </w:p>
          <w:p>
            <w:pPr>
              <w:pStyle w:val="13"/>
              <w:adjustRightInd w:val="0"/>
              <w:spacing w:line="400" w:lineRule="atLeast"/>
              <w:contextualSpacing/>
              <w:rPr>
                <w:rFonts w:ascii="Calibri" w:hAnsi="Calibri"/>
                <w:kern w:val="2"/>
                <w:szCs w:val="21"/>
              </w:rPr>
            </w:pPr>
            <w:r>
              <w:rPr>
                <w:rFonts w:ascii="Calibri" w:hAnsi="Calibri"/>
                <w:kern w:val="2"/>
                <w:szCs w:val="21"/>
              </w:rPr>
              <w:t>11</w:t>
            </w:r>
            <w:r>
              <w:rPr>
                <w:rFonts w:hint="eastAsia" w:ascii="Calibri" w:hAnsi="Calibri"/>
                <w:kern w:val="2"/>
                <w:szCs w:val="21"/>
              </w:rPr>
              <w:t>、本标准条款7</w:t>
            </w:r>
            <w:r>
              <w:rPr>
                <w:rFonts w:ascii="Calibri" w:hAnsi="Calibri"/>
                <w:kern w:val="2"/>
                <w:szCs w:val="21"/>
              </w:rPr>
              <w:t>.6.1</w:t>
            </w:r>
            <w:r>
              <w:rPr>
                <w:rFonts w:hint="eastAsia" w:ascii="Calibri" w:hAnsi="Calibri"/>
                <w:kern w:val="2"/>
                <w:szCs w:val="21"/>
              </w:rPr>
              <w:t>对数据存储做出如下规定：图像存储文件按照桥梁</w:t>
            </w:r>
            <w:r>
              <w:rPr>
                <w:rFonts w:ascii="Calibri" w:hAnsi="Calibri"/>
                <w:kern w:val="2"/>
                <w:szCs w:val="21"/>
              </w:rPr>
              <w:t>+</w:t>
            </w:r>
            <w:r>
              <w:rPr>
                <w:rFonts w:hint="eastAsia" w:ascii="Calibri" w:hAnsi="Calibri"/>
                <w:kern w:val="2"/>
                <w:szCs w:val="21"/>
              </w:rPr>
              <w:t>部位</w:t>
            </w:r>
            <w:r>
              <w:rPr>
                <w:rFonts w:ascii="Calibri" w:hAnsi="Calibri"/>
                <w:kern w:val="2"/>
                <w:szCs w:val="21"/>
              </w:rPr>
              <w:t>+</w:t>
            </w:r>
            <w:r>
              <w:rPr>
                <w:rFonts w:hint="eastAsia" w:ascii="Calibri" w:hAnsi="Calibri"/>
                <w:kern w:val="2"/>
                <w:szCs w:val="21"/>
              </w:rPr>
              <w:t>（处理数据名称）+时间作为命名，巡检数据存储年限不低于</w:t>
            </w:r>
            <w:r>
              <w:rPr>
                <w:rFonts w:ascii="Calibri" w:hAnsi="Calibri"/>
                <w:kern w:val="2"/>
                <w:szCs w:val="21"/>
              </w:rPr>
              <w:t>2</w:t>
            </w:r>
            <w:r>
              <w:rPr>
                <w:rFonts w:hint="eastAsia" w:ascii="Calibri" w:hAnsi="Calibri"/>
                <w:kern w:val="2"/>
                <w:szCs w:val="21"/>
              </w:rPr>
              <w:t>年。</w:t>
            </w:r>
          </w:p>
          <w:p>
            <w:pPr>
              <w:pStyle w:val="13"/>
              <w:adjustRightInd w:val="0"/>
              <w:spacing w:line="400" w:lineRule="atLeast"/>
              <w:contextualSpacing/>
              <w:rPr>
                <w:rFonts w:ascii="Calibri" w:hAnsi="Calibri"/>
                <w:kern w:val="2"/>
                <w:szCs w:val="21"/>
              </w:rPr>
            </w:pPr>
            <w:r>
              <w:rPr>
                <w:rFonts w:ascii="Calibri" w:hAnsi="Calibri"/>
                <w:kern w:val="2"/>
                <w:szCs w:val="21"/>
              </w:rPr>
              <w:t>12</w:t>
            </w:r>
            <w:r>
              <w:rPr>
                <w:rFonts w:hint="eastAsia" w:ascii="Calibri" w:hAnsi="Calibri"/>
                <w:kern w:val="2"/>
                <w:szCs w:val="21"/>
              </w:rPr>
              <w:t>、本标准条款8</w:t>
            </w:r>
            <w:r>
              <w:rPr>
                <w:rFonts w:ascii="Calibri" w:hAnsi="Calibri"/>
                <w:kern w:val="2"/>
                <w:szCs w:val="21"/>
              </w:rPr>
              <w:t>.5.2</w:t>
            </w:r>
            <w:r>
              <w:rPr>
                <w:rFonts w:hint="eastAsia" w:ascii="Calibri" w:hAnsi="Calibri"/>
                <w:kern w:val="2"/>
                <w:szCs w:val="21"/>
              </w:rPr>
              <w:t>对病害类型智能识别做出如下规定：</w:t>
            </w:r>
            <w:r>
              <w:rPr>
                <w:rFonts w:hint="eastAsia" w:ascii="Times New Roman"/>
                <w:bCs/>
              </w:rPr>
              <w:t>首先选择卷积神经网络模型，然后采集桥梁病害数据，制作数据集，进行模型训练、测试，得到病害类型智能识别模型，输入无人机采集待识别病害图像，输出病害检测结果图像及病害检测位置信息等</w:t>
            </w:r>
            <w:r>
              <w:rPr>
                <w:rFonts w:hint="eastAsia" w:ascii="Calibri" w:hAnsi="Calibri"/>
                <w:kern w:val="2"/>
                <w:szCs w:val="21"/>
              </w:rPr>
              <w:t>。</w:t>
            </w:r>
          </w:p>
          <w:p>
            <w:pPr>
              <w:pStyle w:val="13"/>
              <w:adjustRightInd w:val="0"/>
              <w:spacing w:line="400" w:lineRule="atLeast"/>
              <w:contextualSpacing/>
              <w:rPr>
                <w:rFonts w:ascii="Calibri" w:hAnsi="Calibri"/>
                <w:kern w:val="2"/>
                <w:szCs w:val="21"/>
              </w:rPr>
            </w:pPr>
            <w:r>
              <w:rPr>
                <w:rFonts w:hint="eastAsia" w:ascii="Calibri" w:hAnsi="Calibri"/>
                <w:kern w:val="2"/>
                <w:szCs w:val="21"/>
              </w:rPr>
              <w:t>1</w:t>
            </w:r>
            <w:r>
              <w:rPr>
                <w:rFonts w:ascii="Calibri" w:hAnsi="Calibri"/>
                <w:kern w:val="2"/>
                <w:szCs w:val="21"/>
              </w:rPr>
              <w:t>3</w:t>
            </w:r>
            <w:r>
              <w:rPr>
                <w:rFonts w:hint="eastAsia" w:ascii="Calibri" w:hAnsi="Calibri"/>
                <w:kern w:val="2"/>
                <w:szCs w:val="21"/>
              </w:rPr>
              <w:t>、本标准条款8</w:t>
            </w:r>
            <w:r>
              <w:rPr>
                <w:rFonts w:ascii="Calibri" w:hAnsi="Calibri"/>
                <w:kern w:val="2"/>
                <w:szCs w:val="21"/>
              </w:rPr>
              <w:t>.5.8</w:t>
            </w:r>
            <w:r>
              <w:rPr>
                <w:rFonts w:hint="eastAsia" w:ascii="Calibri" w:hAnsi="Calibri"/>
                <w:kern w:val="2"/>
                <w:szCs w:val="21"/>
              </w:rPr>
              <w:t>对病害参数智能识别做出如下规定：</w:t>
            </w:r>
            <w:r>
              <w:rPr>
                <w:rFonts w:hint="eastAsia" w:ascii="Times New Roman"/>
                <w:bCs/>
              </w:rPr>
              <w:t>将病害检测结果图像作为输入，然后进行灰度转换变为灰度图，将病害检测结果灰度图转换为多幅只包含一种病害的二值化图像，对每幅二值化图像进行病害定量参数计算得到病害参数识别结果</w:t>
            </w:r>
            <w:r>
              <w:rPr>
                <w:rFonts w:hint="eastAsia" w:ascii="Calibri" w:hAnsi="Calibri"/>
                <w:kern w:val="2"/>
                <w:szCs w:val="21"/>
              </w:rPr>
              <w:t>。</w:t>
            </w:r>
          </w:p>
          <w:p>
            <w:pPr>
              <w:pStyle w:val="13"/>
              <w:adjustRightInd w:val="0"/>
              <w:spacing w:line="400" w:lineRule="atLeast"/>
              <w:contextualSpacing/>
              <w:rPr>
                <w:rFonts w:ascii="Calibri" w:hAnsi="Calibri"/>
                <w:kern w:val="2"/>
                <w:szCs w:val="21"/>
              </w:rPr>
            </w:pPr>
            <w:r>
              <w:rPr>
                <w:rFonts w:hint="eastAsia" w:ascii="Calibri" w:hAnsi="Calibri"/>
                <w:kern w:val="2"/>
                <w:szCs w:val="21"/>
              </w:rPr>
              <w:t>1</w:t>
            </w:r>
            <w:r>
              <w:rPr>
                <w:rFonts w:ascii="Calibri" w:hAnsi="Calibri"/>
                <w:kern w:val="2"/>
                <w:szCs w:val="21"/>
              </w:rPr>
              <w:t>4</w:t>
            </w:r>
            <w:r>
              <w:rPr>
                <w:rFonts w:hint="eastAsia" w:ascii="Calibri" w:hAnsi="Calibri"/>
                <w:kern w:val="2"/>
                <w:szCs w:val="21"/>
              </w:rPr>
              <w:t>、本标准条款8</w:t>
            </w:r>
            <w:r>
              <w:rPr>
                <w:rFonts w:ascii="Calibri" w:hAnsi="Calibri"/>
                <w:kern w:val="2"/>
                <w:szCs w:val="21"/>
              </w:rPr>
              <w:t>.6.4</w:t>
            </w:r>
            <w:r>
              <w:rPr>
                <w:rFonts w:hint="eastAsia" w:ascii="Calibri" w:hAnsi="Calibri"/>
                <w:kern w:val="2"/>
                <w:szCs w:val="21"/>
              </w:rPr>
              <w:t>对图像三维模型重建做出如下规定：宜采用倾斜摄影建模方法进行图像三维模型重建，流程参见附录</w:t>
            </w:r>
            <w:r>
              <w:rPr>
                <w:rFonts w:ascii="Calibri" w:hAnsi="Calibri"/>
                <w:kern w:val="2"/>
                <w:szCs w:val="21"/>
              </w:rPr>
              <w:t>B</w:t>
            </w:r>
            <w:r>
              <w:rPr>
                <w:rFonts w:hint="eastAsia" w:ascii="Calibri" w:hAnsi="Calibri"/>
                <w:kern w:val="2"/>
                <w:szCs w:val="21"/>
              </w:rPr>
              <w:t>。</w:t>
            </w:r>
          </w:p>
          <w:p>
            <w:pPr>
              <w:pStyle w:val="13"/>
              <w:adjustRightInd w:val="0"/>
              <w:spacing w:line="400" w:lineRule="atLeast"/>
              <w:contextualSpacing/>
              <w:rPr>
                <w:rFonts w:ascii="Calibri" w:hAnsi="Calibri"/>
                <w:kern w:val="2"/>
                <w:szCs w:val="21"/>
              </w:rPr>
            </w:pPr>
            <w:r>
              <w:rPr>
                <w:rFonts w:hint="eastAsia" w:ascii="Calibri" w:hAnsi="Calibri"/>
                <w:kern w:val="2"/>
                <w:szCs w:val="21"/>
              </w:rPr>
              <w:t>1</w:t>
            </w:r>
            <w:r>
              <w:rPr>
                <w:rFonts w:ascii="Calibri" w:hAnsi="Calibri"/>
                <w:kern w:val="2"/>
                <w:szCs w:val="21"/>
              </w:rPr>
              <w:t>5</w:t>
            </w:r>
            <w:r>
              <w:rPr>
                <w:rFonts w:hint="eastAsia" w:ascii="Calibri" w:hAnsi="Calibri"/>
                <w:kern w:val="2"/>
                <w:szCs w:val="21"/>
              </w:rPr>
              <w:t>、本标准条款9</w:t>
            </w:r>
            <w:r>
              <w:rPr>
                <w:rFonts w:ascii="Calibri" w:hAnsi="Calibri"/>
                <w:kern w:val="2"/>
                <w:szCs w:val="21"/>
              </w:rPr>
              <w:t>.1.4</w:t>
            </w:r>
            <w:r>
              <w:rPr>
                <w:rFonts w:hint="eastAsia" w:ascii="Calibri" w:hAnsi="Calibri"/>
                <w:kern w:val="2"/>
                <w:szCs w:val="21"/>
              </w:rPr>
              <w:t>对无人机设备定期检查保养做出如下规定：机身外观完整无损；机身框架完好无裂纹；橡胶件状态良好；紧固件；连接件稳定可靠。</w:t>
            </w:r>
          </w:p>
          <w:p>
            <w:pPr>
              <w:pStyle w:val="13"/>
              <w:adjustRightInd w:val="0"/>
              <w:spacing w:line="400" w:lineRule="atLeast"/>
              <w:contextualSpacing/>
              <w:rPr>
                <w:rFonts w:ascii="Calibri" w:hAnsi="Calibri"/>
                <w:kern w:val="2"/>
                <w:szCs w:val="21"/>
              </w:rPr>
            </w:pPr>
            <w:r>
              <w:rPr>
                <w:rFonts w:hint="eastAsia" w:ascii="Calibri" w:hAnsi="Calibri"/>
                <w:kern w:val="2"/>
                <w:szCs w:val="21"/>
              </w:rPr>
              <w:t>1</w:t>
            </w:r>
            <w:r>
              <w:rPr>
                <w:rFonts w:ascii="Calibri" w:hAnsi="Calibri"/>
                <w:kern w:val="2"/>
                <w:szCs w:val="21"/>
              </w:rPr>
              <w:t>6</w:t>
            </w:r>
            <w:r>
              <w:rPr>
                <w:rFonts w:hint="eastAsia" w:ascii="Calibri" w:hAnsi="Calibri"/>
                <w:kern w:val="2"/>
                <w:szCs w:val="21"/>
              </w:rPr>
              <w:t>、本标准条款1</w:t>
            </w:r>
            <w:r>
              <w:rPr>
                <w:rFonts w:ascii="Calibri" w:hAnsi="Calibri"/>
                <w:kern w:val="2"/>
                <w:szCs w:val="21"/>
              </w:rPr>
              <w:t>0.1.2</w:t>
            </w:r>
            <w:r>
              <w:rPr>
                <w:rFonts w:hint="eastAsia" w:ascii="Calibri" w:hAnsi="Calibri"/>
                <w:kern w:val="2"/>
                <w:szCs w:val="21"/>
              </w:rPr>
              <w:t>对无人机通信链路中断做出如下规定：无人机通信链路长时间中断，且预定时间内未返航，应根据无人机失去联系前的地理坐标和机载追踪器发送的报文信息进行搜寻。</w:t>
            </w:r>
          </w:p>
          <w:p>
            <w:pPr>
              <w:pStyle w:val="13"/>
              <w:adjustRightInd w:val="0"/>
              <w:spacing w:line="400" w:lineRule="atLeast"/>
              <w:contextualSpacing/>
              <w:rPr>
                <w:rFonts w:ascii="Calibri" w:hAnsi="Calibri"/>
                <w:kern w:val="2"/>
                <w:szCs w:val="21"/>
              </w:rPr>
            </w:pPr>
            <w:r>
              <w:rPr>
                <w:rFonts w:hint="eastAsia" w:ascii="Calibri" w:hAnsi="Calibri"/>
                <w:kern w:val="2"/>
                <w:szCs w:val="21"/>
              </w:rPr>
              <w:t>1</w:t>
            </w:r>
            <w:r>
              <w:rPr>
                <w:rFonts w:ascii="Calibri" w:hAnsi="Calibri"/>
                <w:kern w:val="2"/>
                <w:szCs w:val="21"/>
              </w:rPr>
              <w:t>7</w:t>
            </w:r>
            <w:r>
              <w:rPr>
                <w:rFonts w:hint="eastAsia" w:ascii="Calibri" w:hAnsi="Calibri"/>
                <w:kern w:val="2"/>
                <w:szCs w:val="21"/>
              </w:rPr>
              <w:t>、本标准条款</w:t>
            </w:r>
            <w:r>
              <w:rPr>
                <w:rFonts w:ascii="Calibri" w:hAnsi="Calibri"/>
                <w:kern w:val="2"/>
                <w:szCs w:val="21"/>
              </w:rPr>
              <w:t>11.1.1</w:t>
            </w:r>
            <w:r>
              <w:rPr>
                <w:rFonts w:hint="eastAsia" w:ascii="Calibri" w:hAnsi="Calibri"/>
                <w:kern w:val="2"/>
                <w:szCs w:val="21"/>
              </w:rPr>
              <w:t>对人员安全距离做出如下规定：起飞和降落时，现场所有人员应与无人机始终保持足够的安全距离，安全距离≥5</w:t>
            </w:r>
            <w:r>
              <w:rPr>
                <w:rFonts w:ascii="Calibri" w:hAnsi="Calibri"/>
                <w:kern w:val="2"/>
                <w:szCs w:val="21"/>
              </w:rPr>
              <w:t>m</w:t>
            </w:r>
            <w:r>
              <w:rPr>
                <w:rFonts w:hint="eastAsia" w:ascii="Calibri" w:hAnsi="Calibri"/>
                <w:kern w:val="2"/>
                <w:szCs w:val="21"/>
              </w:rPr>
              <w:t>，作业人员不得位于起飞和降落航线下。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bookmarkStart w:id="0" w:name="_Toc464902852"/>
            <w:bookmarkStart w:id="1" w:name="_Toc464905557"/>
            <w:bookmarkStart w:id="2" w:name="_Toc464905809"/>
            <w:bookmarkStart w:id="3" w:name="_Toc464905613"/>
            <w:bookmarkStart w:id="4" w:name="_Toc465074266"/>
            <w:r>
              <w:rPr>
                <w:rFonts w:hint="eastAsia" w:hAnsi="宋体"/>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contextualSpacing/>
              <w:rPr>
                <w:rFonts w:hAnsi="宋体"/>
                <w:szCs w:val="21"/>
              </w:rPr>
            </w:pPr>
            <w:r>
              <w:rPr>
                <w:rFonts w:hint="eastAsia" w:asciiTheme="minorEastAsia" w:hAnsiTheme="minorEastAsia"/>
                <w:szCs w:val="21"/>
              </w:rPr>
              <w:t>本标准未涉及专利。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bookmarkStart w:id="5" w:name="_Toc465074267"/>
            <w:bookmarkStart w:id="6" w:name="_Toc464905614"/>
            <w:bookmarkStart w:id="7" w:name="_Toc464905810"/>
            <w:bookmarkStart w:id="8" w:name="_Toc464902853"/>
            <w:bookmarkStart w:id="9" w:name="_Toc464905558"/>
            <w:r>
              <w:rPr>
                <w:rFonts w:hint="eastAsia" w:hAnsi="宋体"/>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contextualSpacing/>
              <w:rPr>
                <w:rFonts w:hAnsi="宋体"/>
                <w:szCs w:val="21"/>
              </w:rPr>
            </w:pPr>
            <w:r>
              <w:rPr>
                <w:rFonts w:hint="eastAsia" w:asciiTheme="minorEastAsia" w:hAnsiTheme="minorEastAsia"/>
                <w:szCs w:val="21"/>
              </w:rPr>
              <w:t>本标准未采用国际标准或国外先进标准。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bookmarkStart w:id="10" w:name="_Toc464905811"/>
            <w:bookmarkStart w:id="11" w:name="_Toc464905615"/>
            <w:bookmarkStart w:id="12" w:name="_Toc464902854"/>
            <w:bookmarkStart w:id="13" w:name="_Toc465074268"/>
            <w:bookmarkStart w:id="14" w:name="_Toc464905559"/>
            <w:r>
              <w:rPr>
                <w:rFonts w:hint="eastAsia" w:hAnsi="宋体"/>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contextualSpacing/>
              <w:rPr>
                <w:rFonts w:hAnsi="宋体"/>
                <w:szCs w:val="21"/>
              </w:rPr>
            </w:pPr>
            <w:r>
              <w:rPr>
                <w:rFonts w:hint="eastAsia" w:asciiTheme="minorEastAsia" w:hAnsiTheme="minorEastAsia"/>
                <w:szCs w:val="21"/>
              </w:rPr>
              <w:t>本标准在编制过程中没有重大意见分歧。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bookmarkStart w:id="15" w:name="_Toc465074269"/>
            <w:bookmarkStart w:id="16" w:name="_Toc464905560"/>
            <w:bookmarkStart w:id="17" w:name="_Toc464905812"/>
            <w:bookmarkStart w:id="18" w:name="_Toc464902855"/>
            <w:bookmarkStart w:id="19" w:name="_Toc464905616"/>
            <w:r>
              <w:rPr>
                <w:rFonts w:hint="eastAsia" w:hAnsi="宋体"/>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5"/>
              <w:spacing w:before="23" w:line="278" w:lineRule="auto"/>
              <w:ind w:left="107" w:right="205" w:firstLine="420"/>
              <w:rPr>
                <w:sz w:val="21"/>
              </w:rPr>
            </w:pPr>
            <w:r>
              <w:rPr>
                <w:sz w:val="21"/>
              </w:rPr>
              <w:t>为了加强标准的指导作用，标准发布后，应大力宣传推广，贯彻落实标准的实施。同时，为推</w:t>
            </w:r>
            <w:r>
              <w:rPr>
                <w:spacing w:val="-18"/>
                <w:sz w:val="21"/>
              </w:rPr>
              <w:t>广</w:t>
            </w:r>
            <w:r>
              <w:rPr>
                <w:sz w:val="21"/>
              </w:rPr>
              <w:t>和实施本标准，可以采取如下一些具体措施：</w:t>
            </w:r>
          </w:p>
          <w:p>
            <w:pPr>
              <w:pStyle w:val="13"/>
              <w:adjustRightInd w:val="0"/>
              <w:spacing w:line="360" w:lineRule="auto"/>
              <w:contextualSpacing/>
              <w:rPr>
                <w:rFonts w:asciiTheme="minorEastAsia" w:hAnsiTheme="minorEastAsia"/>
                <w:szCs w:val="21"/>
              </w:rPr>
            </w:pPr>
            <w:r>
              <w:rPr>
                <w:rFonts w:hint="eastAsia" w:asciiTheme="minorEastAsia" w:hAnsiTheme="minorEastAsia"/>
                <w:szCs w:val="21"/>
              </w:rPr>
              <w:t>（1）由技术归口单位牵头，负责标准宣贯；</w:t>
            </w:r>
          </w:p>
          <w:p>
            <w:pPr>
              <w:pStyle w:val="13"/>
              <w:adjustRightInd w:val="0"/>
              <w:spacing w:line="360" w:lineRule="auto"/>
              <w:contextualSpacing/>
              <w:rPr>
                <w:rFonts w:asciiTheme="minorEastAsia" w:hAnsiTheme="minorEastAsia"/>
                <w:szCs w:val="21"/>
              </w:rPr>
            </w:pPr>
            <w:r>
              <w:rPr>
                <w:rFonts w:hint="eastAsia" w:asciiTheme="minorEastAsia" w:hAnsiTheme="minorEastAsia"/>
                <w:szCs w:val="21"/>
              </w:rPr>
              <w:t>（2）结合标准化建设，推动和全面实施标准的培训工作；</w:t>
            </w:r>
          </w:p>
          <w:p>
            <w:pPr>
              <w:pStyle w:val="13"/>
              <w:adjustRightInd w:val="0"/>
              <w:spacing w:line="360" w:lineRule="auto"/>
              <w:contextualSpacing/>
              <w:rPr>
                <w:rFonts w:asciiTheme="minorEastAsia" w:hAnsiTheme="minorEastAsia"/>
                <w:szCs w:val="21"/>
              </w:rPr>
            </w:pPr>
            <w:r>
              <w:rPr>
                <w:rFonts w:hint="eastAsia" w:asciiTheme="minorEastAsia" w:hAnsiTheme="minorEastAsia"/>
                <w:szCs w:val="21"/>
              </w:rPr>
              <w:t>（3）标准起草工作组应继续开展研究，改进和完善标准的相关内容；</w:t>
            </w:r>
          </w:p>
          <w:p>
            <w:pPr>
              <w:pStyle w:val="13"/>
              <w:adjustRightInd w:val="0"/>
              <w:spacing w:line="360" w:lineRule="auto"/>
              <w:contextualSpacing/>
              <w:rPr>
                <w:rFonts w:hAnsi="宋体"/>
                <w:szCs w:val="21"/>
              </w:rPr>
            </w:pPr>
            <w:r>
              <w:rPr>
                <w:rFonts w:hint="eastAsia" w:asciiTheme="minorEastAsia" w:hAnsiTheme="minorEastAsia"/>
                <w:szCs w:val="21"/>
              </w:rPr>
              <w:t>（4）加强与全国其他省市相关单位的交流合作，积极收集外省市的先进意见，争取提升为国家标准或行业标准，使我省的工作经验与全国分享，使标准化经验影响范围更广泛。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bookmarkStart w:id="20" w:name="_Toc464905813"/>
            <w:bookmarkStart w:id="21" w:name="_Toc464902856"/>
            <w:bookmarkStart w:id="22" w:name="_Toc464905561"/>
            <w:bookmarkStart w:id="23" w:name="_Toc465074270"/>
            <w:bookmarkStart w:id="24" w:name="_Toc464905617"/>
            <w:r>
              <w:rPr>
                <w:rFonts w:hint="eastAsia" w:hAnsi="宋体"/>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contextualSpacing/>
              <w:rPr>
                <w:rFonts w:hAnsi="宋体"/>
                <w:szCs w:val="21"/>
              </w:rPr>
            </w:pPr>
            <w:r>
              <w:rPr>
                <w:rFonts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pStyle w:val="13"/>
              <w:adjustRightInd w:val="0"/>
              <w:spacing w:line="360" w:lineRule="auto"/>
              <w:ind w:firstLine="0" w:firstLineChars="0"/>
              <w:contextualSpacing/>
              <w:rPr>
                <w:rFonts w:hAnsi="宋体"/>
                <w:szCs w:val="21"/>
              </w:rPr>
            </w:pPr>
            <w:bookmarkStart w:id="25" w:name="_Toc464905562"/>
            <w:bookmarkStart w:id="26" w:name="_Toc464905814"/>
            <w:bookmarkStart w:id="27" w:name="_Toc464905618"/>
            <w:bookmarkStart w:id="28" w:name="_Toc465074271"/>
            <w:bookmarkStart w:id="29" w:name="_Toc464902857"/>
            <w:r>
              <w:rPr>
                <w:rFonts w:hint="eastAsia" w:hAnsi="宋体"/>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6"/>
            <w:vAlign w:val="center"/>
          </w:tcPr>
          <w:p>
            <w:pPr>
              <w:ind w:firstLine="420" w:firstLineChars="200"/>
              <w:rPr>
                <w:rFonts w:hAnsi="宋体"/>
              </w:rPr>
            </w:pPr>
            <w:r>
              <w:rPr>
                <w:rFonts w:hint="eastAsia" w:asciiTheme="minorEastAsia" w:hAnsiTheme="minorEastAsia"/>
              </w:rPr>
              <w:t>无</w:t>
            </w:r>
          </w:p>
        </w:tc>
      </w:tr>
    </w:tbl>
    <w:p>
      <w:pPr>
        <w:pStyle w:val="14"/>
      </w:pPr>
      <w:r>
        <w:rPr>
          <w:rFonts w:hint="eastAsia"/>
        </w:rPr>
        <w:t>没有的请填写 “无”。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1"/>
      <w:lvlText w:val="%1）"/>
      <w:lvlJc w:val="left"/>
      <w:pPr>
        <w:tabs>
          <w:tab w:val="left" w:pos="851"/>
        </w:tabs>
        <w:ind w:left="851" w:hanging="426"/>
      </w:pPr>
      <w:rPr>
        <w:rFonts w:hint="default"/>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0"/>
      <w:suff w:val="nothing"/>
      <w:lvlText w:val="%1%2.%3.%4　"/>
      <w:lvlJc w:val="left"/>
      <w:pPr>
        <w:ind w:left="241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1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ZjQ1NmFkNDU3Nzk5NDQwMjZmZjk5ZDdlOTI1YTYifQ=="/>
  </w:docVars>
  <w:rsids>
    <w:rsidRoot w:val="45700A8B"/>
    <w:rsid w:val="000A4C24"/>
    <w:rsid w:val="000B0730"/>
    <w:rsid w:val="000D10E0"/>
    <w:rsid w:val="000F0940"/>
    <w:rsid w:val="00107674"/>
    <w:rsid w:val="001500C6"/>
    <w:rsid w:val="00191331"/>
    <w:rsid w:val="0019390F"/>
    <w:rsid w:val="00196276"/>
    <w:rsid w:val="001D4ACC"/>
    <w:rsid w:val="00206B0A"/>
    <w:rsid w:val="00215110"/>
    <w:rsid w:val="002359F9"/>
    <w:rsid w:val="0033374E"/>
    <w:rsid w:val="0038392D"/>
    <w:rsid w:val="003D2878"/>
    <w:rsid w:val="004105DF"/>
    <w:rsid w:val="004261B1"/>
    <w:rsid w:val="004318B2"/>
    <w:rsid w:val="004934DC"/>
    <w:rsid w:val="004A5BE4"/>
    <w:rsid w:val="004A6081"/>
    <w:rsid w:val="004F2F76"/>
    <w:rsid w:val="005116AF"/>
    <w:rsid w:val="00523178"/>
    <w:rsid w:val="00530B83"/>
    <w:rsid w:val="005E48E9"/>
    <w:rsid w:val="0062351F"/>
    <w:rsid w:val="00645387"/>
    <w:rsid w:val="00645EEE"/>
    <w:rsid w:val="00652808"/>
    <w:rsid w:val="00672C41"/>
    <w:rsid w:val="007B00BE"/>
    <w:rsid w:val="007F4669"/>
    <w:rsid w:val="00830B00"/>
    <w:rsid w:val="00840B63"/>
    <w:rsid w:val="00844B93"/>
    <w:rsid w:val="008547C8"/>
    <w:rsid w:val="008A1CE6"/>
    <w:rsid w:val="008A4C08"/>
    <w:rsid w:val="008E1516"/>
    <w:rsid w:val="009105A4"/>
    <w:rsid w:val="009237B4"/>
    <w:rsid w:val="00930FB1"/>
    <w:rsid w:val="0093695C"/>
    <w:rsid w:val="00960ED3"/>
    <w:rsid w:val="0098622F"/>
    <w:rsid w:val="009B13DA"/>
    <w:rsid w:val="009B52D4"/>
    <w:rsid w:val="00A4073F"/>
    <w:rsid w:val="00A44B40"/>
    <w:rsid w:val="00A45A05"/>
    <w:rsid w:val="00A6576E"/>
    <w:rsid w:val="00A86EAC"/>
    <w:rsid w:val="00AA666D"/>
    <w:rsid w:val="00B25169"/>
    <w:rsid w:val="00B4155D"/>
    <w:rsid w:val="00B5323F"/>
    <w:rsid w:val="00B85143"/>
    <w:rsid w:val="00BC63F9"/>
    <w:rsid w:val="00BD272A"/>
    <w:rsid w:val="00C22E64"/>
    <w:rsid w:val="00C5683B"/>
    <w:rsid w:val="00CB7E69"/>
    <w:rsid w:val="00CF0BAC"/>
    <w:rsid w:val="00D15069"/>
    <w:rsid w:val="00D23131"/>
    <w:rsid w:val="00D54F48"/>
    <w:rsid w:val="00DC4D48"/>
    <w:rsid w:val="00DD552B"/>
    <w:rsid w:val="00E32155"/>
    <w:rsid w:val="00EF6C6B"/>
    <w:rsid w:val="00F203BA"/>
    <w:rsid w:val="00F751E8"/>
    <w:rsid w:val="00FC3224"/>
    <w:rsid w:val="00FC7BA7"/>
    <w:rsid w:val="00FE1A3B"/>
    <w:rsid w:val="08E229A3"/>
    <w:rsid w:val="0F986468"/>
    <w:rsid w:val="14C7148A"/>
    <w:rsid w:val="1D86535D"/>
    <w:rsid w:val="45700A8B"/>
    <w:rsid w:val="45D47DAF"/>
    <w:rsid w:val="4BBC4D7B"/>
    <w:rsid w:val="4D1D4BE2"/>
    <w:rsid w:val="4D311761"/>
    <w:rsid w:val="51E00916"/>
    <w:rsid w:val="54DB78CE"/>
    <w:rsid w:val="55373706"/>
    <w:rsid w:val="5B042A99"/>
    <w:rsid w:val="69873AE1"/>
    <w:rsid w:val="73B90B82"/>
    <w:rsid w:val="778F6692"/>
    <w:rsid w:val="7808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22"/>
    <w:qFormat/>
    <w:uiPriority w:val="0"/>
    <w:pPr>
      <w:adjustRightInd/>
      <w:spacing w:line="240" w:lineRule="auto"/>
    </w:pPr>
    <w:rPr>
      <w:rFonts w:ascii="Times New Roman" w:hAnsi="Times New Roman"/>
      <w:sz w:val="18"/>
      <w:szCs w:val="18"/>
    </w:rPr>
  </w:style>
  <w:style w:type="paragraph" w:styleId="4">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paragraph" w:customStyle="1" w:styleId="11">
    <w:name w:val="标准文件_附录标识"/>
    <w:next w:val="12"/>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标准文件_注："/>
    <w:next w:val="12"/>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15">
    <w:name w:val="Table Paragraph"/>
    <w:basedOn w:val="1"/>
    <w:qFormat/>
    <w:uiPriority w:val="1"/>
    <w:pPr>
      <w:autoSpaceDE w:val="0"/>
      <w:autoSpaceDN w:val="0"/>
      <w:spacing w:before="122"/>
      <w:ind w:left="10"/>
      <w:jc w:val="left"/>
    </w:pPr>
    <w:rPr>
      <w:rFonts w:ascii="宋体" w:hAnsi="宋体" w:cs="宋体"/>
      <w:kern w:val="0"/>
      <w:sz w:val="22"/>
    </w:rPr>
  </w:style>
  <w:style w:type="character" w:customStyle="1" w:styleId="16">
    <w:name w:val="页眉 字符"/>
    <w:basedOn w:val="9"/>
    <w:link w:val="5"/>
    <w:qFormat/>
    <w:uiPriority w:val="0"/>
    <w:rPr>
      <w:rFonts w:ascii="Calibri" w:hAnsi="Calibri"/>
      <w:kern w:val="2"/>
      <w:sz w:val="18"/>
      <w:szCs w:val="18"/>
    </w:rPr>
  </w:style>
  <w:style w:type="character" w:customStyle="1" w:styleId="17">
    <w:name w:val="页脚 字符"/>
    <w:basedOn w:val="9"/>
    <w:link w:val="4"/>
    <w:qFormat/>
    <w:uiPriority w:val="0"/>
    <w:rPr>
      <w:rFonts w:ascii="Calibri" w:hAnsi="Calibri"/>
      <w:kern w:val="2"/>
      <w:sz w:val="18"/>
      <w:szCs w:val="18"/>
    </w:rPr>
  </w:style>
  <w:style w:type="paragraph" w:styleId="18">
    <w:name w:val="List Paragraph"/>
    <w:basedOn w:val="1"/>
    <w:qFormat/>
    <w:uiPriority w:val="99"/>
    <w:pPr>
      <w:ind w:firstLine="420" w:firstLineChars="200"/>
    </w:pPr>
  </w:style>
  <w:style w:type="paragraph" w:customStyle="1" w:styleId="19">
    <w:name w:val="标准文件_二级无标题"/>
    <w:basedOn w:val="20"/>
    <w:qFormat/>
    <w:uiPriority w:val="0"/>
    <w:pPr>
      <w:spacing w:before="0" w:beforeLines="0" w:after="0" w:afterLines="0"/>
      <w:outlineLvl w:val="9"/>
    </w:pPr>
    <w:rPr>
      <w:rFonts w:ascii="宋体" w:eastAsia="宋体"/>
    </w:rPr>
  </w:style>
  <w:style w:type="paragraph" w:customStyle="1" w:styleId="20">
    <w:name w:val="标准文件_二级条标题"/>
    <w:next w:val="12"/>
    <w:qFormat/>
    <w:uiPriority w:val="0"/>
    <w:pPr>
      <w:widowControl w:val="0"/>
      <w:numPr>
        <w:ilvl w:val="3"/>
        <w:numId w:val="3"/>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1">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character" w:customStyle="1" w:styleId="22">
    <w:name w:val="批注框文本 字符"/>
    <w:basedOn w:val="9"/>
    <w:link w:val="3"/>
    <w:qFormat/>
    <w:uiPriority w:val="0"/>
    <w:rPr>
      <w:kern w:val="2"/>
      <w:sz w:val="18"/>
      <w:szCs w:val="18"/>
    </w:rPr>
  </w:style>
  <w:style w:type="character" w:customStyle="1" w:styleId="23">
    <w:name w:val="段 Char"/>
    <w:link w:val="13"/>
    <w:qFormat/>
    <w:uiPriority w:val="0"/>
    <w:rPr>
      <w:rFonts w:ascii="宋体"/>
      <w:sz w:val="21"/>
    </w:rPr>
  </w:style>
  <w:style w:type="character" w:customStyle="1" w:styleId="24">
    <w:name w:val="批注框文本 字符1"/>
    <w:basedOn w:val="9"/>
    <w:qFormat/>
    <w:uiPriority w:val="0"/>
    <w:rPr>
      <w:rFonts w:ascii="Calibri" w:hAnsi="Calibri"/>
      <w:kern w:val="2"/>
      <w:sz w:val="18"/>
      <w:szCs w:val="18"/>
    </w:rPr>
  </w:style>
  <w:style w:type="paragraph" w:customStyle="1" w:styleId="25">
    <w:name w:val="Default"/>
    <w:qFormat/>
    <w:uiPriority w:val="0"/>
    <w:pPr>
      <w:widowControl w:val="0"/>
      <w:autoSpaceDE w:val="0"/>
      <w:autoSpaceDN w:val="0"/>
      <w:adjustRightInd w:val="0"/>
    </w:pPr>
    <w:rPr>
      <w:rFonts w:ascii="宋体_x0003_...销." w:hAnsi="Times New Roman" w:eastAsia="宋体_x0003_...销." w:cs="宋体_x0003_...销."/>
      <w:color w:val="000000"/>
      <w:sz w:val="24"/>
      <w:szCs w:val="24"/>
      <w:lang w:val="en-US" w:eastAsia="zh-CN" w:bidi="ar-SA"/>
    </w:rPr>
  </w:style>
  <w:style w:type="paragraph" w:customStyle="1" w:styleId="26">
    <w:name w:val="正文内容"/>
    <w:basedOn w:val="1"/>
    <w:link w:val="27"/>
    <w:qFormat/>
    <w:uiPriority w:val="0"/>
    <w:pPr>
      <w:overflowPunct w:val="0"/>
      <w:adjustRightInd/>
      <w:spacing w:line="360" w:lineRule="auto"/>
      <w:ind w:firstLine="200" w:firstLineChars="200"/>
    </w:pPr>
    <w:rPr>
      <w:rFonts w:ascii="Times New Roman" w:hAnsi="Times New Roman" w:cs="黑体"/>
      <w:sz w:val="24"/>
      <w:szCs w:val="28"/>
    </w:rPr>
  </w:style>
  <w:style w:type="character" w:customStyle="1" w:styleId="27">
    <w:name w:val="正文内容 Char Char"/>
    <w:link w:val="26"/>
    <w:qFormat/>
    <w:uiPriority w:val="0"/>
    <w:rPr>
      <w:rFonts w:cs="黑体"/>
      <w:kern w:val="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3153</Words>
  <Characters>3321</Characters>
  <Lines>25</Lines>
  <Paragraphs>7</Paragraphs>
  <TotalTime>1</TotalTime>
  <ScaleCrop>false</ScaleCrop>
  <LinksUpToDate>false</LinksUpToDate>
  <CharactersWithSpaces>3331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2023-04-10T03:51:00Z</dcterms:created>
  <dc:creator>李洁</dc:creator>
  <cp:lastModifiedBy>九月</cp:lastModifiedBy>
  <dcterms:modified xsi:type="dcterms:W3CDTF">2023-04-14T00:52:40Z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A29072280CC94CE889305F50AA8EA25D</vt:lpwstr>
  </property>
</Properties>
</file>