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157" w:afterLines="50" w:line="480" w:lineRule="auto"/>
        <w:jc w:val="center"/>
        <w:textAlignment w:val="auto"/>
        <w:rPr>
          <w:rFonts w:hint="eastAsia" w:ascii="方正小标宋_GBK" w:hAnsi="宋体" w:eastAsia="方正小标宋_GBK"/>
          <w:color w:val="auto"/>
          <w:sz w:val="96"/>
          <w:szCs w:val="96"/>
          <w:highlight w:val="none"/>
        </w:rPr>
      </w:pPr>
      <w:r>
        <w:rPr>
          <w:rFonts w:hint="eastAsia" w:ascii="方正小标宋_GBK" w:hAnsi="宋体" w:eastAsia="方正小标宋_GBK"/>
          <w:color w:val="auto"/>
          <w:sz w:val="96"/>
          <w:szCs w:val="96"/>
          <w:highlight w:val="none"/>
        </w:rPr>
        <w:t>江苏省工程质量安全手册实施细则</w:t>
      </w:r>
    </w:p>
    <w:p>
      <w:pPr>
        <w:keepNext w:val="0"/>
        <w:keepLines w:val="0"/>
        <w:pageBreakBefore w:val="0"/>
        <w:widowControl w:val="0"/>
        <w:kinsoku/>
        <w:wordWrap/>
        <w:overflowPunct/>
        <w:topLinePunct w:val="0"/>
        <w:autoSpaceDE/>
        <w:autoSpaceDN/>
        <w:bidi w:val="0"/>
        <w:adjustRightInd/>
        <w:snapToGrid/>
        <w:spacing w:after="157" w:afterLines="50" w:line="480" w:lineRule="auto"/>
        <w:jc w:val="center"/>
        <w:textAlignment w:val="auto"/>
        <w:rPr>
          <w:rFonts w:hint="eastAsia" w:ascii="Times New Roman" w:hAnsi="Times New Roman" w:eastAsia="方正楷体_GBK"/>
          <w:color w:val="auto"/>
          <w:sz w:val="96"/>
          <w:szCs w:val="96"/>
          <w:highlight w:val="none"/>
        </w:rPr>
      </w:pPr>
      <w:r>
        <w:rPr>
          <w:rFonts w:hint="eastAsia" w:ascii="Times New Roman" w:hAnsi="Times New Roman" w:eastAsia="方正楷体_GBK"/>
          <w:color w:val="auto"/>
          <w:sz w:val="96"/>
          <w:szCs w:val="96"/>
          <w:highlight w:val="none"/>
        </w:rPr>
        <w:t>市政工程之燃气篇（202</w:t>
      </w:r>
      <w:r>
        <w:rPr>
          <w:rFonts w:hint="eastAsia" w:ascii="Times New Roman" w:hAnsi="Times New Roman" w:eastAsia="方正楷体_GBK"/>
          <w:color w:val="auto"/>
          <w:sz w:val="96"/>
          <w:szCs w:val="96"/>
          <w:highlight w:val="none"/>
          <w:lang w:val="en-US" w:eastAsia="zh-CN"/>
        </w:rPr>
        <w:t>3</w:t>
      </w:r>
      <w:r>
        <w:rPr>
          <w:rFonts w:hint="eastAsia" w:ascii="Times New Roman" w:hAnsi="Times New Roman" w:eastAsia="方正楷体_GBK"/>
          <w:color w:val="auto"/>
          <w:sz w:val="96"/>
          <w:szCs w:val="96"/>
          <w:highlight w:val="none"/>
        </w:rPr>
        <w:t>版）</w:t>
      </w:r>
    </w:p>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p>
    <w:p>
      <w:pPr>
        <w:pStyle w:val="2"/>
        <w:ind w:left="0" w:leftChars="0" w:firstLine="0" w:firstLineChars="0"/>
        <w:rPr>
          <w:rFonts w:hint="eastAsia" w:ascii="宋体" w:hAnsi="宋体" w:eastAsia="宋体" w:cs="宋体"/>
          <w:sz w:val="21"/>
          <w:szCs w:val="21"/>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jc w:val="cente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宋体" w:eastAsia="方正小标宋_GBK"/>
          <w:color w:val="auto"/>
          <w:sz w:val="84"/>
          <w:szCs w:val="84"/>
          <w:highlight w:val="none"/>
        </w:rPr>
      </w:pPr>
      <w:r>
        <w:rPr>
          <w:rFonts w:hint="eastAsia" w:ascii="方正小标宋_GBK" w:hAnsi="宋体" w:eastAsia="方正小标宋_GBK"/>
          <w:color w:val="auto"/>
          <w:sz w:val="84"/>
          <w:szCs w:val="84"/>
          <w:highlight w:val="none"/>
        </w:rPr>
        <w:t>江苏省工程质量安全手册实施细则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方正楷体_GBK"/>
          <w:color w:val="auto"/>
          <w:sz w:val="72"/>
          <w:szCs w:val="72"/>
          <w:highlight w:val="none"/>
        </w:rPr>
      </w:pPr>
      <w:r>
        <w:rPr>
          <w:rFonts w:hint="eastAsia" w:ascii="Times New Roman" w:hAnsi="Times New Roman" w:eastAsia="方正楷体_GBK"/>
          <w:color w:val="auto"/>
          <w:sz w:val="72"/>
          <w:szCs w:val="72"/>
          <w:highlight w:val="none"/>
        </w:rPr>
        <w:t>市政工程之燃气篇（202</w:t>
      </w:r>
      <w:r>
        <w:rPr>
          <w:rFonts w:hint="eastAsia" w:ascii="Times New Roman" w:hAnsi="Times New Roman" w:eastAsia="方正楷体_GBK"/>
          <w:color w:val="auto"/>
          <w:sz w:val="72"/>
          <w:szCs w:val="72"/>
          <w:highlight w:val="none"/>
          <w:lang w:val="en-US" w:eastAsia="zh-CN"/>
        </w:rPr>
        <w:t>3</w:t>
      </w:r>
      <w:r>
        <w:rPr>
          <w:rFonts w:hint="eastAsia" w:ascii="Times New Roman" w:hAnsi="Times New Roman" w:eastAsia="方正楷体_GBK"/>
          <w:color w:val="auto"/>
          <w:sz w:val="72"/>
          <w:szCs w:val="72"/>
          <w:highlight w:val="none"/>
        </w:rPr>
        <w:t>版）</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黑体_GBK" w:hAnsi="宋体" w:eastAsia="方正黑体_GBK"/>
          <w:color w:val="auto"/>
          <w:sz w:val="72"/>
          <w:szCs w:val="96"/>
          <w:highlight w:val="none"/>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黑体_GBK" w:hAnsi="宋体" w:eastAsia="方正黑体_GBK"/>
          <w:color w:val="auto"/>
          <w:sz w:val="72"/>
          <w:szCs w:val="96"/>
          <w:highlight w:val="none"/>
        </w:rPr>
      </w:pPr>
      <w:r>
        <w:rPr>
          <w:rFonts w:hint="eastAsia" w:ascii="方正黑体_GBK" w:hAnsi="宋体" w:eastAsia="方正黑体_GBK"/>
          <w:color w:val="auto"/>
          <w:sz w:val="72"/>
          <w:szCs w:val="96"/>
          <w:highlight w:val="none"/>
        </w:rPr>
        <w:t>上册：质量分册</w:t>
      </w:r>
    </w:p>
    <w:p>
      <w:pPr>
        <w:rPr>
          <w:rFonts w:hint="eastAsia" w:ascii="宋体" w:hAnsi="宋体" w:eastAsia="宋体" w:cs="宋体"/>
          <w:color w:val="auto"/>
          <w:sz w:val="21"/>
          <w:szCs w:val="21"/>
          <w:highlight w:val="none"/>
        </w:rPr>
        <w:sectPr>
          <w:footerReference r:id="rId3" w:type="default"/>
          <w:pgSz w:w="23814" w:h="16839" w:orient="landscape"/>
          <w:pgMar w:top="1418" w:right="1304" w:bottom="1134" w:left="1304" w:header="851" w:footer="992" w:gutter="0"/>
          <w:cols w:space="425" w:num="1"/>
          <w:docGrid w:type="lines" w:linePitch="312" w:charSpace="0"/>
        </w:sectPr>
      </w:pPr>
      <w:r>
        <w:rPr>
          <w:rFonts w:hint="eastAsia" w:ascii="宋体" w:hAnsi="宋体" w:eastAsia="宋体" w:cs="宋体"/>
          <w:color w:val="auto"/>
          <w:sz w:val="21"/>
          <w:szCs w:val="21"/>
          <w:highlight w:val="none"/>
        </w:rPr>
        <w:br w:type="page"/>
      </w:r>
    </w:p>
    <w:p>
      <w:pPr>
        <w:pStyle w:val="2"/>
        <w:ind w:left="0" w:leftChars="0" w:firstLine="0" w:firstLineChars="0"/>
        <w:rPr>
          <w:rFonts w:hint="eastAsia"/>
        </w:rPr>
      </w:pPr>
    </w:p>
    <w:p>
      <w:pPr>
        <w:pStyle w:val="2"/>
        <w:ind w:left="0" w:leftChars="0" w:firstLine="0" w:firstLineChars="0"/>
        <w:rPr>
          <w:rFonts w:hint="eastAsia"/>
        </w:rPr>
      </w:pP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编制说明</w:t>
      </w:r>
    </w:p>
    <w:p>
      <w:pPr>
        <w:pStyle w:val="17"/>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p>
    <w:p>
      <w:pPr>
        <w:widowControl/>
        <w:spacing w:line="360" w:lineRule="auto"/>
        <w:ind w:left="840" w:leftChars="400" w:right="420" w:rightChars="200" w:firstLine="420" w:firstLineChars="200"/>
        <w:textAlignment w:val="center"/>
        <w:rPr>
          <w:rStyle w:val="140"/>
          <w:rFonts w:hint="eastAsia" w:ascii="宋体" w:hAnsi="宋体" w:eastAsia="宋体" w:cs="宋体"/>
          <w:b w:val="0"/>
          <w:color w:val="auto"/>
          <w:sz w:val="21"/>
          <w:szCs w:val="21"/>
          <w:highlight w:val="none"/>
        </w:rPr>
      </w:pPr>
      <w:r>
        <w:rPr>
          <w:rStyle w:val="140"/>
          <w:rFonts w:hint="eastAsia" w:ascii="宋体" w:hAnsi="宋体" w:eastAsia="宋体" w:cs="宋体"/>
          <w:b w:val="0"/>
          <w:color w:val="auto"/>
          <w:sz w:val="21"/>
          <w:szCs w:val="21"/>
          <w:highlight w:val="none"/>
        </w:rPr>
        <w:t>工程质量安全手册制度是实现工程质量管理标准化和安全生产标准化的有效途径，对深入开展房屋和市政工程安全治理两年行动，提升我省建筑施工整体质量安全水平具有重要意义。为进一步完善我省工程质量安全手册制度，组织编制《江苏省工程质量安全手册实施细则市政工程之燃气篇（202</w:t>
      </w:r>
      <w:r>
        <w:rPr>
          <w:rStyle w:val="140"/>
          <w:rFonts w:hint="eastAsia" w:ascii="宋体" w:hAnsi="宋体" w:eastAsia="宋体" w:cs="宋体"/>
          <w:b w:val="0"/>
          <w:color w:val="auto"/>
          <w:sz w:val="21"/>
          <w:szCs w:val="21"/>
          <w:highlight w:val="none"/>
          <w:lang w:val="en-US" w:eastAsia="zh-CN"/>
        </w:rPr>
        <w:t>3</w:t>
      </w:r>
      <w:r>
        <w:rPr>
          <w:rStyle w:val="140"/>
          <w:rFonts w:hint="eastAsia" w:ascii="宋体" w:hAnsi="宋体" w:eastAsia="宋体" w:cs="宋体"/>
          <w:b w:val="0"/>
          <w:color w:val="auto"/>
          <w:sz w:val="21"/>
          <w:szCs w:val="21"/>
          <w:highlight w:val="none"/>
        </w:rPr>
        <w:t>版）》（上册：《质量分册》，下册</w:t>
      </w:r>
      <w:r>
        <w:rPr>
          <w:rStyle w:val="140"/>
          <w:rFonts w:hint="eastAsia" w:ascii="宋体" w:hAnsi="宋体" w:eastAsia="宋体" w:cs="宋体"/>
          <w:b w:val="0"/>
          <w:color w:val="auto"/>
          <w:sz w:val="21"/>
          <w:szCs w:val="21"/>
          <w:highlight w:val="none"/>
          <w:lang w:eastAsia="zh-CN"/>
        </w:rPr>
        <w:t>：</w:t>
      </w:r>
      <w:r>
        <w:rPr>
          <w:rStyle w:val="140"/>
          <w:rFonts w:hint="eastAsia" w:ascii="宋体" w:hAnsi="宋体" w:eastAsia="宋体" w:cs="宋体"/>
          <w:b w:val="0"/>
          <w:color w:val="auto"/>
          <w:sz w:val="21"/>
          <w:szCs w:val="21"/>
          <w:highlight w:val="none"/>
        </w:rPr>
        <w:t>《安全分册》）（简称《市政燃气细则（202</w:t>
      </w:r>
      <w:r>
        <w:rPr>
          <w:rStyle w:val="140"/>
          <w:rFonts w:hint="eastAsia" w:ascii="宋体" w:hAnsi="宋体" w:eastAsia="宋体" w:cs="宋体"/>
          <w:b w:val="0"/>
          <w:color w:val="auto"/>
          <w:sz w:val="21"/>
          <w:szCs w:val="21"/>
          <w:highlight w:val="none"/>
          <w:lang w:val="en-US" w:eastAsia="zh-CN"/>
        </w:rPr>
        <w:t>3</w:t>
      </w:r>
      <w:r>
        <w:rPr>
          <w:rStyle w:val="140"/>
          <w:rFonts w:hint="eastAsia" w:ascii="宋体" w:hAnsi="宋体" w:eastAsia="宋体" w:cs="宋体"/>
          <w:b w:val="0"/>
          <w:color w:val="auto"/>
          <w:sz w:val="21"/>
          <w:szCs w:val="21"/>
          <w:highlight w:val="none"/>
        </w:rPr>
        <w:t>版）》），与已印发的《江苏省工程质量安全手册实施细则市政工程之道路桥梁隧道综合管廊篇（2022版）》（苏建质安</w:t>
      </w:r>
      <w:r>
        <w:rPr>
          <w:rStyle w:val="140"/>
          <w:rFonts w:hint="eastAsia" w:ascii="宋体" w:hAnsi="宋体" w:eastAsia="宋体" w:cs="宋体"/>
          <w:b w:val="0"/>
          <w:color w:val="auto"/>
          <w:sz w:val="21"/>
          <w:szCs w:val="21"/>
          <w:highlight w:val="none"/>
        </w:rPr>
        <w:t>〔2022〕221号</w:t>
      </w:r>
      <w:r>
        <w:rPr>
          <w:rStyle w:val="140"/>
          <w:rFonts w:hint="eastAsia" w:ascii="宋体" w:hAnsi="宋体" w:eastAsia="宋体" w:cs="宋体"/>
          <w:b w:val="0"/>
          <w:color w:val="auto"/>
          <w:sz w:val="21"/>
          <w:szCs w:val="21"/>
          <w:highlight w:val="none"/>
        </w:rPr>
        <w:t>）</w:t>
      </w:r>
      <w:r>
        <w:rPr>
          <w:rStyle w:val="140"/>
          <w:rFonts w:hint="eastAsia" w:ascii="宋体" w:hAnsi="宋体" w:eastAsia="宋体" w:cs="宋体"/>
          <w:b w:val="0"/>
          <w:color w:val="auto"/>
          <w:sz w:val="21"/>
          <w:szCs w:val="21"/>
          <w:highlight w:val="none"/>
          <w:lang w:val="en-US" w:eastAsia="zh-CN"/>
        </w:rPr>
        <w:t>形成合力，</w:t>
      </w:r>
      <w:r>
        <w:rPr>
          <w:rStyle w:val="140"/>
          <w:rFonts w:hint="eastAsia" w:ascii="宋体" w:hAnsi="宋体" w:eastAsia="宋体" w:cs="宋体"/>
          <w:b w:val="0"/>
          <w:color w:val="auto"/>
          <w:sz w:val="21"/>
          <w:szCs w:val="21"/>
          <w:highlight w:val="none"/>
        </w:rPr>
        <w:t>共同填补“国家、省、企业”三级工程质量安全手册制度中“省”一层级在市政工程上的空白。</w:t>
      </w:r>
    </w:p>
    <w:p>
      <w:pPr>
        <w:widowControl/>
        <w:spacing w:line="360" w:lineRule="auto"/>
        <w:ind w:left="840" w:leftChars="400" w:right="420" w:rightChars="200" w:firstLine="420" w:firstLineChars="200"/>
        <w:textAlignment w:val="center"/>
        <w:rPr>
          <w:rStyle w:val="140"/>
          <w:rFonts w:hint="eastAsia" w:ascii="宋体" w:hAnsi="宋体" w:eastAsia="宋体" w:cs="宋体"/>
          <w:b w:val="0"/>
          <w:color w:val="auto"/>
          <w:sz w:val="21"/>
          <w:szCs w:val="21"/>
          <w:highlight w:val="none"/>
        </w:rPr>
      </w:pPr>
      <w:r>
        <w:rPr>
          <w:rStyle w:val="140"/>
          <w:rFonts w:hint="eastAsia" w:ascii="宋体" w:hAnsi="宋体" w:eastAsia="宋体" w:cs="宋体"/>
          <w:b w:val="0"/>
          <w:color w:val="auto"/>
          <w:sz w:val="21"/>
          <w:szCs w:val="21"/>
          <w:highlight w:val="none"/>
        </w:rPr>
        <w:t>《市政燃气细则（202</w:t>
      </w:r>
      <w:r>
        <w:rPr>
          <w:rStyle w:val="140"/>
          <w:rFonts w:hint="eastAsia" w:ascii="宋体" w:hAnsi="宋体" w:eastAsia="宋体" w:cs="宋体"/>
          <w:b w:val="0"/>
          <w:color w:val="auto"/>
          <w:sz w:val="21"/>
          <w:szCs w:val="21"/>
          <w:highlight w:val="none"/>
          <w:lang w:val="en-US" w:eastAsia="zh-CN"/>
        </w:rPr>
        <w:t>3</w:t>
      </w:r>
      <w:r>
        <w:rPr>
          <w:rStyle w:val="140"/>
          <w:rFonts w:hint="eastAsia" w:ascii="宋体" w:hAnsi="宋体" w:eastAsia="宋体" w:cs="宋体"/>
          <w:b w:val="0"/>
          <w:color w:val="auto"/>
          <w:sz w:val="21"/>
          <w:szCs w:val="21"/>
          <w:highlight w:val="none"/>
        </w:rPr>
        <w:t>版）》的编制以住房城乡建设部印发的《工程质量安全手册（试行）》（建质〔2018〕95号）为基本遵循，借鉴编制、修编《江苏省工程质量安全手册实施细则房屋建筑工程篇》（简称《房建细则》）2020版、2022版的工作经验，广泛听取《房建细则》2020版推广使用后基层反映的意见和建议，在全面、系统梳理国家和省关于城镇燃气工程建设的法律法规规章规定以及相关工程技术标准的基础上，将其中与城镇燃气工程建设质量安全关系最为密切的条款、条文</w:t>
      </w:r>
      <w:r>
        <w:rPr>
          <w:rStyle w:val="140"/>
          <w:rFonts w:hint="eastAsia" w:ascii="宋体" w:hAnsi="宋体" w:eastAsia="宋体" w:cs="宋体"/>
          <w:b w:val="0"/>
          <w:color w:val="auto"/>
          <w:sz w:val="21"/>
          <w:szCs w:val="21"/>
          <w:highlight w:val="none"/>
          <w:lang w:eastAsia="zh-CN"/>
        </w:rPr>
        <w:t>，</w:t>
      </w:r>
      <w:r>
        <w:rPr>
          <w:rStyle w:val="140"/>
          <w:rFonts w:hint="eastAsia" w:ascii="宋体" w:hAnsi="宋体" w:eastAsia="宋体" w:cs="宋体"/>
          <w:b w:val="0"/>
          <w:color w:val="auto"/>
          <w:sz w:val="21"/>
          <w:szCs w:val="21"/>
          <w:highlight w:val="none"/>
        </w:rPr>
        <w:t>尤其是强制性条文编纂成册。</w:t>
      </w:r>
    </w:p>
    <w:p>
      <w:pPr>
        <w:widowControl/>
        <w:spacing w:line="360" w:lineRule="auto"/>
        <w:ind w:left="840" w:leftChars="400" w:right="420" w:rightChars="200" w:firstLine="420" w:firstLineChars="200"/>
        <w:textAlignment w:val="center"/>
        <w:rPr>
          <w:rStyle w:val="140"/>
          <w:rFonts w:hint="eastAsia" w:ascii="宋体" w:hAnsi="宋体" w:eastAsia="宋体" w:cs="宋体"/>
          <w:b w:val="0"/>
          <w:color w:val="auto"/>
          <w:sz w:val="21"/>
          <w:szCs w:val="21"/>
          <w:highlight w:val="none"/>
        </w:rPr>
      </w:pPr>
      <w:r>
        <w:rPr>
          <w:rStyle w:val="140"/>
          <w:rFonts w:hint="eastAsia" w:ascii="宋体" w:hAnsi="宋体" w:eastAsia="宋体" w:cs="宋体"/>
          <w:b w:val="0"/>
          <w:color w:val="auto"/>
          <w:sz w:val="21"/>
          <w:szCs w:val="21"/>
          <w:highlight w:val="none"/>
        </w:rPr>
        <w:t>希望《市政燃气细则（202</w:t>
      </w:r>
      <w:r>
        <w:rPr>
          <w:rStyle w:val="140"/>
          <w:rFonts w:hint="eastAsia" w:ascii="宋体" w:hAnsi="宋体" w:eastAsia="宋体" w:cs="宋体"/>
          <w:b w:val="0"/>
          <w:color w:val="auto"/>
          <w:sz w:val="21"/>
          <w:szCs w:val="21"/>
          <w:highlight w:val="none"/>
          <w:lang w:val="en-US" w:eastAsia="zh-CN"/>
        </w:rPr>
        <w:t>3</w:t>
      </w:r>
      <w:r>
        <w:rPr>
          <w:rStyle w:val="140"/>
          <w:rFonts w:hint="eastAsia" w:ascii="宋体" w:hAnsi="宋体" w:eastAsia="宋体" w:cs="宋体"/>
          <w:b w:val="0"/>
          <w:color w:val="auto"/>
          <w:sz w:val="21"/>
          <w:szCs w:val="21"/>
          <w:highlight w:val="none"/>
        </w:rPr>
        <w:t>版）》成为一本指导企业、项目、一线人员开展城镇燃气工程建设、非常实用的工具书和口袋书，使工程质量安全要求落实到每个项目、每个员工，落实到工程建设全过程。</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jc w:val="center"/>
        <w:rPr>
          <w:rFonts w:hint="eastAsia" w:ascii="宋体" w:hAnsi="宋体" w:eastAsia="宋体" w:cs="宋体"/>
          <w:b/>
          <w:bCs/>
          <w:color w:val="auto"/>
          <w:sz w:val="21"/>
          <w:szCs w:val="21"/>
          <w:highlight w:val="none"/>
        </w:rPr>
      </w:pPr>
    </w:p>
    <w:p>
      <w:pPr>
        <w:jc w:val="center"/>
        <w:rPr>
          <w:rFonts w:hint="eastAsia" w:ascii="宋体" w:hAnsi="宋体" w:eastAsia="宋体" w:cs="宋体"/>
          <w:b/>
          <w:bCs/>
          <w:color w:val="auto"/>
          <w:sz w:val="21"/>
          <w:szCs w:val="21"/>
          <w:highlight w:val="none"/>
        </w:rPr>
      </w:pPr>
    </w:p>
    <w:p>
      <w:pPr>
        <w:ind w:firstLine="4006" w:firstLineChars="19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rPr>
        <w:t xml:space="preserve">  录</w:t>
      </w:r>
    </w:p>
    <w:p>
      <w:pPr>
        <w:tabs>
          <w:tab w:val="right" w:leader="dot" w:pos="9460"/>
          <w:tab w:val="right" w:pos="12180"/>
          <w:tab w:val="right" w:pos="14280"/>
          <w:tab w:val="right" w:leader="dot" w:pos="16380"/>
        </w:tabs>
        <w:spacing w:line="400" w:lineRule="exact"/>
        <w:ind w:right="4620" w:rightChars="2200" w:firstLine="1293" w:firstLineChars="616"/>
        <w:jc w:val="left"/>
        <w:outlineLvl w:val="0"/>
        <w:rPr>
          <w:rFonts w:hint="eastAsia" w:ascii="宋体" w:hAnsi="宋体" w:eastAsia="宋体" w:cs="宋体"/>
          <w:color w:val="auto"/>
          <w:sz w:val="21"/>
          <w:szCs w:val="21"/>
          <w:highlight w:val="none"/>
        </w:rPr>
      </w:pPr>
    </w:p>
    <w:p>
      <w:pPr>
        <w:pStyle w:val="2"/>
        <w:tabs>
          <w:tab w:val="right" w:leader="middleDot" w:pos="9660"/>
        </w:tabs>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总则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1</w:t>
      </w:r>
    </w:p>
    <w:p>
      <w:pPr>
        <w:pStyle w:val="2"/>
        <w:tabs>
          <w:tab w:val="right" w:leader="middleDot" w:pos="9660"/>
        </w:tabs>
        <w:spacing w:line="360" w:lineRule="auto"/>
        <w:ind w:firstLine="632" w:firstLineChars="3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 目的</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1</w:t>
      </w:r>
    </w:p>
    <w:p>
      <w:pPr>
        <w:pStyle w:val="2"/>
        <w:tabs>
          <w:tab w:val="right" w:leader="middleDot" w:pos="9660"/>
        </w:tabs>
        <w:spacing w:line="360" w:lineRule="auto"/>
        <w:ind w:firstLine="632" w:firstLineChars="3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 编制依据</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1</w:t>
      </w:r>
    </w:p>
    <w:p>
      <w:pPr>
        <w:pStyle w:val="2"/>
        <w:tabs>
          <w:tab w:val="right" w:leader="middleDot" w:pos="9660"/>
        </w:tabs>
        <w:spacing w:line="360" w:lineRule="auto"/>
        <w:ind w:firstLine="632" w:firstLineChars="3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适用范围</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1</w:t>
      </w:r>
    </w:p>
    <w:p>
      <w:pPr>
        <w:pStyle w:val="2"/>
        <w:tabs>
          <w:tab w:val="right" w:leader="middleDot" w:pos="9660"/>
        </w:tabs>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行为准则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1</w:t>
      </w:r>
    </w:p>
    <w:p>
      <w:pPr>
        <w:pStyle w:val="2"/>
        <w:tabs>
          <w:tab w:val="right" w:leader="middleDot" w:pos="9660"/>
        </w:tabs>
        <w:spacing w:line="360" w:lineRule="auto"/>
        <w:ind w:firstLine="632" w:firstLineChars="3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基本要求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1</w:t>
      </w:r>
    </w:p>
    <w:p>
      <w:pPr>
        <w:pStyle w:val="2"/>
        <w:tabs>
          <w:tab w:val="right" w:leader="middleDot" w:pos="9660"/>
        </w:tabs>
        <w:spacing w:line="360" w:lineRule="auto"/>
        <w:ind w:firstLine="632" w:firstLineChars="3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2.2 质量行为要求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3</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建设单位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3</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2.2.2 勘察单位、设计单位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6</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2.2.3 施工单位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6</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2.2.4 监理单位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8</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2.2.5 检测单位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10</w:t>
      </w:r>
    </w:p>
    <w:p>
      <w:pPr>
        <w:pStyle w:val="2"/>
        <w:tabs>
          <w:tab w:val="right" w:leader="middleDot" w:pos="9660"/>
        </w:tabs>
        <w:spacing w:line="360" w:lineRule="auto"/>
        <w:ind w:firstLine="48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3 工程实体质量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11</w:t>
      </w:r>
    </w:p>
    <w:p>
      <w:pPr>
        <w:pStyle w:val="2"/>
        <w:tabs>
          <w:tab w:val="right" w:leader="middleDot" w:pos="9660"/>
        </w:tabs>
        <w:spacing w:line="360" w:lineRule="auto"/>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3.1 燃气厂站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11</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3.1.1 一般要求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11</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材料设备的检查验收与装卸、运输、存放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11</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3.1.3 设备基础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13</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3.1.4 工艺设备安装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 工艺管道安装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16</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3.1.6 电气安装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3.1.7 防雷防静电安装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3.1.8 仪表及自控安装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21</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3.1.9 给排水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3.1.10 钢网架工程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3.1.11 安全附件校验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3.1.12 设备调试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3.1.13 仪表试验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p>
      <w:pPr>
        <w:pStyle w:val="2"/>
        <w:tabs>
          <w:tab w:val="right" w:leader="middleDot" w:pos="9660"/>
        </w:tabs>
        <w:spacing w:line="360" w:lineRule="auto"/>
        <w:ind w:firstLine="632" w:firstLineChars="3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3.2 管道和调压设施（用户燃气计量表前）</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30</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3.2.1 土方工程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30</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3.2.2 材料设备的检查验收与装卸、运输、存放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32</w:t>
      </w:r>
    </w:p>
    <w:p>
      <w:pPr>
        <w:pStyle w:val="2"/>
        <w:tabs>
          <w:tab w:val="right" w:leader="middleDot" w:pos="9660"/>
        </w:tabs>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3.2.3 埋地管道敷设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35</w:t>
      </w:r>
    </w:p>
    <w:p>
      <w:pPr>
        <w:pStyle w:val="2"/>
        <w:tabs>
          <w:tab w:val="right" w:leader="middleDot" w:pos="9660"/>
        </w:tabs>
        <w:spacing w:line="360" w:lineRule="auto"/>
        <w:ind w:firstLine="840"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3.2.4 架空管道敷设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44</w:t>
      </w:r>
    </w:p>
    <w:p>
      <w:pPr>
        <w:pStyle w:val="2"/>
        <w:tabs>
          <w:tab w:val="right" w:leader="middleDot" w:pos="9660"/>
        </w:tabs>
        <w:spacing w:line="360" w:lineRule="auto"/>
        <w:ind w:firstLine="840"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3.2.5 穿跨越管道敷设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45</w:t>
      </w:r>
    </w:p>
    <w:p>
      <w:pPr>
        <w:pStyle w:val="2"/>
        <w:tabs>
          <w:tab w:val="right" w:leader="middleDot" w:pos="9660"/>
        </w:tabs>
        <w:spacing w:line="360" w:lineRule="auto"/>
        <w:ind w:firstLine="840"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3.2.6 管道附件与设备安装</w:t>
      </w:r>
      <w:r>
        <w:rPr>
          <w:rFonts w:hint="eastAsia" w:ascii="宋体" w:hAnsi="宋体" w:eastAsia="宋体" w:cs="宋体"/>
          <w:color w:val="auto"/>
          <w:sz w:val="21"/>
          <w:szCs w:val="21"/>
          <w:highlight w:val="none"/>
          <w:lang w:val="en-US" w:eastAsia="zh-CN"/>
        </w:rPr>
        <w:t>及锚固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48</w:t>
      </w:r>
    </w:p>
    <w:p>
      <w:pPr>
        <w:pStyle w:val="2"/>
        <w:tabs>
          <w:tab w:val="right" w:leader="middleDot" w:pos="9660"/>
        </w:tabs>
        <w:spacing w:line="360" w:lineRule="auto"/>
        <w:ind w:firstLine="840"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3.2.7 管道防腐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50</w:t>
      </w:r>
    </w:p>
    <w:p>
      <w:pPr>
        <w:pStyle w:val="2"/>
        <w:tabs>
          <w:tab w:val="right" w:leader="middleDot" w:pos="9660"/>
        </w:tabs>
        <w:spacing w:line="360" w:lineRule="auto"/>
        <w:ind w:firstLine="840"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3.2.8 管道吹扫、清管、测径、试压、干燥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52</w:t>
      </w:r>
    </w:p>
    <w:p>
      <w:pPr>
        <w:pStyle w:val="2"/>
        <w:tabs>
          <w:tab w:val="right" w:leader="middleDot" w:pos="9660"/>
        </w:tabs>
        <w:spacing w:line="360" w:lineRule="auto"/>
        <w:ind w:firstLine="840"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3.2.9 管道标志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54</w:t>
      </w:r>
    </w:p>
    <w:p>
      <w:pPr>
        <w:pStyle w:val="2"/>
        <w:tabs>
          <w:tab w:val="right" w:leader="middleDot" w:pos="9660"/>
        </w:tabs>
        <w:spacing w:line="360" w:lineRule="auto"/>
        <w:ind w:firstLine="840"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3.2.10 调压设施</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54</w:t>
      </w:r>
    </w:p>
    <w:p>
      <w:pPr>
        <w:pStyle w:val="2"/>
        <w:tabs>
          <w:tab w:val="right" w:leader="middleDot" w:pos="9660"/>
        </w:tabs>
        <w:spacing w:line="360" w:lineRule="auto"/>
        <w:ind w:firstLine="840" w:firstLineChars="4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用户管道（用户燃气计量表前）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55</w:t>
      </w:r>
    </w:p>
    <w:p>
      <w:pPr>
        <w:pStyle w:val="2"/>
        <w:tabs>
          <w:tab w:val="right" w:leader="middleDot" w:pos="9660"/>
        </w:tabs>
        <w:spacing w:line="360" w:lineRule="auto"/>
        <w:ind w:firstLine="482"/>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 质量管理资料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55</w:t>
      </w:r>
    </w:p>
    <w:p>
      <w:pPr>
        <w:pStyle w:val="2"/>
        <w:tabs>
          <w:tab w:val="right" w:leader="middleDot" w:pos="9660"/>
        </w:tabs>
        <w:spacing w:line="360" w:lineRule="auto"/>
        <w:ind w:firstLine="632" w:firstLineChars="3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4.1 建筑材料进场检验资料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55</w:t>
      </w:r>
    </w:p>
    <w:p>
      <w:pPr>
        <w:pStyle w:val="2"/>
        <w:tabs>
          <w:tab w:val="right" w:leader="middleDot" w:pos="9660"/>
        </w:tabs>
        <w:spacing w:line="360" w:lineRule="auto"/>
        <w:ind w:firstLine="632" w:firstLineChars="3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4.2 施工试验检测资料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56</w:t>
      </w:r>
    </w:p>
    <w:p>
      <w:pPr>
        <w:pStyle w:val="2"/>
        <w:tabs>
          <w:tab w:val="right" w:leader="middleDot" w:pos="9660"/>
        </w:tabs>
        <w:spacing w:line="360" w:lineRule="auto"/>
        <w:ind w:firstLine="632" w:firstLineChars="3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4.3 施工记录</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60</w:t>
      </w:r>
    </w:p>
    <w:p>
      <w:pPr>
        <w:pStyle w:val="2"/>
        <w:tabs>
          <w:tab w:val="right" w:leader="middleDot" w:pos="9660"/>
        </w:tabs>
        <w:spacing w:line="360" w:lineRule="auto"/>
        <w:ind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4.4 质量验收记录</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63</w:t>
      </w:r>
    </w:p>
    <w:p>
      <w:pPr>
        <w:pStyle w:val="2"/>
        <w:tabs>
          <w:tab w:val="right" w:leader="middleDot" w:pos="9660"/>
        </w:tabs>
        <w:spacing w:line="360" w:lineRule="auto"/>
        <w:ind w:firstLine="48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5 附则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lang w:val="en-US" w:eastAsia="zh-CN"/>
        </w:rPr>
        <w:t>64</w:t>
      </w:r>
    </w:p>
    <w:p>
      <w:pPr>
        <w:pStyle w:val="2"/>
        <w:spacing w:line="360" w:lineRule="auto"/>
        <w:ind w:firstLine="482"/>
        <w:rPr>
          <w:rFonts w:hint="eastAsia" w:ascii="宋体" w:hAnsi="宋体" w:eastAsia="宋体" w:cs="宋体"/>
          <w:b/>
          <w:bCs/>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tabs>
          <w:tab w:val="right" w:leader="dot" w:pos="7980"/>
          <w:tab w:val="right" w:leader="dot" w:pos="16380"/>
        </w:tabs>
        <w:spacing w:line="400" w:lineRule="exact"/>
        <w:jc w:val="left"/>
        <w:rPr>
          <w:rFonts w:hint="eastAsia" w:ascii="宋体" w:hAnsi="宋体" w:eastAsia="宋体" w:cs="宋体"/>
          <w:color w:val="auto"/>
          <w:sz w:val="21"/>
          <w:szCs w:val="21"/>
          <w:highlight w:val="none"/>
        </w:rPr>
      </w:pPr>
    </w:p>
    <w:p>
      <w:pPr>
        <w:tabs>
          <w:tab w:val="right" w:leader="dot" w:pos="7980"/>
          <w:tab w:val="right" w:leader="dot" w:pos="16380"/>
        </w:tabs>
        <w:rPr>
          <w:rFonts w:hint="eastAsia" w:ascii="宋体" w:hAnsi="宋体" w:eastAsia="宋体" w:cs="宋体"/>
          <w:color w:val="auto"/>
          <w:sz w:val="21"/>
          <w:szCs w:val="21"/>
          <w:highlight w:val="none"/>
        </w:rPr>
        <w:sectPr>
          <w:headerReference r:id="rId4" w:type="default"/>
          <w:footerReference r:id="rId5" w:type="default"/>
          <w:type w:val="continuous"/>
          <w:pgSz w:w="23814" w:h="16839" w:orient="landscape"/>
          <w:pgMar w:top="1418" w:right="1304" w:bottom="1134" w:left="1304" w:header="851" w:footer="992" w:gutter="0"/>
          <w:pgNumType w:start="1"/>
          <w:cols w:equalWidth="0" w:num="2">
            <w:col w:w="10403" w:space="412"/>
            <w:col w:w="10390"/>
          </w:cols>
          <w:docGrid w:type="lines" w:linePitch="312" w:charSpace="0"/>
        </w:sectPr>
      </w:pPr>
    </w:p>
    <w:p>
      <w:pPr>
        <w:spacing w:line="240" w:lineRule="exact"/>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sectPr>
          <w:footerReference r:id="rId6" w:type="default"/>
          <w:pgSz w:w="23814" w:h="16839" w:orient="landscape"/>
          <w:pgMar w:top="1418" w:right="1304" w:bottom="1134" w:left="1304" w:header="851" w:footer="992" w:gutter="0"/>
          <w:pgNumType w:start="1"/>
          <w:cols w:space="425" w:num="1"/>
          <w:docGrid w:type="lines" w:linePitch="312" w:charSpace="0"/>
        </w:sectPr>
      </w:pPr>
    </w:p>
    <w:tbl>
      <w:tblPr>
        <w:tblStyle w:val="20"/>
        <w:tblW w:w="21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59"/>
        <w:gridCol w:w="1119"/>
        <w:gridCol w:w="2882"/>
        <w:gridCol w:w="4027"/>
        <w:gridCol w:w="1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56" w:type="dxa"/>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编号</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类别</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实施对象</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实施内容</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实施依据</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outlineLvl w:val="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outlineLvl w:val="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outlineLvl w:val="1"/>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1.1</w:t>
            </w:r>
          </w:p>
        </w:tc>
        <w:tc>
          <w:tcPr>
            <w:tcW w:w="2378" w:type="dxa"/>
            <w:gridSpan w:val="2"/>
            <w:vAlign w:val="center"/>
          </w:tcPr>
          <w:p>
            <w:pPr>
              <w:keepNext w:val="0"/>
              <w:keepLines w:val="0"/>
              <w:pageBreakBefore w:val="0"/>
              <w:kinsoku/>
              <w:wordWrap/>
              <w:overflowPunct/>
              <w:topLinePunct w:val="0"/>
              <w:autoSpaceDE/>
              <w:autoSpaceDN/>
              <w:bidi w:val="0"/>
              <w:spacing w:line="260" w:lineRule="atLeast"/>
              <w:ind w:left="0"/>
              <w:jc w:val="left"/>
              <w:outlineLvl w:val="1"/>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目的</w:t>
            </w:r>
          </w:p>
        </w:tc>
        <w:tc>
          <w:tcPr>
            <w:tcW w:w="17969" w:type="dxa"/>
            <w:gridSpan w:val="3"/>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进一步完善企业质量管理体系，规范企业质量行为，夯实企业质量主体责任，奠定我省燃气工程质量标准化建设的基石，切实保障工程质量，提高人民群众满意度，推动燃气工程高标准高质量发展。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outlineLvl w:val="2"/>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1.2</w:t>
            </w:r>
          </w:p>
        </w:tc>
        <w:tc>
          <w:tcPr>
            <w:tcW w:w="2378" w:type="dxa"/>
            <w:gridSpan w:val="2"/>
            <w:vAlign w:val="center"/>
          </w:tcPr>
          <w:p>
            <w:pPr>
              <w:keepNext w:val="0"/>
              <w:keepLines w:val="0"/>
              <w:pageBreakBefore w:val="0"/>
              <w:kinsoku/>
              <w:wordWrap/>
              <w:overflowPunct/>
              <w:topLinePunct w:val="0"/>
              <w:autoSpaceDE/>
              <w:autoSpaceDN/>
              <w:bidi w:val="0"/>
              <w:spacing w:line="260" w:lineRule="atLeast"/>
              <w:ind w:left="0"/>
              <w:jc w:val="left"/>
              <w:outlineLvl w:val="2"/>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编制依据</w:t>
            </w:r>
          </w:p>
        </w:tc>
        <w:tc>
          <w:tcPr>
            <w:tcW w:w="17969" w:type="dxa"/>
            <w:gridSpan w:val="3"/>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（一）法律法规</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1.《建筑法》（1997年主席令第91号；2019年第二次修正）；2.</w:t>
            </w:r>
            <w:r>
              <w:rPr>
                <w:rStyle w:val="142"/>
                <w:rFonts w:hint="eastAsia" w:ascii="宋体" w:hAnsi="宋体" w:eastAsia="宋体" w:cs="宋体"/>
                <w:color w:val="auto"/>
                <w:sz w:val="21"/>
                <w:szCs w:val="21"/>
                <w:highlight w:val="none"/>
              </w:rPr>
              <w:t>《建设工程质量管理条例》（</w:t>
            </w:r>
            <w:r>
              <w:rPr>
                <w:rStyle w:val="143"/>
                <w:rFonts w:hint="eastAsia" w:ascii="宋体" w:hAnsi="宋体" w:eastAsia="宋体" w:cs="宋体"/>
                <w:color w:val="auto"/>
                <w:sz w:val="21"/>
                <w:szCs w:val="21"/>
                <w:highlight w:val="none"/>
              </w:rPr>
              <w:t>2000</w:t>
            </w:r>
            <w:r>
              <w:rPr>
                <w:rStyle w:val="142"/>
                <w:rFonts w:hint="eastAsia" w:ascii="宋体" w:hAnsi="宋体" w:eastAsia="宋体" w:cs="宋体"/>
                <w:color w:val="auto"/>
                <w:sz w:val="21"/>
                <w:szCs w:val="21"/>
                <w:highlight w:val="none"/>
              </w:rPr>
              <w:t>年国务院令第</w:t>
            </w:r>
            <w:r>
              <w:rPr>
                <w:rStyle w:val="143"/>
                <w:rFonts w:hint="eastAsia" w:ascii="宋体" w:hAnsi="宋体" w:eastAsia="宋体" w:cs="宋体"/>
                <w:color w:val="auto"/>
                <w:sz w:val="21"/>
                <w:szCs w:val="21"/>
                <w:highlight w:val="none"/>
              </w:rPr>
              <w:t>279</w:t>
            </w:r>
            <w:r>
              <w:rPr>
                <w:rStyle w:val="142"/>
                <w:rFonts w:hint="eastAsia" w:ascii="宋体" w:hAnsi="宋体" w:eastAsia="宋体" w:cs="宋体"/>
                <w:color w:val="auto"/>
                <w:sz w:val="21"/>
                <w:szCs w:val="21"/>
                <w:highlight w:val="none"/>
              </w:rPr>
              <w:t>号；</w:t>
            </w:r>
            <w:r>
              <w:rPr>
                <w:rStyle w:val="143"/>
                <w:rFonts w:hint="eastAsia" w:ascii="宋体" w:hAnsi="宋体" w:eastAsia="宋体" w:cs="宋体"/>
                <w:color w:val="auto"/>
                <w:sz w:val="21"/>
                <w:szCs w:val="21"/>
                <w:highlight w:val="none"/>
              </w:rPr>
              <w:t>2019</w:t>
            </w:r>
            <w:r>
              <w:rPr>
                <w:rStyle w:val="142"/>
                <w:rFonts w:hint="eastAsia" w:ascii="宋体" w:hAnsi="宋体" w:eastAsia="宋体" w:cs="宋体"/>
                <w:color w:val="auto"/>
                <w:sz w:val="21"/>
                <w:szCs w:val="21"/>
                <w:highlight w:val="none"/>
              </w:rPr>
              <w:t>年第二次修订）；</w:t>
            </w:r>
            <w:r>
              <w:rPr>
                <w:rFonts w:hint="eastAsia" w:ascii="宋体" w:hAnsi="宋体" w:eastAsia="宋体" w:cs="宋体"/>
                <w:color w:val="auto"/>
                <w:spacing w:val="-6"/>
                <w:sz w:val="21"/>
                <w:szCs w:val="21"/>
                <w:highlight w:val="none"/>
              </w:rPr>
              <w:t>3.《城镇燃气管理条例》（</w:t>
            </w:r>
            <w:r>
              <w:rPr>
                <w:rFonts w:hint="eastAsia" w:ascii="宋体" w:hAnsi="宋体" w:eastAsia="宋体" w:cs="宋体"/>
                <w:color w:val="auto"/>
                <w:sz w:val="21"/>
                <w:szCs w:val="21"/>
                <w:highlight w:val="none"/>
                <w:shd w:val="clear" w:color="auto" w:fill="FFFFFF"/>
              </w:rPr>
              <w:t>国务院令第583号</w:t>
            </w:r>
            <w:r>
              <w:rPr>
                <w:rFonts w:hint="eastAsia" w:ascii="宋体" w:hAnsi="宋体" w:eastAsia="宋体" w:cs="宋体"/>
                <w:color w:val="auto"/>
                <w:spacing w:val="-6"/>
                <w:sz w:val="21"/>
                <w:szCs w:val="21"/>
                <w:highlight w:val="none"/>
              </w:rPr>
              <w:t xml:space="preserve">）；4.《建设工程勘察设计管理条例》（国务院令第293号）；5.《江苏省燃气管理条例》（江苏省人大常委会公告第28号）等。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（二）规章</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房屋建筑和市政基础设施工程施工图设计文件审查管理办法》（住房城乡建设部令第46号）；2.《建筑工程施工许可管理办法》（住房城乡建设部令第42号）；3.《建设工程质量检测管理办法》（建设部令第141号）；4.《房屋建筑和市政基础设施工程质量监督管理规定》（住房城乡建设部令第5号）；5.《房屋建筑和市政基础设施工程竣工验收备案管理办法》（住房城乡建设部令第2号）；6.《江苏省房屋建筑和市政基础设施工程质量监督管理办法》（江苏省人民政府令第89号）等。</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（三）文件</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1.《国务院办公厅转发住房城乡建设部关于完善质量保障体系提升建筑工程品质指导意见的通知》（国办函</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2019</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92号）；2.《住房城乡建设部关于印发工程质量安全手册（试行）的通知》（建质〔2018〕95号）；3.《住房和城乡建设部关于落实建设单位工程质量首要责任的通知》（建质规〔2020〕9号）；4.《住房城乡建设部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建筑工程五方责任主体项目负责人质量终身责任追究暂行办法</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的通知》（建质〔2014〕124号）；5.《江苏省建设工程质量检测管理实施细则》（苏建法〔2006〕97号）；6.《江苏省住房和城乡建设厅关于印发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的通知》（苏建规字〔2021〕3号）等。</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（四）有关工程建设标准。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outlineLvl w:val="1"/>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1.3</w:t>
            </w:r>
          </w:p>
        </w:tc>
        <w:tc>
          <w:tcPr>
            <w:tcW w:w="2378" w:type="dxa"/>
            <w:gridSpan w:val="2"/>
            <w:vAlign w:val="center"/>
          </w:tcPr>
          <w:p>
            <w:pPr>
              <w:keepNext w:val="0"/>
              <w:keepLines w:val="0"/>
              <w:pageBreakBefore w:val="0"/>
              <w:kinsoku/>
              <w:wordWrap/>
              <w:overflowPunct/>
              <w:topLinePunct w:val="0"/>
              <w:autoSpaceDE/>
              <w:autoSpaceDN/>
              <w:bidi w:val="0"/>
              <w:spacing w:line="260" w:lineRule="atLeast"/>
              <w:ind w:left="0"/>
              <w:jc w:val="left"/>
              <w:outlineLvl w:val="1"/>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适用范围</w:t>
            </w:r>
          </w:p>
        </w:tc>
        <w:tc>
          <w:tcPr>
            <w:tcW w:w="17969" w:type="dxa"/>
            <w:gridSpan w:val="3"/>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燃气工程质量管理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行为准则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2.1</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基本要求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建设、勘察、设计、施工、监理、检测等单位依法对工程质量负责。</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《建筑法》（1997年主席令第91号；2019年第二次修正）</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第一章第三条 建设单位、勘察单位、设计单位、施工单位、工程监理单位依法对建设工程质量负责。</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第二章 建设单位的质量责任和义务</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第三章 勘察单位、设计单位的质量责任和义务</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第四章 施工单位的质量责任和义务</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第五章 工程监理单位的质量责任义务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210" w:leftChars="0" w:hanging="210" w:hanging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第十八条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检测机构应当对其检测数据和检测报告的真实性和准确性负责。</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atLeast"/>
              <w:ind w:left="0" w:leftChars="0"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检测机构违反法律、法规和工程建设强制性标准，给他人造成损失的，应当依法承担相应的赔偿责任。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Style w:val="144"/>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2.0.1</w:t>
            </w:r>
            <w:r>
              <w:rPr>
                <w:rStyle w:val="144"/>
                <w:rFonts w:hint="eastAsia" w:ascii="宋体" w:hAnsi="宋体" w:eastAsia="宋体" w:cs="宋体"/>
                <w:color w:val="auto"/>
                <w:sz w:val="21"/>
                <w:szCs w:val="21"/>
                <w:highlight w:val="none"/>
                <w:lang w:val="en-US" w:eastAsia="zh-CN"/>
              </w:rPr>
              <w:t xml:space="preserve"> </w:t>
            </w:r>
            <w:r>
              <w:rPr>
                <w:rStyle w:val="144"/>
                <w:rFonts w:hint="eastAsia" w:ascii="宋体" w:hAnsi="宋体" w:eastAsia="宋体" w:cs="宋体"/>
                <w:color w:val="auto"/>
                <w:sz w:val="21"/>
                <w:szCs w:val="21"/>
                <w:highlight w:val="none"/>
              </w:rPr>
              <w:t>工程项目施工应建立项目质量管理体系，明确质量责任人及岗位职责，建立质量责任追溯制度。</w:t>
            </w:r>
          </w:p>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u w:val="none"/>
                <w:lang w:val="en-US" w:eastAsia="zh-CN" w:bidi="ar-SA"/>
              </w:rPr>
            </w:pPr>
            <w:r>
              <w:rPr>
                <w:rStyle w:val="144"/>
                <w:rFonts w:hint="eastAsia" w:ascii="宋体" w:hAnsi="宋体" w:eastAsia="宋体" w:cs="宋体"/>
                <w:color w:val="auto"/>
                <w:sz w:val="21"/>
                <w:szCs w:val="21"/>
                <w:highlight w:val="none"/>
              </w:rPr>
              <w:t>2.0.3</w:t>
            </w:r>
            <w:r>
              <w:rPr>
                <w:rStyle w:val="144"/>
                <w:rFonts w:hint="eastAsia" w:ascii="宋体" w:hAnsi="宋体" w:eastAsia="宋体" w:cs="宋体"/>
                <w:color w:val="auto"/>
                <w:sz w:val="21"/>
                <w:szCs w:val="21"/>
                <w:highlight w:val="none"/>
                <w:lang w:val="en-US" w:eastAsia="zh-CN"/>
              </w:rPr>
              <w:t xml:space="preserve"> </w:t>
            </w:r>
            <w:r>
              <w:rPr>
                <w:rStyle w:val="144"/>
                <w:rFonts w:hint="eastAsia" w:ascii="宋体" w:hAnsi="宋体" w:eastAsia="宋体" w:cs="宋体"/>
                <w:color w:val="auto"/>
                <w:sz w:val="21"/>
                <w:szCs w:val="21"/>
                <w:highlight w:val="none"/>
              </w:rPr>
              <w:t>工程项目各方的工程建设合同，应明确具体质量标准、各方质量控制的权利与责任。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《江苏省房屋建筑和市政基础设施工程质量监督管理办法》（江苏省人民政府令第89号）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第二十一条第三款质量检测单位应当履行下列工程质量义务：</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pacing w:val="-6"/>
                <w:sz w:val="21"/>
                <w:szCs w:val="21"/>
                <w:highlight w:val="none"/>
              </w:rPr>
              <w:t>（三）按照规定出具检测报告，检测数据必须准确真实，不得弄虚作假</w:t>
            </w:r>
            <w:r>
              <w:rPr>
                <w:rFonts w:hint="eastAsia" w:ascii="宋体" w:hAnsi="宋体" w:eastAsia="宋体" w:cs="宋体"/>
                <w:color w:val="auto"/>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基本要求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勘察、设计、施工、监理、检测等单位应当依法取得资质证书，并在其资质等级许可的范围内从事建设工程活动。</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《建筑法》（1997年主席令第91号；2019年第二次修正）</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第四条</w:t>
            </w:r>
            <w:r>
              <w:rPr>
                <w:rFonts w:hint="eastAsia" w:ascii="宋体" w:hAnsi="宋体" w:eastAsia="宋体" w:cs="宋体"/>
                <w:color w:val="auto"/>
                <w:sz w:val="21"/>
                <w:szCs w:val="21"/>
                <w:highlight w:val="none"/>
              </w:rPr>
              <w:t>第一款 检测机构是具有独立法人资格的中介机构。检测机构从事本办法附件一规定的质量检测业务，应当依据本办法取得相应的资质证书。</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第四条第三款 检测机构未取得相应的资质证书，不得承担本办法规定的质量检测业务。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《江苏省房屋建筑和市政基础设施工程质量监督管理办法》（江苏省人民政府令第89号）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第二十一条第一款</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质量检测单位应当履行下列工程质量义务：</w:t>
            </w:r>
          </w:p>
          <w:p>
            <w:pPr>
              <w:keepNext w:val="0"/>
              <w:keepLines w:val="0"/>
              <w:pageBreakBefore w:val="0"/>
              <w:widowControl w:val="0"/>
              <w:kinsoku/>
              <w:wordWrap/>
              <w:overflowPunct/>
              <w:topLinePunct w:val="0"/>
              <w:autoSpaceDE/>
              <w:autoSpaceDN/>
              <w:bidi w:val="0"/>
              <w:adjustRightInd/>
              <w:snapToGrid/>
              <w:spacing w:line="260" w:lineRule="atLeast"/>
              <w:ind w:left="0" w:firstLine="198" w:firstLineChars="10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（一）在资质范围内从事检测活动，不得转包检测业务；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基本要求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勘察、设计、施工、监理等单位的法定代表人应当签署授权委托书，明确各自工程项目负责人；项目负责人应当签署工程质量终身责任承诺书；法定代表人和项目负责人在工程设计使用年限内对工程质量承担相应责任。</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《住房城乡建设部关于印发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建筑工程五方责任主体项目负责人质量终身责任追究暂行办法</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的通知》（建质〔2014〕124号）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第八条 项目负责人应当在办理工程质量监督手续前签署工程质量终身责任承诺书，连同法定代表人授权书，报工程质量监督机构备案。项目负责人如有更换的，应当按规定办理变更程序，重新签署工程质量终身责任承诺书，连同法定代表人授权书，报工程质量监督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《住房城乡建设部办公厅关于严格落实建筑工程质量终身责任承诺制的通知》（建办质〔2014〕44号）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一、对《建筑工程五方责任主体项目负责人质量终身责任追究暂行办法》施行后新开工建设的工程项目，建设单位、勘察单位、设计单位、施工单位</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的法定代表人应当及时签署授权书，明确本单位在该工程的项目负责人。经授权的建设单位项目负责人、勘察单位项目负责人、设计单位项目负责人、施工单位项目经理和监理单位总监理工程师应当在办理工程质量监督手续前签署工程质量终身责任承诺书，连同法定代表人授权书，报工程质量监督机构备案。对未办理授权书、承诺书备案的，住房城乡建设主管部门不予办理工程质量监督手续、不予颁发施工许可证、不予办理工程竣工验收备案。</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二、对已经开工正在建设的工程项目，建设单位、勘察单位、设计单位、施工单位</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的法定代表人应当补签授权书，明确本单位在该工程的项目负责人。经授权的建设单位项目负责人、勘察单位项目负责人、设计单位项目负责人、施工单位项目经理和监理单位总监理工程师应当补签工程质量终身责任承诺书，连同法定代表人授权书，报工程质量监督机构备案。对未办理授权书、承诺书备案的，住房城乡建设主管部门不予办理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基本要求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从事工程建设活动的专业技术人员应当在注册许可范围和聘用单位业务范围内从业，对签署技术文件的真实性和准确性负责，依法承担质量责任。</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《建筑法》（1997年主席令第91号；2019年第二次修正）</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第十四条 从事建筑活动的专业技术人员，应当依法取得相应的执业资格证书，并在执业资格证书许可的范围内从事建筑活动。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2.1.5</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基本要求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工程完工后，建设单位应当组织勘察、设计、施工、监理等有关单位进行竣工验收；工程竣工验收合格，方可交付使用</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落实永久性标牌制度。</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第十六条第一款 建设单位收到建设工程竣工报告后，应当组织设计、施工、工程监理等有关单位进行竣工验收。</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第十六条第三款 建设工程经验收合格的，方可交付使用。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单位工程完工后，各单位应按下列要求进行工程竣工验收：</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5 建设单位应在竣工预验收合格后组织监理、施工、设计、勘察单位等相关单位项目负责人进行工程竣工验收。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Style w:val="144"/>
                <w:rFonts w:hint="eastAsia" w:ascii="宋体" w:hAnsi="宋体" w:eastAsia="宋体" w:cs="宋体"/>
                <w:color w:val="auto"/>
                <w:sz w:val="21"/>
                <w:szCs w:val="21"/>
                <w:highlight w:val="none"/>
              </w:rPr>
              <w:t>《江苏省房屋建筑和市政基础设施工程质量监督管理办法》（江苏省人民政府令第</w:t>
            </w:r>
            <w:r>
              <w:rPr>
                <w:rStyle w:val="145"/>
                <w:rFonts w:hint="eastAsia" w:ascii="宋体" w:hAnsi="宋体" w:eastAsia="宋体" w:cs="宋体"/>
                <w:color w:val="auto"/>
                <w:sz w:val="21"/>
                <w:szCs w:val="21"/>
                <w:highlight w:val="none"/>
              </w:rPr>
              <w:t>89</w:t>
            </w:r>
            <w:r>
              <w:rPr>
                <w:rStyle w:val="144"/>
                <w:rFonts w:hint="eastAsia" w:ascii="宋体" w:hAnsi="宋体" w:eastAsia="宋体" w:cs="宋体"/>
                <w:color w:val="auto"/>
                <w:sz w:val="21"/>
                <w:szCs w:val="21"/>
                <w:highlight w:val="none"/>
              </w:rPr>
              <w:t>号）</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Style w:val="144"/>
                <w:rFonts w:hint="eastAsia" w:ascii="宋体" w:hAnsi="宋体" w:eastAsia="宋体" w:cs="宋体"/>
                <w:color w:val="auto"/>
                <w:sz w:val="21"/>
                <w:szCs w:val="21"/>
                <w:highlight w:val="none"/>
              </w:rPr>
              <w:t>第十七条第（三）小条</w:t>
            </w:r>
            <w:r>
              <w:rPr>
                <w:rStyle w:val="144"/>
                <w:rFonts w:hint="eastAsia" w:ascii="宋体" w:hAnsi="宋体" w:eastAsia="宋体" w:cs="宋体"/>
                <w:color w:val="auto"/>
                <w:sz w:val="21"/>
                <w:szCs w:val="21"/>
                <w:highlight w:val="none"/>
                <w:lang w:val="en-US" w:eastAsia="zh-CN"/>
              </w:rPr>
              <w:t xml:space="preserve"> </w:t>
            </w:r>
            <w:r>
              <w:rPr>
                <w:rStyle w:val="144"/>
                <w:rFonts w:hint="eastAsia" w:ascii="宋体" w:hAnsi="宋体" w:eastAsia="宋体" w:cs="宋体"/>
                <w:color w:val="auto"/>
                <w:sz w:val="21"/>
                <w:szCs w:val="21"/>
                <w:highlight w:val="none"/>
              </w:rPr>
              <w:t>工程竣工验收合格后，建设单位应当在建筑物明显部位设置永久性标牌，标牌上应当载明建设、勘察、设计、施工、监理等单位名称和项目负责人姓名。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《住房和城乡建设部关于落实建设单位工程质量首要责任的通知》（建质规〔2020〕9号）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五）严格工程竣工验收。建设单位要在收到工程竣工报告后及时组织竣工验收，重大工程或技术复杂工程可邀请有关专家参加，未经验收合格不得交付使用。......加强工程竣工验收资料管理，建立质量终身责任信息档案，落实竣工后永久性标牌制度，强化质量主体责任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六）严格竣工验收。建设单位应当在收到工程竣工报告后及时组织勘察、设计、施工、监理等有关单位进行竣工验收，重大工程或者技术复杂工程可邀请有关专家参加。应当在组织竣工验收前将竣工验收的时间、地点等通知负责监督该工程的质量监督机构，自觉接受其对竣工验收的监督。竣工验收过程中严禁弄虚作假，严禁将不合格工程按照合格工程验收。工程未经验收或验收不合格不得交付使用。加强工程竣工验收资料管理，建立各方主体项目负责人质量终身责任信息档案，工程竣工验收合格后及时移交有关部门。落实竣工验收合格后在工程明显部位设置永久性标牌的要求，载明建设单位、勘察单位、设计单位、施工单位</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监理单位名称和项目负责人姓名。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基本要求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燃气设施建设应当与主体工程同步设计、同步施工、同步竣工验收。</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《江苏省燃气管理条例》（江苏省人大常委会公告第28号）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第十一条 城市新区开发、旧区改造工程，新建、扩建、改建道路、桥梁等市政工程和房屋建设工程，按照城镇燃气发展规划需要配套建设燃气设施的，应当与主体工程同步设计、同步施工、同步竣工验收。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基本要求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燃气工程的勘察、设计、施工、监理和设备、材料的选用，应当执行国家和省有关标准和规范。</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《江苏省燃气管理条例》（江苏省人大常委会公告第28号）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第十三条 燃气工程的勘察、设计、施工、监理和设备、材料的选用，应当执行国家和省有关标准和规范。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2.2</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质量行为要求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2.2.1</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2.2.1.1</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严格执行法定程序，依法办理施工许可（工程质量监督手续）、竣工验收备案手续等。</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《建筑法》（1997年主席令第91号；2019年第二次修正）</w:t>
            </w:r>
          </w:p>
        </w:tc>
        <w:tc>
          <w:tcPr>
            <w:tcW w:w="11060" w:type="dxa"/>
            <w:vAlign w:val="center"/>
          </w:tcPr>
          <w:p>
            <w:pPr>
              <w:keepNext w:val="0"/>
              <w:keepLines w:val="0"/>
              <w:pageBreakBefore w:val="0"/>
              <w:numPr>
                <w:ilvl w:val="0"/>
                <w:numId w:val="2"/>
              </w:numPr>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第十三条 建设单位在开工前，应当按照国家有关规定办理工程质量监督手续，工程质量监督手续可以与施工许可证或者开工报告合并办理。</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第四十九条 第一款 建设单位应当自建设工程竣工验收合格之日起15日内，将建设工程竣工验收报告和规划、公安消防、环保等部门出具的认可文件或者准许使用文件报建设行政主管部门或者其他有关部门备案。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《住房和城乡建设部关于落实建设单位工程质量首要责任的通知》（建质规〔2020〕9号）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（一）建设单位要严格履行基本建设程序，禁止未取得施工许可等建设手续开工建设。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《城镇燃气管理条例》（</w:t>
            </w:r>
            <w:r>
              <w:rPr>
                <w:rFonts w:hint="eastAsia" w:ascii="宋体" w:hAnsi="宋体" w:eastAsia="宋体" w:cs="宋体"/>
                <w:color w:val="auto"/>
                <w:sz w:val="21"/>
                <w:szCs w:val="21"/>
                <w:highlight w:val="none"/>
                <w:shd w:val="clear" w:color="auto" w:fill="FFFFFF"/>
              </w:rPr>
              <w:t>国务院令第583号</w:t>
            </w:r>
            <w:r>
              <w:rPr>
                <w:rFonts w:hint="eastAsia" w:ascii="宋体" w:hAnsi="宋体" w:eastAsia="宋体" w:cs="宋体"/>
                <w:color w:val="auto"/>
                <w:spacing w:val="-6"/>
                <w:sz w:val="21"/>
                <w:szCs w:val="21"/>
                <w:highlight w:val="none"/>
              </w:rPr>
              <w:t>）</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shd w:val="clear" w:color="auto" w:fill="FFFFFF"/>
              </w:rPr>
              <w:t>第十一条第三款 燃气设施建设工程竣工后，建设单位应当依法组织竣工验收，并自竣工验收合格之日起15日内，将竣工验收情况报燃气管理部门备案。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《江苏省燃气管理条例》（江苏省人大常委会公告第28号）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第十六条 燃气设施建设工程竣工后，建设单位应当依法组织竣工验收，并自竣工验收合格之日起十五日内，将竣工验收情况按照国家有关规定报燃气主管部门</w:t>
            </w:r>
            <w:r>
              <w:rPr>
                <w:rFonts w:hint="eastAsia" w:ascii="宋体" w:hAnsi="宋体" w:eastAsia="宋体" w:cs="宋体"/>
                <w:color w:val="auto"/>
                <w:spacing w:val="-6"/>
                <w:sz w:val="21"/>
                <w:szCs w:val="21"/>
                <w:highlight w:val="none"/>
                <w:lang w:val="zh-CN" w:bidi="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2.2.1.2</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按规定要求实行监理的燃气工程，应当实行监理。</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《江苏省燃气管理条例》（江苏省人大常委会公告第28号）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第十五条 燃气场站、市政中高压燃气管道、成片开发建设住宅小区内的燃气管道和根据国家规定要求实行监理的其他燃气设施建设工程，应当实行监理。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2.2.1.3</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严格执行工程承发包制度，依法发包给具有相应资质的勘察、设计、施工、监理等单位，不得肢解发包。</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《建筑法》（1997年主席令第91号；2019年第二次修正）</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第二十五条 按照合同约定，建筑材料、建筑构配件和设备由工程承包单位采购的，发包单位不得指定承包单位购入用于工程的建筑材料、建筑构配件和设备或者指定生产厂、供应商。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《住房和城乡建设部关于落实建设单位工程质量首要责任的通知》（建质规〔2020〕9号）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严格执行工程发包承包法规制度，依法将工程发包给具备相应资质的勘察、设计、施工、监理等单位，不得肢解发包工程、违规指定分包单位，不得直接发包预拌混凝土等专业分包工程，不得指定按照合同约定应由施工单位购入用于工程的装配式建筑构配件、建筑材料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严格依法发包。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2.2.1.4</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保证合理工期和造价。</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第十条第一款 建设工程发包单位不得迫使承包方以低于成本的价格竞标，不得任意压缩合理工期。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《住房和城乡建设部关于落实建设单位工程质量首要责任的通知》（建质规〔2020〕9号）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保证合理工期和造价。建设单位要科学合理确定工程建设工期和造价，严禁盲目赶工期、抢进度，不得迫使工程其他参建单位简化工序、降低质量标准。调整合同约定的勘察、设计周期和施工工期的，应相应调整相关费用。因极端恶劣天气等不可抗力以及重污染天气、重大活动保障等原因停工的，应给予合理的工期补偿。因材料、工程设备价格变化等原因，需要调整合同价款的，应按照合同约定给予调整。落实优质优价，鼓励和支持工程相关参建单位创建品质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（三）保证合理工期和造价。</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严禁建设单位盲目压缩勘察设计周期、任意压低勘察设计费用。因建设单位原因造成勘察设计工作量增加的，应当调增相应勘察设计费用。</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应当科学合理确定施工工期，政府投资工程应当按照工期定额合理确定工期。严禁盲目赶工期、抢进度，不得迫使工程其他参建单位简化工序、降低质量标准。因不可抗力以及重污染天气、重大活动保障等原因停工的，应当给予合理的工期补偿。</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应当严格按照工程建设质量要求、技术标准、工程造价管理规定和工程计价依据等，科学合理确定工程造价。合同中应当明确约定因人工、建筑材料、建筑构配件、设备等价格变化及工期延误等其他原因引起合同价格变化时的调整方法，不得采用无限风险、所有风险或类似语句规定计价中的风险内容和范围。落实优质优价有关规定，在合同中约定工程创优目标和计费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2.2.1.5</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按规定委托具有相应资质的检测单位进行检测工作，组织编制检测计划。</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第十二条 本办法规定的质量检测业务，由工程项目建设单位委托具有相应资质的检测机构进行检测。委托方与被委托方应当签订书面合同。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0"/>
                <w:sz w:val="21"/>
                <w:szCs w:val="21"/>
                <w:highlight w:val="none"/>
              </w:rPr>
            </w:pPr>
            <w:r>
              <w:rPr>
                <w:rStyle w:val="144"/>
                <w:rFonts w:hint="eastAsia" w:ascii="宋体" w:hAnsi="宋体" w:eastAsia="宋体" w:cs="宋体"/>
                <w:color w:val="auto"/>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3.4.1 建设单位应委托具备相应资质的第三方检测机构进行工程质量检测，检测项目和数量应符合抽样检验要求。非建设单位委托的检测机构出具的检测报告不得作为工程质量验收依据。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《住房和城乡建设部关于落实建设单位工程质量首要责任的通知》（建质规〔2020〕9号）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二、准确把握落实建设单位工程质量首要责任内涵要求</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（四）全面履行质量管理职责。……</w:t>
            </w:r>
            <w:r>
              <w:rPr>
                <w:rFonts w:hint="eastAsia" w:ascii="宋体" w:hAnsi="宋体" w:eastAsia="宋体" w:cs="宋体"/>
                <w:color w:val="auto"/>
                <w:spacing w:val="-6"/>
                <w:sz w:val="21"/>
                <w:szCs w:val="21"/>
                <w:highlight w:val="none"/>
              </w:rPr>
              <w:t>严格质量检测管理，按时足额支付检测费用，不得违规减少依法应由建设单位委托的检测项目和数量，非建设单位委托的检测机构出具的检测报告不得作为工程质量验收依据。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（五）全面履行工程建设全过程质量管理职责。</w:t>
            </w:r>
          </w:p>
          <w:p>
            <w:pPr>
              <w:keepNext w:val="0"/>
              <w:keepLines w:val="0"/>
              <w:pageBreakBefore w:val="0"/>
              <w:numPr>
                <w:ilvl w:val="255"/>
                <w:numId w:val="0"/>
              </w:numPr>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应当严格质量检测管理，委托具有相应资质的检测机构进行检测。应当按照我省工程质量检测综合报告制度规定开展检测工作，编制检测计划，明确项目检测负责人，与被委托方签订书面合同，在合同中明确检测费用并按时足额支付。禁止变相要求施工单位承担应当由建设单位承担的检测费用，不得违规减少依法应当由建设单位委托的检测项目和数量。非建设单位委托的检测机构出具的检测报告不得作为工程质量验收依据。不得明示或者暗示检测机构出具虚假检测报告，篡改或者伪造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shd w:val="clear" w:color="auto" w:fill="FFFFFF"/>
              </w:rPr>
              <w:t>江苏省住房城乡建设厅关于实行建设工程质量检测综合报告制度的通知</w:t>
            </w:r>
            <w:r>
              <w:rPr>
                <w:rFonts w:hint="eastAsia" w:ascii="宋体" w:hAnsi="宋体" w:eastAsia="宋体" w:cs="宋体"/>
                <w:color w:val="auto"/>
                <w:spacing w:val="-6"/>
                <w:sz w:val="21"/>
                <w:szCs w:val="21"/>
                <w:highlight w:val="none"/>
              </w:rPr>
              <w:t>》（苏建规字〔2020〕8号）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四、实施内容</w:t>
            </w:r>
          </w:p>
          <w:p>
            <w:pPr>
              <w:keepNext w:val="0"/>
              <w:keepLines w:val="0"/>
              <w:pageBreakBefore w:val="0"/>
              <w:widowControl/>
              <w:shd w:val="clear" w:color="auto" w:fill="FFFFFF"/>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（一）建设工程质量检测计划</w:t>
            </w:r>
          </w:p>
          <w:p>
            <w:pPr>
              <w:keepNext w:val="0"/>
              <w:keepLines w:val="0"/>
              <w:pageBreakBefore w:val="0"/>
              <w:widowControl/>
              <w:shd w:val="clear" w:color="auto" w:fill="FFFFFF"/>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工程质量检测计划（以下简称《检测计划》）应当符合法律法规、审查合格的设计文件和规范标准，在工程开工前由建设单位组织编制，并负责后续实施，建设单位可以组织设计、监理、施工单位和检测机构共同编制。建设单位应当明确项目检测负责人，负责《检测计划》的编制和实施。</w:t>
            </w:r>
          </w:p>
          <w:p>
            <w:pPr>
              <w:keepNext w:val="0"/>
              <w:keepLines w:val="0"/>
              <w:pageBreakBefore w:val="0"/>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kern w:val="0"/>
                <w:sz w:val="21"/>
                <w:szCs w:val="21"/>
                <w:highlight w:val="none"/>
              </w:rPr>
              <w:t>《检测计划》一般按照单位工程编制，应当包括以下主要内容：工程概况、建设工程质量检测责任主体、项目检测负责人任命文件、建设工程质量检测实施计划、建设工程质量检测计划变更、建设工程质量检测工作实施一览表等。建设工程质量检测实施计划包括：项目编码、项目名称、工程量、检测项目、检测参数、计划检测批次、计划检测节点等内容。项目编码、项目名称应当依据《房屋建筑与装饰工程工程量计算规范》（GB50854）、《通用安装工程工程量计算规范》（GB50856）、《市政工程工程量计算规范》（GB50857）、《江苏省装配式混凝土建筑工程定额（试行）》等标准、规范确定。工程发生变更时，建设单位应当及时组织调整《检测计划》</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2.2.1.6</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按规定将工程勘察报告、施工图设计文件报审图机构审查，审查合格方可使用。工程变更程序符合规定，对有重大修改、变动的施工图设计文件应当重新进行报审，审查合格方可使用。</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第十一条第二款 施工图设计文件未经审查批准的，不得使用。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《房屋建筑和市政基础设施工程施工图设计文件审查管理办法》（住房城乡建设部令第</w:t>
            </w:r>
            <w:r>
              <w:rPr>
                <w:rStyle w:val="145"/>
                <w:rFonts w:hint="eastAsia" w:ascii="宋体" w:hAnsi="宋体" w:eastAsia="宋体" w:cs="宋体"/>
                <w:color w:val="auto"/>
                <w:sz w:val="21"/>
                <w:szCs w:val="21"/>
                <w:highlight w:val="none"/>
              </w:rPr>
              <w:t>46</w:t>
            </w:r>
            <w:r>
              <w:rPr>
                <w:rStyle w:val="144"/>
                <w:rFonts w:hint="eastAsia" w:ascii="宋体" w:hAnsi="宋体" w:eastAsia="宋体" w:cs="宋体"/>
                <w:color w:val="auto"/>
                <w:sz w:val="21"/>
                <w:szCs w:val="21"/>
                <w:highlight w:val="none"/>
              </w:rPr>
              <w:t>号）</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Style w:val="144"/>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第三条 国家实施施工图设计文件（含勘察文件，以下简称施工图）审查制度。</w:t>
            </w:r>
          </w:p>
          <w:p>
            <w:pPr>
              <w:keepNext w:val="0"/>
              <w:keepLines w:val="0"/>
              <w:pageBreakBefore w:val="0"/>
              <w:widowControl/>
              <w:kinsoku/>
              <w:wordWrap/>
              <w:overflowPunct/>
              <w:topLinePunct w:val="0"/>
              <w:autoSpaceDE/>
              <w:autoSpaceDN/>
              <w:bidi w:val="0"/>
              <w:spacing w:line="260" w:lineRule="atLeast"/>
              <w:ind w:left="0" w:firstLine="210" w:firstLineChars="100"/>
              <w:jc w:val="left"/>
              <w:textAlignment w:val="center"/>
              <w:rPr>
                <w:rStyle w:val="144"/>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本办法所称施工图审查，是指施工图审查机构（以下简称审查机构）按照有关法律、法规，对施工图涉及公共利益、公众安全和工程建设强制性标准的内容进行的审查。施工图审查应当坚持先勘察、后设计的原则。</w:t>
            </w:r>
          </w:p>
          <w:p>
            <w:pPr>
              <w:keepNext w:val="0"/>
              <w:keepLines w:val="0"/>
              <w:pageBreakBefore w:val="0"/>
              <w:widowControl/>
              <w:kinsoku/>
              <w:wordWrap/>
              <w:overflowPunct/>
              <w:topLinePunct w:val="0"/>
              <w:autoSpaceDE/>
              <w:autoSpaceDN/>
              <w:bidi w:val="0"/>
              <w:spacing w:line="260" w:lineRule="atLeast"/>
              <w:ind w:left="0" w:firstLine="210" w:firstLineChars="100"/>
              <w:jc w:val="left"/>
              <w:textAlignment w:val="center"/>
              <w:rPr>
                <w:rStyle w:val="144"/>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施工图未经审查合格的，不得使用。从事房屋建筑工程、市政基础设施工程施工、监理等活动，以及实施对房屋建筑和市政基础设施工程质量安全监督管理，应当以审查合格的施工图为依据。</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第十四条 任何单位或者个人不得擅自修改审查合格的施工图；确需修改的，凡涉及本办法第十一条规定内容的，建设单位应当将修改后的施工图送原审查机构审查。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2.0.5 工程项目各方不得擅自修改工程设计，确需修改的应报建设单位同意，由设计单位出具设计变更文件，并应按原审批程序办理变更手续。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严格执行法定程序。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《省住房城乡建设厅关于规范城镇燃气设施建设和运行管理工作的若干意见》（苏建规字〔2014〕1号）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一、严格城镇燃气设施建设程序</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施工图审查。燃气场站、燃气管道设施等燃气设施项目应当进行施工图设计文件审查。未经审查或审查不合格的燃气设施施工图设计文件不得用于施工。施工图设计文件一经审查批准，不得擅自修改；如遇特殊情况确需进行修改时，应按照规定重新审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三、强化城镇燃气设施行业监管</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pacing w:val="-2"/>
                <w:kern w:val="0"/>
                <w:sz w:val="21"/>
                <w:szCs w:val="21"/>
                <w:highlight w:val="none"/>
              </w:rPr>
            </w:pPr>
            <w:r>
              <w:rPr>
                <w:rFonts w:hint="eastAsia" w:ascii="宋体" w:hAnsi="宋体" w:eastAsia="宋体" w:cs="宋体"/>
                <w:color w:val="auto"/>
                <w:sz w:val="21"/>
                <w:szCs w:val="21"/>
                <w:highlight w:val="none"/>
              </w:rPr>
              <w:t>（三）规范城镇燃气设施建设市场管理。……施工图审查应当由具有相应审查业务范围的审图机构进行；对审图机构暂不具有燃气相应审查业务的地区，可采取由建设（燃气）行政主管部门组织专家会审的形式进行审查，并将专家论证意见作为施工图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2.2.1.7</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向勘察、设计、施工、监理单位提供准确真实的原始资料，向施工、监理单位提供审查合格的施工图纸。</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第九条 建设单位必须向有关的勘察、设计、施工、工程监理等单位提供与建设工程有关的原始资料。</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原始资料必须真实、准确、齐全。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《房屋建筑和市政基础设施工程施工图设计文件审查管理办法》（住房城乡建设部令第46号）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第三条第三款 施工图未经审查合格的，不得使用。从事房屋建筑工程、市政基础设施工程施工、监理等活动，以及实施对房屋建筑和市政基础设施工程质量安全监督管理，应当以审查合格的施工图为依据。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《城镇燃气管理条例》（</w:t>
            </w:r>
            <w:r>
              <w:rPr>
                <w:rFonts w:hint="eastAsia" w:ascii="宋体" w:hAnsi="宋体" w:eastAsia="宋体" w:cs="宋体"/>
                <w:color w:val="auto"/>
                <w:sz w:val="21"/>
                <w:szCs w:val="21"/>
                <w:highlight w:val="none"/>
                <w:shd w:val="clear" w:color="auto" w:fill="FFFFFF"/>
              </w:rPr>
              <w:t>国务院令第583号</w:t>
            </w:r>
            <w:r>
              <w:rPr>
                <w:rFonts w:hint="eastAsia" w:ascii="宋体" w:hAnsi="宋体" w:eastAsia="宋体" w:cs="宋体"/>
                <w:color w:val="auto"/>
                <w:spacing w:val="-6"/>
                <w:sz w:val="21"/>
                <w:szCs w:val="21"/>
                <w:highlight w:val="none"/>
              </w:rPr>
              <w:t>）</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第三十七条 新建、扩建、改建建设工程，不得影响燃气设施安全。</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建设单位在开工前，应当查明建设工程施工范围内地下燃气管线的相关情况；燃气管理部门以及其他有关部门和单位应当及时提供相关资料。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《江苏省燃气管理条例》（江苏省人大常委会公告第28号）</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第四十六条 建设工程开工前，建设单位应当向燃气经营者或者城建档案管理机构查明地下燃气设施的相关情况，燃气经营者或者城建档案管理机构应当在接到查询要求之日起三个工作日内给予书面答复。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2.2.1.8</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建设单位应按要求组织图纸会审、设计交底工作。</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《建设工程勘察设计管理条例》（国务院令第293号）（国务院令第293号）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第三十条第一款 建设工程勘察单位、设计单位应当在建设工程施工前，向施工单位和监理单位说明建设工程勘察、设计意图，解释建设工程勘察、设计文件。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2.2.1.9</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按合同约定由建设单位采购的建筑材料、建筑构配件和设备的质量应符合要求。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第十四条 按照合同约定，由建设单位采购建筑材料、建筑构配件和设备的，建设单位应当保证建筑材料、建筑构配件和设备符合设计文件和合同要求。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《住房和城乡建设部关于落实建设单位工程质量首要责任的通知》（建质规〔2020〕9号）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（四）加强对按照合同约定自行采购的建筑材料、构配件和设备等的质量管理，并承担相应的质量责任。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numPr>
                <w:ilvl w:val="0"/>
                <w:numId w:val="3"/>
              </w:numPr>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全面履行工程建设全过程质量管理职责。</w:t>
            </w:r>
          </w:p>
          <w:p>
            <w:pPr>
              <w:keepNext w:val="0"/>
              <w:keepLines w:val="0"/>
              <w:pageBreakBefore w:val="0"/>
              <w:numPr>
                <w:ilvl w:val="255"/>
                <w:numId w:val="0"/>
              </w:numPr>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应当对自行采购的建筑材料、建筑构配件和设备等质量负责，且应当符合设计文件和合同要求。不得明示或者暗示施工单位使用不合格的建筑材料、建筑构配件和设备；不得明示或者暗示设计、施工等单位违反工程建设强制性标准，降低工程质量；禁止以“设计优化”等名义违反工程建设强制性标准擅自变更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2.2.1.10</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不得指定应由承包单位采购的建筑材料、建筑构配件和设备，或者指定生产厂、供应商。</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第七条 建设单位应当将工程发包给具有相应资质等级的单位。</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建设单位不得将建设工程肢解发包。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《住房和城乡建设部关于落实建设单位工程质量首要责任的通知》（建质规〔2020〕9号）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严格执行工程发包承包法规制度，依法将工程发包给具备相应资质的勘察、设计、施工、监理等单位，不得肢解发包工程、违规指定分包单位，不得直接发包预拌混凝土等专业分包工程，不得指定按照合同约定应由施工单位购入用于工程的装配式建筑构配件、建筑材料和设备或者指定生产厂、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二）严格依法发包。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2.2.1.11</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按合同约定及时支付工程款。</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《建筑法》（1997年主席令第91号；2019年第二次修正）</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第十八条第二款 发包单位应当按照合同的约定，及时拨付工程款项。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《住房和城乡建设部关于落实建设单位工程质量首要责任的通知》（建质规〔2020〕9号）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三）推行施工过程结算。建设单位应有满足施工所需的资金安排，并向施工单位提供工程款支付担保。建设合同应约定施工过程结算周期、工程进度款结算办法等内容。分部工程验收通过时原则上应同步完成工程款结算，不得以设计变更、工程洽商等理由变相拖延结算。政府投资工程应当按照国家有关规定确保资金按时支付到位，不得以未完成审计作为延期工程款结算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《江苏省住房和城乡建设厅关于印发</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落实建设单位工程质量首要责任实施意见</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的通知》（苏建规字〔2021〕3号）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四）保证建设资金到位和工程款支付。建设单位应当有满足施工所需的资金安排。应当按照规定向施工单位提供工程款支付担保。应当按照合同约定按时将人工费用直接拨付到施工总承包单位农民工工资专户。积极推进施工过程结算，合同中应当按照时间节点或者进度节点约定付款周期，付款比例不低于当期工程款的60%。对分部质量验收通过的工程量，原则上应当同步计量、确认和支付工程价款。严格执行发包人与承包人完成竣工结算核对并签字确认的时间，工程竣工结算报告金额1亿元以下的，不超过90天；金额1亿元以上的，不超过180天；核对时间超出规定期限时，按照合同约定从超出之日起计付银行同期贷款利息。不得以设计变更、工程洽商等理由变相拖延结算。政府投资工程应当按照国家和省有关规定确保资金落实到位并按时支付，在招标文件中约定预付款的比例不得低于合同总额的10%，不得由施工单位垫资建设，不得以未完成审计作为延期工程结算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2.2.1.1</w:t>
            </w:r>
            <w:r>
              <w:rPr>
                <w:rFonts w:hint="eastAsia" w:ascii="宋体" w:hAnsi="宋体" w:eastAsia="宋体" w:cs="宋体"/>
                <w:color w:val="auto"/>
                <w:kern w:val="0"/>
                <w:sz w:val="21"/>
                <w:szCs w:val="21"/>
                <w:highlight w:val="none"/>
                <w:lang w:val="en-US" w:eastAsia="zh-CN"/>
              </w:rPr>
              <w:t>2</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Style w:val="144"/>
                <w:rFonts w:hint="eastAsia" w:ascii="宋体" w:hAnsi="宋体" w:eastAsia="宋体" w:cs="宋体"/>
                <w:color w:val="auto"/>
                <w:sz w:val="21"/>
                <w:szCs w:val="21"/>
                <w:highlight w:val="none"/>
              </w:rPr>
              <w:t>质量行为要求</w:t>
            </w:r>
          </w:p>
        </w:tc>
        <w:tc>
          <w:tcPr>
            <w:tcW w:w="111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Style w:val="144"/>
                <w:rFonts w:hint="eastAsia" w:ascii="宋体" w:hAnsi="宋体" w:eastAsia="宋体" w:cs="宋体"/>
                <w:color w:val="auto"/>
                <w:sz w:val="21"/>
                <w:szCs w:val="21"/>
                <w:highlight w:val="none"/>
              </w:rPr>
              <w:t>建设单位</w:t>
            </w:r>
          </w:p>
        </w:tc>
        <w:tc>
          <w:tcPr>
            <w:tcW w:w="2882"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Style w:val="144"/>
                <w:rFonts w:hint="eastAsia" w:ascii="宋体" w:hAnsi="宋体" w:eastAsia="宋体" w:cs="宋体"/>
                <w:color w:val="auto"/>
                <w:sz w:val="21"/>
                <w:szCs w:val="21"/>
                <w:highlight w:val="none"/>
              </w:rPr>
              <w:t>未实行监理的工程项目，由建设单位履行监理职责。</w:t>
            </w: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u w:val="none"/>
                <w:lang w:val="en-US" w:eastAsia="zh-CN" w:bidi="ar-SA"/>
              </w:rPr>
            </w:pPr>
            <w:r>
              <w:rPr>
                <w:rStyle w:val="144"/>
                <w:rFonts w:hint="eastAsia" w:ascii="宋体" w:hAnsi="宋体" w:eastAsia="宋体" w:cs="宋体"/>
                <w:color w:val="auto"/>
                <w:sz w:val="21"/>
                <w:szCs w:val="21"/>
                <w:highlight w:val="none"/>
              </w:rPr>
              <w:t>2.0.9</w:t>
            </w:r>
            <w:r>
              <w:rPr>
                <w:rStyle w:val="144"/>
                <w:rFonts w:hint="eastAsia" w:ascii="宋体" w:hAnsi="宋体" w:eastAsia="宋体" w:cs="宋体"/>
                <w:color w:val="auto"/>
                <w:sz w:val="21"/>
                <w:szCs w:val="21"/>
                <w:highlight w:val="none"/>
                <w:lang w:val="en-US" w:eastAsia="zh-CN"/>
              </w:rPr>
              <w:t xml:space="preserve"> </w:t>
            </w:r>
            <w:r>
              <w:rPr>
                <w:rStyle w:val="144"/>
                <w:rFonts w:hint="eastAsia" w:ascii="宋体" w:hAnsi="宋体" w:eastAsia="宋体" w:cs="宋体"/>
                <w:color w:val="auto"/>
                <w:sz w:val="21"/>
                <w:szCs w:val="21"/>
                <w:highlight w:val="none"/>
              </w:rPr>
              <w:t>未实行监理的工程项目，建设单位应成立专门机构或委托具备相应质量管理能力的单位独立履行监理职责。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2.2.1.1</w:t>
            </w:r>
            <w:r>
              <w:rPr>
                <w:rFonts w:hint="eastAsia" w:ascii="宋体" w:hAnsi="宋体" w:eastAsia="宋体" w:cs="宋体"/>
                <w:color w:val="auto"/>
                <w:kern w:val="0"/>
                <w:sz w:val="21"/>
                <w:szCs w:val="21"/>
                <w:highlight w:val="none"/>
                <w:lang w:val="en-US" w:eastAsia="zh-CN"/>
              </w:rPr>
              <w:t>3</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Style w:val="144"/>
                <w:rFonts w:hint="eastAsia" w:ascii="宋体" w:hAnsi="宋体" w:eastAsia="宋体" w:cs="宋体"/>
                <w:color w:val="auto"/>
                <w:sz w:val="21"/>
                <w:szCs w:val="21"/>
                <w:highlight w:val="none"/>
              </w:rPr>
              <w:t>质量行为要求</w:t>
            </w:r>
          </w:p>
        </w:tc>
        <w:tc>
          <w:tcPr>
            <w:tcW w:w="111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Style w:val="144"/>
                <w:rFonts w:hint="eastAsia" w:ascii="宋体" w:hAnsi="宋体" w:eastAsia="宋体" w:cs="宋体"/>
                <w:color w:val="auto"/>
                <w:sz w:val="21"/>
                <w:szCs w:val="21"/>
                <w:highlight w:val="none"/>
              </w:rPr>
              <w:t>建设单位</w:t>
            </w:r>
          </w:p>
        </w:tc>
        <w:tc>
          <w:tcPr>
            <w:tcW w:w="2882"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Style w:val="144"/>
                <w:rFonts w:hint="eastAsia" w:ascii="宋体" w:hAnsi="宋体" w:eastAsia="宋体" w:cs="宋体"/>
                <w:color w:val="auto"/>
                <w:sz w:val="21"/>
                <w:szCs w:val="21"/>
                <w:highlight w:val="none"/>
              </w:rPr>
              <w:t>建立质量回访和质量投诉处理机制。</w:t>
            </w: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u w:val="none"/>
                <w:lang w:val="en-US" w:eastAsia="zh-CN" w:bidi="ar-SA"/>
              </w:rPr>
            </w:pPr>
            <w:r>
              <w:rPr>
                <w:rStyle w:val="144"/>
                <w:rFonts w:hint="eastAsia" w:ascii="宋体" w:hAnsi="宋体" w:eastAsia="宋体" w:cs="宋体"/>
                <w:color w:val="auto"/>
                <w:sz w:val="21"/>
                <w:szCs w:val="21"/>
                <w:highlight w:val="none"/>
              </w:rPr>
              <w:t>5.0.2</w:t>
            </w:r>
            <w:r>
              <w:rPr>
                <w:rStyle w:val="144"/>
                <w:rFonts w:hint="eastAsia" w:ascii="宋体" w:hAnsi="宋体" w:eastAsia="宋体" w:cs="宋体"/>
                <w:color w:val="auto"/>
                <w:sz w:val="21"/>
                <w:szCs w:val="21"/>
                <w:highlight w:val="none"/>
                <w:lang w:val="en-US" w:eastAsia="zh-CN"/>
              </w:rPr>
              <w:t xml:space="preserve"> </w:t>
            </w:r>
            <w:r>
              <w:rPr>
                <w:rStyle w:val="144"/>
                <w:rFonts w:hint="eastAsia" w:ascii="宋体" w:hAnsi="宋体" w:eastAsia="宋体" w:cs="宋体"/>
                <w:color w:val="auto"/>
                <w:sz w:val="21"/>
                <w:szCs w:val="21"/>
                <w:highlight w:val="none"/>
              </w:rPr>
              <w:t>建设单位应建立质量回访和质量投诉处理机制。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2.2.2</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勘察单位、设计单位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2.2.2.1</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在工程施工前，就审查合格的施工图设计文件向施工单位和监理单位作出详细说明。</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《建设工程勘察设计管理条例》（国务院令第293号）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第三十条 建设工程勘察单位、设计单位应当在建设工程施工前，向施工单位和监理单位说明建设工程勘察、设计意图，解释建设工程勘察、设计文件。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2.2.2.2</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及时解决施工中发现的勘察、设计问题，参与工程质量事故调查分析，并对因勘察、设计原因造成的质量事故提出相应的技术处理方案。</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《建设工程勘察设计管理条例》（国务院令第293号）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第三十条 建设工程勘察单位、设计单位应当及时解决施工中出现的勘察、设计问题。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2.2.2.3</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按规定参与施工验槽。</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《建设工程勘察质量管理办法》（建设部令第163号）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第九条 工程勘察企业应当参与施工验槽，及时解决工程设计和施工中与勘察工作有关的问题。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《建筑地基基础工程施工质量验收标准》GB50202-2018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3.0.4 地基基础工程必须进行验槽，验槽检验要点应符合本标准附录A的规定。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A.1.1 勘察、设计、监理、施工、建设等各方相关技术人员应共同参加验槽。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《工程勘察通用规范》GB55017-2021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2.0.4 勘察单位应参与施工验槽，检验开挖揭露的地质条件与工程勘察报告的一致性。如有异常情况，应提出处理措施或修改设计的建议。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2.2.2.4</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勘察单位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设计单位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按规定参与分部工程、单位工程等验收。</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《江苏省房屋建筑和市政基础设施工程质量监督管理办法》（江苏省人民政府令第89号）</w:t>
            </w:r>
          </w:p>
        </w:tc>
        <w:tc>
          <w:tcPr>
            <w:tcW w:w="11060" w:type="dxa"/>
            <w:vAlign w:val="center"/>
          </w:tcPr>
          <w:p>
            <w:pPr>
              <w:keepNext w:val="0"/>
              <w:keepLines w:val="0"/>
              <w:pageBreakBefore w:val="0"/>
              <w:numPr>
                <w:ilvl w:val="0"/>
                <w:numId w:val="4"/>
              </w:numPr>
              <w:kinsoku/>
              <w:wordWrap/>
              <w:overflowPunct/>
              <w:topLinePunct w:val="0"/>
              <w:autoSpaceDE/>
              <w:autoSpaceDN/>
              <w:bidi w:val="0"/>
              <w:spacing w:line="260" w:lineRule="atLeast"/>
              <w:ind w:left="0"/>
              <w:jc w:val="left"/>
              <w:rPr>
                <w:rFonts w:hint="eastAsia" w:ascii="宋体" w:hAnsi="宋体" w:eastAsia="宋体" w:cs="宋体"/>
                <w:snapToGrid w:val="0"/>
                <w:color w:val="auto"/>
                <w:spacing w:val="-6"/>
                <w:sz w:val="21"/>
                <w:szCs w:val="21"/>
                <w:highlight w:val="none"/>
              </w:rPr>
            </w:pPr>
            <w:r>
              <w:rPr>
                <w:rFonts w:hint="eastAsia" w:ascii="宋体" w:hAnsi="宋体" w:eastAsia="宋体" w:cs="宋体"/>
                <w:snapToGrid w:val="0"/>
                <w:color w:val="auto"/>
                <w:spacing w:val="-6"/>
                <w:sz w:val="21"/>
                <w:szCs w:val="21"/>
                <w:highlight w:val="none"/>
              </w:rPr>
              <w:t>勘察单位、设计单位应当履行下列工程质量义务：</w:t>
            </w:r>
          </w:p>
          <w:p>
            <w:pPr>
              <w:keepNext w:val="0"/>
              <w:keepLines w:val="0"/>
              <w:pageBreakBefore w:val="0"/>
              <w:numPr>
                <w:numId w:val="0"/>
              </w:numPr>
              <w:kinsoku/>
              <w:wordWrap/>
              <w:overflowPunct/>
              <w:topLinePunct w:val="0"/>
              <w:autoSpaceDE/>
              <w:autoSpaceDN/>
              <w:bidi w:val="0"/>
              <w:spacing w:line="260" w:lineRule="atLeast"/>
              <w:ind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snapToGrid w:val="0"/>
                <w:color w:val="auto"/>
                <w:spacing w:val="-6"/>
                <w:sz w:val="21"/>
                <w:szCs w:val="21"/>
                <w:highlight w:val="none"/>
              </w:rPr>
              <w:t>（三）按照规定参加工程相关验收并出具工程质量验收意见。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《建筑与市政工程施工质量控制通用规范》GB55032-2022</w:t>
            </w:r>
          </w:p>
        </w:tc>
        <w:tc>
          <w:tcPr>
            <w:tcW w:w="11060"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4.3.3 </w:t>
            </w:r>
            <w:r>
              <w:rPr>
                <w:rFonts w:hint="eastAsia" w:ascii="宋体" w:hAnsi="宋体" w:eastAsia="宋体" w:cs="宋体"/>
                <w:color w:val="auto"/>
                <w:sz w:val="21"/>
                <w:szCs w:val="21"/>
                <w:highlight w:val="none"/>
              </w:rPr>
              <w:t>分部工程应由总监理工程师组织施工单位项目负责人和项目技术负责人等进行验收。勘察、设计单位项目负责人和施工单位技术、质量部门负责人应参加地基与基础分部工程的验收，设计单位项目负责人和施工单位技术、质量部门负责人应参加主体结构、节能分部工程的验收。</w:t>
            </w:r>
          </w:p>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单位工程完工后，各相关单位应按下列要求进行工程竣工验收：</w:t>
            </w:r>
          </w:p>
          <w:p>
            <w:pPr>
              <w:keepNext w:val="0"/>
              <w:keepLines w:val="0"/>
              <w:pageBreakBefore w:val="0"/>
              <w:widowControl/>
              <w:kinsoku/>
              <w:wordWrap/>
              <w:overflowPunct/>
              <w:topLinePunct w:val="0"/>
              <w:autoSpaceDE/>
              <w:autoSpaceDN/>
              <w:bidi w:val="0"/>
              <w:spacing w:line="260" w:lineRule="atLeast"/>
              <w:ind w:left="0"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勘察单位应编制勘察工程质量检查报告，按规定程序审批后向建设单位提交；</w:t>
            </w:r>
          </w:p>
          <w:p>
            <w:pPr>
              <w:keepNext w:val="0"/>
              <w:keepLines w:val="0"/>
              <w:pageBreakBefore w:val="0"/>
              <w:widowControl/>
              <w:kinsoku/>
              <w:wordWrap/>
              <w:overflowPunct/>
              <w:topLinePunct w:val="0"/>
              <w:autoSpaceDE/>
              <w:autoSpaceDN/>
              <w:bidi w:val="0"/>
              <w:spacing w:line="260" w:lineRule="atLeast"/>
              <w:ind w:left="0"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设计单位应对设计文件及施工过程的设计变更进行检查，并应编制设计工程质量检查报告，按规定程序审批后向建设单位提交；</w:t>
            </w:r>
          </w:p>
          <w:p>
            <w:pPr>
              <w:keepNext w:val="0"/>
              <w:keepLines w:val="0"/>
              <w:pageBreakBefore w:val="0"/>
              <w:widowControl/>
              <w:kinsoku/>
              <w:wordWrap/>
              <w:overflowPunct/>
              <w:topLinePunct w:val="0"/>
              <w:autoSpaceDE/>
              <w:autoSpaceDN/>
              <w:bidi w:val="0"/>
              <w:spacing w:line="260" w:lineRule="atLeast"/>
              <w:ind w:left="0" w:firstLine="210" w:firstLineChars="1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建设单位应在竣工预验收合格后组织监理、施工、设计、勘察单位等相关单位项目负责人进行工程竣工验收。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《建筑工程施工质量验收统一标准》</w:t>
            </w:r>
            <w:r>
              <w:rPr>
                <w:rStyle w:val="145"/>
                <w:rFonts w:hint="eastAsia" w:ascii="宋体" w:hAnsi="宋体" w:eastAsia="宋体" w:cs="宋体"/>
                <w:color w:val="auto"/>
                <w:sz w:val="21"/>
                <w:szCs w:val="21"/>
                <w:highlight w:val="none"/>
              </w:rPr>
              <w:t>GB50300-2013</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 xml:space="preserve">6.0.3 </w:t>
            </w:r>
            <w:r>
              <w:rPr>
                <w:rStyle w:val="144"/>
                <w:rFonts w:hint="eastAsia" w:ascii="宋体" w:hAnsi="宋体" w:eastAsia="宋体" w:cs="宋体"/>
                <w:color w:val="auto"/>
                <w:sz w:val="21"/>
                <w:szCs w:val="21"/>
                <w:highlight w:val="none"/>
              </w:rPr>
              <w:t>分部工程应由总监理工程师组织施工单位项目负责人和项目技术负责人等进行验收。勘察单位、设计单位项目负责人和施工单位技术、质量部门负责人应参加地基与基础分部工程的验收。设计单位项目负责人和施工单位技术、质量部门负责人应参加主体结构、节能分部工程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2.2.3</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不得违法分包、转包工程。</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第二十五条第三款 施工单位不得转包或者违法分包工程。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2.2.3.2</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项目经理资格符合要求，并到岗履职。</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《建筑施工项目经理质量安全责任十项规定（试行）》（</w:t>
            </w:r>
            <w:r>
              <w:rPr>
                <w:rFonts w:hint="eastAsia" w:ascii="宋体" w:hAnsi="宋体" w:eastAsia="宋体" w:cs="宋体"/>
                <w:color w:val="auto"/>
                <w:spacing w:val="-6"/>
                <w:sz w:val="21"/>
                <w:szCs w:val="21"/>
                <w:highlight w:val="none"/>
                <w:shd w:val="clear" w:color="auto" w:fill="FFFFFF"/>
              </w:rPr>
              <w:t>建质[2014]123号</w:t>
            </w:r>
            <w:r>
              <w:rPr>
                <w:rFonts w:hint="eastAsia" w:ascii="宋体" w:hAnsi="宋体" w:eastAsia="宋体" w:cs="宋体"/>
                <w:color w:val="auto"/>
                <w:spacing w:val="-6"/>
                <w:sz w:val="21"/>
                <w:szCs w:val="21"/>
                <w:highlight w:val="none"/>
              </w:rPr>
              <w:t>）</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第一条 建筑施工项目经理（以下简称项目经理）必须按规定取得相应执业资格和安全生产考核合格证书；合同约定的项目经理必须在岗履职，不得违反规定同时在两个及两个以上的工程项目担任项目经理。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2.2.3.3</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建立健全质量管理制度，设置项目质量管理机构，配备质量管理人员。</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第二十六条 第二款 施工单位应当建立质量责任制，确定工程项目的项目经理、技术负责人和施工管理负责人。</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第三十条 施工单位必须建立、健全施工质量的检验制度，严格工序管理，作好隐蔽工程的质量检查和记录。隐蔽工程在隐蔽前，施工单位应当通知建设单位和建设工程质量监督机构。</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第三十三条 施工单位应当建立、健全教育培训制度，加强对职工的教育培训；未经教育培训或者考核不合格的人员，不得上岗作业。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2.2.3.4</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编制并实施施工组织设计。</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《建筑施工组织设计规范》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50502-2009</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3.0.4 施工组织设计应包括编制依据、工程概况、施工部署、施工进度计划、施工准备与资源配置计划、主要施工方法、施工现场平面布置及主要施工管理计划等基本内容。</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3.0.6 项目施工前，应进行施工组织设计逐级交底；项目施工过程中，应对施工组织设计的执行情况进行检查、分析并适时调整。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2.2.3.5</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编制并实施施工方案。</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《建筑施工组织设计规范》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50502-2009</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详见“6 施工方案”</w:t>
            </w:r>
            <w:r>
              <w:rPr>
                <w:rFonts w:hint="eastAsia" w:ascii="宋体" w:hAnsi="宋体" w:eastAsia="宋体" w:cs="宋体"/>
                <w:color w:val="auto"/>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2.2.3.6</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按规定进行技术交底。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《建筑施工组织设计规范》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50502-2009</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textAlignment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3.0.6</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z w:val="21"/>
                <w:szCs w:val="21"/>
                <w:highlight w:val="none"/>
                <w:shd w:val="clear" w:color="auto" w:fill="FFFFFF"/>
              </w:rPr>
              <w:t>施工组织设计应实行动态管理，并符合下列规定：</w:t>
            </w:r>
          </w:p>
          <w:p>
            <w:pPr>
              <w:keepNext w:val="0"/>
              <w:keepLines w:val="0"/>
              <w:pageBreakBefore w:val="0"/>
              <w:kinsoku/>
              <w:wordWrap/>
              <w:overflowPunct/>
              <w:topLinePunct w:val="0"/>
              <w:autoSpaceDE/>
              <w:autoSpaceDN/>
              <w:bidi w:val="0"/>
              <w:spacing w:line="260" w:lineRule="atLeast"/>
              <w:ind w:left="0" w:firstLine="198"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 项目施工前，应进行施工组织设计逐级交底。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2.2.3.7</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配备齐全项目</w:t>
            </w:r>
            <w:r>
              <w:rPr>
                <w:rFonts w:hint="eastAsia" w:ascii="宋体" w:hAnsi="宋体" w:eastAsia="宋体" w:cs="宋体"/>
                <w:color w:val="auto"/>
                <w:spacing w:val="-6"/>
                <w:sz w:val="21"/>
                <w:szCs w:val="21"/>
                <w:highlight w:val="none"/>
                <w:lang w:eastAsia="zh-CN"/>
              </w:rPr>
              <w:t>涉及的</w:t>
            </w:r>
            <w:r>
              <w:rPr>
                <w:rFonts w:hint="eastAsia" w:ascii="宋体" w:hAnsi="宋体" w:eastAsia="宋体" w:cs="宋体"/>
                <w:color w:val="auto"/>
                <w:spacing w:val="-6"/>
                <w:sz w:val="21"/>
                <w:szCs w:val="21"/>
                <w:highlight w:val="none"/>
              </w:rPr>
              <w:t>设计图集、施工规范及相关标准。</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《建筑施工组织设计规范》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50502-2009</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6.4.1 技术准备：包括施工所需技术资料的准备、图纸深化和技术交底的要求、试验检验及测试工作计划、样板制作计划以及相关单位的技术交接计划等。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2.2.3.8</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由建设单位委托见证取样检测的建筑材料、建筑构配件和设备等，未经监理单位见证取样并经检验合格的，不得擅自使用。</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第二十九条 施工单位必须按照工程设计要求、施工技术标准和合同约定，对建筑材料、建筑构配件、设备和商品混凝土进行检验，检验应当有书面记录和专人签字；未经检验或者检验不合格的，不得使用。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2.2.3.9</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按规定由施工单位负责进行进场检验的建筑材料、建筑构配件和设备，应报监理单位审查，未经监理单位审查合格的不得擅自使用。</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第三十七条 工程监理单位应当选派具备相应资格的总监理工程师和监理工程师进驻施工现场。</w:t>
            </w:r>
          </w:p>
          <w:p>
            <w:pPr>
              <w:keepNext w:val="0"/>
              <w:keepLines w:val="0"/>
              <w:pageBreakBefore w:val="0"/>
              <w:kinsoku/>
              <w:wordWrap/>
              <w:overflowPunct/>
              <w:topLinePunct w:val="0"/>
              <w:autoSpaceDE/>
              <w:autoSpaceDN/>
              <w:bidi w:val="0"/>
              <w:spacing w:line="260" w:lineRule="atLeast"/>
              <w:ind w:left="0" w:firstLine="198"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未经监理工程师签字，建筑材料、建筑构配件和设备不得在工程上使用或者安装，施工单位不得进行下一道工序的施工。未经总监理工程师签字，建设单位不拨付工程款，不进行竣工验收。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2.2.3.10</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严格按审查合格的施工图设计文件进行施工，不得擅自修改设计文件。</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《房屋建筑和市政基础设施工程施工图设计文件审查管理办法》</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住房城乡建设部令第46号</w:t>
            </w:r>
            <w:r>
              <w:rPr>
                <w:rFonts w:hint="eastAsia" w:ascii="宋体" w:hAnsi="宋体" w:eastAsia="宋体" w:cs="宋体"/>
                <w:color w:val="auto"/>
                <w:spacing w:val="-6"/>
                <w:sz w:val="21"/>
                <w:szCs w:val="21"/>
                <w:highlight w:val="none"/>
                <w:lang w:eastAsia="zh-CN"/>
              </w:rPr>
              <w:t>）</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第三条 施工图未经审查合格的，不得使用。从事房屋建筑工程、市政基础设施工程施工、监理等活动，以及实施对房屋建筑和市政基础设施工程质量安全监督管理，应当以审查合格的施工图为依据。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2.2.3.11</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严格按施工技术标准进行施工。</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第五十八条第二款 建筑施工企业必须按照工程设计图纸和施工技术标准施工，不得偷工减料。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2.2.3.12</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做好各类施工记录，实时记录施工过程质量管理的内容。</w:t>
            </w:r>
          </w:p>
        </w:tc>
        <w:tc>
          <w:tcPr>
            <w:tcW w:w="15087" w:type="dxa"/>
            <w:gridSpan w:val="2"/>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同“4.3 施工记录”的要求。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2.2.3.13</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按规定做好隐蔽工程质量检查和记录。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第三十条 施工单位必须建立、健全施工质量的检验制度，严格工序管理，作好隐蔽工程的质量检查和记录。隐蔽工程在隐蔽前，施工单位应当通知建设单位和建设工程质量监督机构。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rPr>
                <w:rStyle w:val="144"/>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《建筑与市政工程施工质量控制通用规范》GB55032-2022</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en-US"/>
              </w:rPr>
              <w:t>3.3.4</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施工工序间的衔接，应符合下列规定：</w:t>
            </w:r>
          </w:p>
          <w:p>
            <w:pPr>
              <w:keepNext w:val="0"/>
              <w:keepLines w:val="0"/>
              <w:pageBreakBefore w:val="0"/>
              <w:kinsoku/>
              <w:wordWrap/>
              <w:overflowPunct/>
              <w:topLinePunct w:val="0"/>
              <w:autoSpaceDE/>
              <w:autoSpaceDN/>
              <w:bidi w:val="0"/>
              <w:spacing w:line="260" w:lineRule="atLeast"/>
              <w:ind w:left="0" w:firstLine="198"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隐蔽工程在隐蔽前应由施工单位通知监理单位进行验收，并应留存现场影像资料，形成验收文件，经验收合格后方可继续施工。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2.2.3.14</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施工单位应制定分项工程和检验批的划分方案并报经监理审核，按规定做好检验批、分项工程、分部工程、单位工程的质量自检及报验工作。</w:t>
            </w: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textAlignment w:val="center"/>
              <w:rPr>
                <w:rStyle w:val="145"/>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4.1.2 施工前，应由施工单位制定单位工程、分部工程、分项工程和检验批的划分方案，并应由监理单位审核通过后实施。施工现场情况与附录不同时，应按实际情况进行分部工程、分项工程和检验批划分，由建设单位组织监理单位、施工单位共同确定。</w:t>
            </w:r>
          </w:p>
          <w:p>
            <w:pPr>
              <w:pStyle w:val="2"/>
              <w:keepNext w:val="0"/>
              <w:keepLines w:val="0"/>
              <w:pageBreakBefore w:val="0"/>
              <w:kinsoku/>
              <w:wordWrap/>
              <w:overflowPunct/>
              <w:topLinePunct w:val="0"/>
              <w:autoSpaceDE/>
              <w:autoSpaceDN/>
              <w:bidi w:val="0"/>
              <w:spacing w:line="260" w:lineRule="atLeas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分部工程应由总监理工程师组织施工单位项目负责人和项目技术负责人等进行验收。勘察、设计单位项目负责人和施工单位技术、质量部门负责人应参加地基与基础分部工程的验收，设计单位项目负责人和施工单位技术、质量部门负责人应参加主体结构、节能分部工程的验收。</w:t>
            </w:r>
          </w:p>
          <w:p>
            <w:pPr>
              <w:pStyle w:val="2"/>
              <w:keepNext w:val="0"/>
              <w:keepLines w:val="0"/>
              <w:pageBreakBefore w:val="0"/>
              <w:kinsoku/>
              <w:wordWrap/>
              <w:overflowPunct/>
              <w:topLinePunct w:val="0"/>
              <w:autoSpaceDE/>
              <w:autoSpaceDN/>
              <w:bidi w:val="0"/>
              <w:spacing w:line="260" w:lineRule="atLeas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单位工程完工后，各相关单位应按下列要求进行工程竣工验收∶</w:t>
            </w:r>
          </w:p>
          <w:p>
            <w:pPr>
              <w:pStyle w:val="2"/>
              <w:keepNext w:val="0"/>
              <w:keepLines w:val="0"/>
              <w:pageBreakBefore w:val="0"/>
              <w:kinsoku/>
              <w:wordWrap/>
              <w:overflowPunct/>
              <w:topLinePunct w:val="0"/>
              <w:autoSpaceDE/>
              <w:autoSpaceDN/>
              <w:bidi w:val="0"/>
              <w:spacing w:line="260" w:lineRule="atLeast"/>
              <w:ind w:left="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施工单位应自检合格，并应编制工程竣工报告，按规定程序审批后向建设单位提交；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《建筑工程施工质量验收统一标准》</w:t>
            </w:r>
            <w:r>
              <w:rPr>
                <w:rStyle w:val="145"/>
                <w:rFonts w:hint="eastAsia" w:ascii="宋体" w:hAnsi="宋体" w:eastAsia="宋体" w:cs="宋体"/>
                <w:color w:val="auto"/>
                <w:sz w:val="21"/>
                <w:szCs w:val="21"/>
                <w:highlight w:val="none"/>
              </w:rPr>
              <w:t>GB50300-2013</w:t>
            </w:r>
          </w:p>
        </w:tc>
        <w:tc>
          <w:tcPr>
            <w:tcW w:w="11060" w:type="dxa"/>
            <w:vAlign w:val="center"/>
          </w:tcPr>
          <w:p>
            <w:pPr>
              <w:pStyle w:val="113"/>
              <w:keepNext w:val="0"/>
              <w:keepLines w:val="0"/>
              <w:pageBreakBefore w:val="0"/>
              <w:shd w:val="clear" w:color="auto" w:fill="FFFFFF"/>
              <w:kinsoku/>
              <w:wordWrap/>
              <w:overflowPunct/>
              <w:topLinePunct w:val="0"/>
              <w:autoSpaceDE/>
              <w:autoSpaceDN/>
              <w:bidi w:val="0"/>
              <w:spacing w:before="0" w:beforeAutospacing="0" w:after="0" w:afterAutospacing="0" w:line="260" w:lineRule="atLeast"/>
              <w:ind w:lef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 建筑工程施工质量应按下列要求进行验收：</w:t>
            </w:r>
          </w:p>
          <w:p>
            <w:pPr>
              <w:pStyle w:val="113"/>
              <w:keepNext w:val="0"/>
              <w:keepLines w:val="0"/>
              <w:pageBreakBefore w:val="0"/>
              <w:shd w:val="clear" w:color="auto" w:fill="FFFFFF"/>
              <w:kinsoku/>
              <w:wordWrap/>
              <w:overflowPunct/>
              <w:topLinePunct w:val="0"/>
              <w:autoSpaceDE/>
              <w:autoSpaceDN/>
              <w:bidi w:val="0"/>
              <w:spacing w:before="0" w:beforeAutospacing="0" w:after="0" w:afterAutospacing="0" w:line="260" w:lineRule="atLeast"/>
              <w:ind w:left="0"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工程质量验收均应在施工单位自检合格的基础上进行。</w:t>
            </w:r>
          </w:p>
          <w:p>
            <w:pPr>
              <w:pStyle w:val="113"/>
              <w:keepNext w:val="0"/>
              <w:keepLines w:val="0"/>
              <w:pageBreakBefore w:val="0"/>
              <w:shd w:val="clear" w:color="auto" w:fill="FFFFFF"/>
              <w:kinsoku/>
              <w:wordWrap/>
              <w:overflowPunct/>
              <w:topLinePunct w:val="0"/>
              <w:autoSpaceDE/>
              <w:autoSpaceDN/>
              <w:bidi w:val="0"/>
              <w:spacing w:before="0" w:beforeAutospacing="0" w:after="0" w:afterAutospacing="0" w:line="260" w:lineRule="atLeast"/>
              <w:ind w:left="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4.0.1 建筑工程施工质量验收应划分为单位工程、分部工程、分项工程和检验批。</w:t>
            </w:r>
          </w:p>
          <w:p>
            <w:pPr>
              <w:keepNext w:val="0"/>
              <w:keepLines w:val="0"/>
              <w:pageBreakBefore w:val="0"/>
              <w:widowControl/>
              <w:kinsoku/>
              <w:wordWrap/>
              <w:overflowPunct/>
              <w:topLinePunct w:val="0"/>
              <w:autoSpaceDE/>
              <w:autoSpaceDN/>
              <w:bidi w:val="0"/>
              <w:spacing w:line="260" w:lineRule="atLeast"/>
              <w:ind w:left="0"/>
              <w:textAlignment w:val="center"/>
              <w:rPr>
                <w:rStyle w:val="145"/>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4.0.7</w:t>
            </w:r>
            <w:r>
              <w:rPr>
                <w:rStyle w:val="145"/>
                <w:rFonts w:hint="eastAsia" w:ascii="宋体" w:hAnsi="宋体" w:eastAsia="宋体" w:cs="宋体"/>
                <w:color w:val="auto"/>
                <w:sz w:val="21"/>
                <w:szCs w:val="21"/>
                <w:highlight w:val="none"/>
                <w:lang w:val="en-US" w:eastAsia="zh-CN"/>
              </w:rPr>
              <w:t xml:space="preserve"> </w:t>
            </w:r>
            <w:r>
              <w:rPr>
                <w:rStyle w:val="145"/>
                <w:rFonts w:hint="eastAsia" w:ascii="宋体" w:hAnsi="宋体" w:eastAsia="宋体" w:cs="宋体"/>
                <w:color w:val="auto"/>
                <w:sz w:val="21"/>
                <w:szCs w:val="21"/>
                <w:highlight w:val="none"/>
              </w:rPr>
              <w:t>施工前，应由施工单位制定分项工程和检验批的划分方案，并由监理单位审核。</w:t>
            </w:r>
          </w:p>
          <w:p>
            <w:pPr>
              <w:pStyle w:val="113"/>
              <w:keepNext w:val="0"/>
              <w:keepLines w:val="0"/>
              <w:pageBreakBefore w:val="0"/>
              <w:shd w:val="clear" w:color="auto" w:fill="FFFFFF"/>
              <w:kinsoku/>
              <w:wordWrap/>
              <w:overflowPunct/>
              <w:topLinePunct w:val="0"/>
              <w:autoSpaceDE/>
              <w:autoSpaceDN/>
              <w:bidi w:val="0"/>
              <w:spacing w:before="0" w:beforeAutospacing="0" w:after="0" w:afterAutospacing="0" w:line="260" w:lineRule="atLeast"/>
              <w:ind w:left="0"/>
              <w:jc w:val="both"/>
              <w:rPr>
                <w:rFonts w:hint="eastAsia" w:ascii="宋体" w:hAnsi="宋体" w:eastAsia="宋体" w:cs="宋体"/>
                <w:color w:val="auto"/>
                <w:sz w:val="21"/>
                <w:szCs w:val="21"/>
                <w:highlight w:val="none"/>
                <w:shd w:val="clear" w:color="auto" w:fill="FFFFFF"/>
                <w:lang w:val="en-US" w:eastAsia="zh-CN"/>
              </w:rPr>
            </w:pPr>
            <w:r>
              <w:rPr>
                <w:rStyle w:val="145"/>
                <w:rFonts w:hint="eastAsia" w:ascii="宋体" w:hAnsi="宋体" w:eastAsia="宋体" w:cs="宋体"/>
                <w:color w:val="auto"/>
                <w:sz w:val="21"/>
                <w:szCs w:val="21"/>
                <w:highlight w:val="none"/>
              </w:rPr>
              <w:t>6.0.5</w:t>
            </w:r>
            <w:r>
              <w:rPr>
                <w:rStyle w:val="145"/>
                <w:rFonts w:hint="eastAsia" w:ascii="宋体" w:hAnsi="宋体" w:eastAsia="宋体" w:cs="宋体"/>
                <w:color w:val="auto"/>
                <w:sz w:val="21"/>
                <w:szCs w:val="21"/>
                <w:highlight w:val="none"/>
                <w:lang w:val="en-US" w:eastAsia="zh-CN"/>
              </w:rPr>
              <w:t xml:space="preserve"> </w:t>
            </w:r>
            <w:r>
              <w:rPr>
                <w:rStyle w:val="145"/>
                <w:rFonts w:hint="eastAsia" w:ascii="宋体" w:hAnsi="宋体" w:eastAsia="宋体" w:cs="宋体"/>
                <w:color w:val="auto"/>
                <w:sz w:val="21"/>
                <w:szCs w:val="21"/>
                <w:highlight w:val="none"/>
              </w:rPr>
              <w:t>单位工程完工后，施工单位应组织有关人员进行自检。总监理工程师应组织各专业监理工程师对工程质量进行竣工预验收。存在施工质量问题时，应由施工单位整改。整改完毕后，由施工单位向建设单位提交工程竣工报告，申请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2.2.3.15</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按规定及时处理质量问题和质量事故，做好记录。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第三十二条 施工单位对施工中出现质量问题的建设工程或者竣工验收不合格的建设工程，应当负责返修。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《建筑工程施工质量验收统一标准》</w:t>
            </w:r>
            <w:r>
              <w:rPr>
                <w:rStyle w:val="145"/>
                <w:rFonts w:hint="eastAsia" w:ascii="宋体" w:hAnsi="宋体" w:eastAsia="宋体" w:cs="宋体"/>
                <w:color w:val="auto"/>
                <w:sz w:val="21"/>
                <w:szCs w:val="21"/>
                <w:highlight w:val="none"/>
              </w:rPr>
              <w:t>GB50300-2013</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textAlignment w:val="center"/>
              <w:rPr>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5.0.7</w:t>
            </w:r>
            <w:r>
              <w:rPr>
                <w:rStyle w:val="145"/>
                <w:rFonts w:hint="eastAsia" w:ascii="宋体" w:hAnsi="宋体" w:eastAsia="宋体" w:cs="宋体"/>
                <w:color w:val="auto"/>
                <w:sz w:val="21"/>
                <w:szCs w:val="21"/>
                <w:highlight w:val="none"/>
                <w:lang w:val="en-US" w:eastAsia="zh-CN"/>
              </w:rPr>
              <w:t xml:space="preserve"> </w:t>
            </w:r>
            <w:r>
              <w:rPr>
                <w:rStyle w:val="144"/>
                <w:rFonts w:hint="eastAsia" w:ascii="宋体" w:hAnsi="宋体" w:eastAsia="宋体" w:cs="宋体"/>
                <w:color w:val="auto"/>
                <w:sz w:val="21"/>
                <w:szCs w:val="21"/>
                <w:highlight w:val="none"/>
              </w:rPr>
              <w:t>工程质量控制资料应齐全完整。当部分资料缺失时，应委托有资质的检测机构按有关标准进行相应的实体检验或抽样试验。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pStyle w:val="18"/>
              <w:keepNext w:val="0"/>
              <w:keepLines w:val="0"/>
              <w:pageBreakBefore w:val="0"/>
              <w:kinsoku/>
              <w:wordWrap/>
              <w:overflowPunct/>
              <w:topLinePunct w:val="0"/>
              <w:autoSpaceDE/>
              <w:autoSpaceDN/>
              <w:bidi w:val="0"/>
              <w:spacing w:before="0" w:after="0" w:line="260" w:lineRule="atLeast"/>
              <w:ind w:left="0"/>
              <w:jc w:val="both"/>
              <w:rPr>
                <w:rFonts w:hint="eastAsia" w:ascii="宋体" w:hAnsi="宋体" w:eastAsia="宋体" w:cs="宋体"/>
                <w:b w:val="0"/>
                <w:color w:val="auto"/>
                <w:spacing w:val="-6"/>
                <w:sz w:val="21"/>
                <w:szCs w:val="21"/>
                <w:highlight w:val="none"/>
              </w:rPr>
            </w:pPr>
            <w:r>
              <w:rPr>
                <w:rFonts w:hint="eastAsia" w:ascii="宋体" w:hAnsi="宋体" w:eastAsia="宋体" w:cs="宋体"/>
                <w:b w:val="0"/>
                <w:color w:val="auto"/>
                <w:spacing w:val="-6"/>
                <w:sz w:val="21"/>
                <w:szCs w:val="21"/>
                <w:highlight w:val="none"/>
              </w:rPr>
              <w:t>2.2.3.16</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实施样板引路制度，设置实体样板和工序样板。</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《建筑与市政工程施工质量控制通用规范》</w:t>
            </w:r>
            <w:r>
              <w:rPr>
                <w:rFonts w:hint="eastAsia" w:ascii="宋体" w:hAnsi="宋体" w:eastAsia="宋体" w:cs="宋体"/>
                <w:color w:val="auto"/>
                <w:spacing w:val="-6"/>
                <w:sz w:val="21"/>
                <w:szCs w:val="21"/>
                <w:highlight w:val="none"/>
                <w:lang w:eastAsia="zh-CN"/>
              </w:rPr>
              <w:t>GB</w:t>
            </w:r>
            <w:r>
              <w:rPr>
                <w:rFonts w:hint="eastAsia" w:ascii="宋体" w:hAnsi="宋体" w:eastAsia="宋体" w:cs="宋体"/>
                <w:color w:val="auto"/>
                <w:spacing w:val="-6"/>
                <w:sz w:val="21"/>
                <w:szCs w:val="21"/>
                <w:highlight w:val="none"/>
              </w:rPr>
              <w:t>55032-2022</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3.1.6 分项工程施工，应实施样板示范制度，以多种形式直观展示关键部位、关键工序的做法与要求。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2.2.3.17</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按规定处置不合格试验报告。</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《建筑工程检测试验技术管理规范》</w:t>
            </w:r>
            <w:r>
              <w:rPr>
                <w:rFonts w:hint="eastAsia" w:ascii="宋体" w:hAnsi="宋体" w:eastAsia="宋体" w:cs="宋体"/>
                <w:color w:val="auto"/>
                <w:spacing w:val="-6"/>
                <w:sz w:val="21"/>
                <w:szCs w:val="21"/>
                <w:highlight w:val="none"/>
                <w:lang w:eastAsia="zh-CN"/>
              </w:rPr>
              <w:t>JGJ</w:t>
            </w:r>
            <w:r>
              <w:rPr>
                <w:rFonts w:hint="eastAsia" w:ascii="宋体" w:hAnsi="宋体" w:eastAsia="宋体" w:cs="宋体"/>
                <w:color w:val="auto"/>
                <w:spacing w:val="-6"/>
                <w:sz w:val="21"/>
                <w:szCs w:val="21"/>
                <w:highlight w:val="none"/>
              </w:rPr>
              <w:t>190-2010</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5.7.4 对检测试验结果不合格的报告严禁抽撤、替换或修改。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2.2.3.18</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履行工程质量保修责任。</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第三十九条 建设工程实行质量保修制度。建设工程承包单位在向建设单位提交工程竣工验收报告时，应当向建设单位出具质量保修书。质量保修书中应当明确建设工程的保修范围、保修期限和保修责任等。</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第四十一条 建设工程在保修范围和保修期限内发生质量问题的，施工单位应当履行保修义务，并对造成的损失承担赔偿责任。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textAlignment w:val="center"/>
              <w:rPr>
                <w:rStyle w:val="144"/>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5.0.2 建设单位应建立质量回访和质量投诉处理机制。施工单位应履行保修义务，并应与建设单位签署施工质量保修书，施工质量保修书中应明确保修范围、保修期限和保修责任。</w:t>
            </w:r>
          </w:p>
          <w:p>
            <w:pPr>
              <w:keepNext w:val="0"/>
              <w:keepLines w:val="0"/>
              <w:pageBreakBefore w:val="0"/>
              <w:widowControl/>
              <w:kinsoku/>
              <w:wordWrap/>
              <w:overflowPunct/>
              <w:topLinePunct w:val="0"/>
              <w:autoSpaceDE/>
              <w:autoSpaceDN/>
              <w:bidi w:val="0"/>
              <w:spacing w:line="260" w:lineRule="atLeast"/>
              <w:ind w:left="0"/>
              <w:textAlignment w:val="center"/>
              <w:rPr>
                <w:rStyle w:val="144"/>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5.0.3 当工程在保修期内出现一般质量缺陷时，建设单位应向施工单位发出保修通知，施工单位应进行现场勘察、制定保修方案，并及时进行修复。</w:t>
            </w:r>
          </w:p>
          <w:p>
            <w:pPr>
              <w:keepNext w:val="0"/>
              <w:keepLines w:val="0"/>
              <w:pageBreakBefore w:val="0"/>
              <w:widowControl/>
              <w:kinsoku/>
              <w:wordWrap/>
              <w:overflowPunct/>
              <w:topLinePunct w:val="0"/>
              <w:autoSpaceDE/>
              <w:autoSpaceDN/>
              <w:bidi w:val="0"/>
              <w:spacing w:line="260" w:lineRule="atLeast"/>
              <w:ind w:left="0"/>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5.0.4 当工程在保修期内出现涉及结构安全或影响使用功能的严重质量缺陷时，应由原设计单位或相应资质等级的设计单位提出保修设计方案，施工单位实施保修。保修完成后，工程应符合原设计要求。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2.2.4</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2.2.4.1</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总监理工程师资格应符合要求，并到岗履职。</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第三十七条第一款 工程监理单位应当选派具备相应资格的总监理工程师和监理工程师进驻施工现场。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2.2.4.2</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配备足够的具备资格的监理人员，并到岗履职。</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《江苏省建设工程项目监理机构主要管理人员配备标准》（〔2017〕第35号）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一、监理单位要严格按照投标承诺或合同约定的监理人员配备数量组建项目监理机构，并建立日常自查自纠制度，确保人员在岗履职。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2.2.4.3</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编制并实施监理规划、监理实施细则。</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《建设工程监理规范》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50319-2013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4.1.1 监理规划应结合工程实际情况，明确项目监理机构的工作目标，确定具体的监理工作制度、内容、程序、方法和措施。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4.2.1 监理规划可在建设工程监理合同及收到工程建设文件后由总监理工程师组织编制，并应在召开第一次工地会议前报送建设单位。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4.2.2 监理规划编审应遵循下列程序：</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 总监理工程师组织专业监理工程师编制。</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 总监理工程师签字后由工程监理单位技术负责人审批。</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4.2.3 监理规划应包括下列主要内容：</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 工程概况。</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 监理工作的范围、内容、目标。</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 监理工作依据。</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 监理组织形式、人员配备及进退场计划、监理人员岗位职责。</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 监理工作制度。</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 工程质量控制。</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7 工程造价控制。</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8 工程进度控制。</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9 安全生产管理的监理工作。</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10 合同与信息管理。</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11 组织协调。</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12 监理工作设施。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4.3.1 对专业性较强、危险性较大的分部分项工程，项目监理机构应编制监理实施细则。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4.3.2 监理实施细则应在相应工程施工开始前由专业监理工程师编制，并应报总监理工程师审批。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4.3.3 监理实施细则的编制应依据下列资料：</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1 监理规划。 </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2 工程建设标准、工程设计文件。 </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3 施工组织设计、（专项）施工方案。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4.3.4 监理实施细则应包括下列主要内容：</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1专业工程特点。 </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2 监理工作流程。 </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3 监理工作要点。 </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4 监理工作方法及措施。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4.3.5 在实施建设工程监理过程中，监理实施细则可根据实际情况进行补充、修改，并应经总监理工程师批准后实施。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2.2.4.4</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对施工组织设计、施工方案进行审查。</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《建设工程监理规范》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50319-2013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5.1.6 项目监理机构应审查施工单位报审的施工组织设计，符合要求时，应由总监理工程师签认后报建设单位。项目监理机构应要求施工单位按</w:t>
            </w:r>
            <w:r>
              <w:rPr>
                <w:rFonts w:hint="eastAsia" w:ascii="宋体" w:hAnsi="宋体" w:eastAsia="宋体" w:cs="宋体"/>
                <w:color w:val="auto"/>
                <w:spacing w:val="-6"/>
                <w:sz w:val="21"/>
                <w:szCs w:val="21"/>
                <w:highlight w:val="none"/>
                <w:lang w:eastAsia="zh-CN"/>
              </w:rPr>
              <w:t>已批准的</w:t>
            </w:r>
            <w:r>
              <w:rPr>
                <w:rFonts w:hint="eastAsia" w:ascii="宋体" w:hAnsi="宋体" w:eastAsia="宋体" w:cs="宋体"/>
                <w:color w:val="auto"/>
                <w:spacing w:val="-6"/>
                <w:sz w:val="21"/>
                <w:szCs w:val="21"/>
                <w:highlight w:val="none"/>
              </w:rPr>
              <w:t>施工组织设计组织施工。施工组织设计需要调整时，项目监理机构应按程序重新审查。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5.2.2 总监理工程师应组织专业监理工程师审查施工单位报审的施工方案，并应符合要求后予以签认。</w:t>
            </w:r>
            <w:r>
              <w:rPr>
                <w:rFonts w:hint="eastAsia" w:ascii="宋体" w:hAnsi="宋体" w:eastAsia="宋体" w:cs="宋体"/>
                <w:color w:val="auto"/>
                <w:spacing w:val="-6"/>
                <w:sz w:val="21"/>
                <w:szCs w:val="21"/>
                <w:highlight w:val="none"/>
              </w:rPr>
              <w:br w:type="textWrapping"/>
            </w:r>
            <w:r>
              <w:rPr>
                <w:rFonts w:hint="eastAsia" w:ascii="宋体" w:hAnsi="宋体" w:eastAsia="宋体" w:cs="宋体"/>
                <w:color w:val="auto"/>
                <w:spacing w:val="-6"/>
                <w:sz w:val="21"/>
                <w:szCs w:val="21"/>
                <w:highlight w:val="none"/>
              </w:rPr>
              <w:t>5.5.3 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2.2.4.5</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对建筑材料、建筑构配件和设备投入使用或安装前进行审查。</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Style w:val="144"/>
                <w:rFonts w:hint="eastAsia" w:ascii="宋体" w:hAnsi="宋体" w:eastAsia="宋体" w:cs="宋体"/>
                <w:color w:val="auto"/>
                <w:sz w:val="21"/>
                <w:szCs w:val="21"/>
                <w:highlight w:val="none"/>
              </w:rPr>
              <w:t>《建设工程质量管理条例》（</w:t>
            </w:r>
            <w:r>
              <w:rPr>
                <w:rStyle w:val="145"/>
                <w:rFonts w:hint="eastAsia" w:ascii="宋体" w:hAnsi="宋体" w:eastAsia="宋体" w:cs="宋体"/>
                <w:color w:val="auto"/>
                <w:sz w:val="21"/>
                <w:szCs w:val="21"/>
                <w:highlight w:val="none"/>
              </w:rPr>
              <w:t>2000</w:t>
            </w:r>
            <w:r>
              <w:rPr>
                <w:rStyle w:val="144"/>
                <w:rFonts w:hint="eastAsia" w:ascii="宋体" w:hAnsi="宋体" w:eastAsia="宋体" w:cs="宋体"/>
                <w:color w:val="auto"/>
                <w:sz w:val="21"/>
                <w:szCs w:val="21"/>
                <w:highlight w:val="none"/>
              </w:rPr>
              <w:t>年国务院令第</w:t>
            </w:r>
            <w:r>
              <w:rPr>
                <w:rStyle w:val="145"/>
                <w:rFonts w:hint="eastAsia" w:ascii="宋体" w:hAnsi="宋体" w:eastAsia="宋体" w:cs="宋体"/>
                <w:color w:val="auto"/>
                <w:sz w:val="21"/>
                <w:szCs w:val="21"/>
                <w:highlight w:val="none"/>
              </w:rPr>
              <w:t>279</w:t>
            </w:r>
            <w:r>
              <w:rPr>
                <w:rStyle w:val="144"/>
                <w:rFonts w:hint="eastAsia" w:ascii="宋体" w:hAnsi="宋体" w:eastAsia="宋体" w:cs="宋体"/>
                <w:color w:val="auto"/>
                <w:sz w:val="21"/>
                <w:szCs w:val="21"/>
                <w:highlight w:val="none"/>
              </w:rPr>
              <w:t>号；</w:t>
            </w:r>
            <w:r>
              <w:rPr>
                <w:rStyle w:val="145"/>
                <w:rFonts w:hint="eastAsia" w:ascii="宋体" w:hAnsi="宋体" w:eastAsia="宋体" w:cs="宋体"/>
                <w:color w:val="auto"/>
                <w:sz w:val="21"/>
                <w:szCs w:val="21"/>
                <w:highlight w:val="none"/>
              </w:rPr>
              <w:t>2019</w:t>
            </w:r>
            <w:r>
              <w:rPr>
                <w:rStyle w:val="144"/>
                <w:rFonts w:hint="eastAsia" w:ascii="宋体" w:hAnsi="宋体" w:eastAsia="宋体" w:cs="宋体"/>
                <w:color w:val="auto"/>
                <w:sz w:val="21"/>
                <w:szCs w:val="21"/>
                <w:highlight w:val="none"/>
              </w:rPr>
              <w:t>年第二次修订）</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第三十七条第二款（部分）</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未经监理工程师签字，建筑材料、建筑构配件和设备不得在工程上使用或者安装，施工单位不得进行下一道工序的施工。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2.2.4.6</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对分包单位的资质进行审核。</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《建设工程监理规范》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50319-2013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5.1.10 分包工程开工前，项目监理机构应审核施工单位报送的分包单位资格报审表，专业监理工程师提出审查意见后，应由总监理工程师审核签认。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2.2.4.7</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对施工质量进行巡查，做好巡查记录。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《建设工程监理规范》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50319-2013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5.2.12 项目监理机构应安排监理人员对工程施工质量进行巡视。巡视应包括下列主要内容：</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 施工单位是否按工程设计文件、工程建设标准和批准的施工组织设计、（专项）施工方案施工。</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 使用的工程材料、构配件和设备是否合格。</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 施工现场管理人员，特别是施工质量管理人员是否到位。</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 特种作业人员是否持证上岗。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2.2.4.8</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对施工质量进行平行检验，做好平行检验记录。</w:t>
            </w: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3.3.3 监理人员应对工程施工质量进行巡视、平行检验，对关键部位、关键工序进行旁站，并应及时记录检查情况。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《建设工程监理规范》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50319-2013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5.2.9 项目监理机构应审查施工单位报送的用于工程的材料、构配件、设备的质量证明文件，并应按规定、建设工程监理合同约定，对用于工程的材料进行见证取样，平行检验。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2.2.4.9</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对隐蔽工程进行验收；对检验批工程进行验收；对分项、分部（子分部）工程按规定进行质量验收；按规定组织单位工程竣工预验收；按规定参加建设单位组织的竣工验收。</w:t>
            </w: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Style w:val="145"/>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4.3.1 检验批应由专业监理工程师组织施工单位项目专业质量检查员、专业工长等进行验收。</w:t>
            </w:r>
          </w:p>
          <w:p>
            <w:pPr>
              <w:keepNext w:val="0"/>
              <w:keepLines w:val="0"/>
              <w:pageBreakBefore w:val="0"/>
              <w:widowControl/>
              <w:kinsoku/>
              <w:wordWrap/>
              <w:overflowPunct/>
              <w:topLinePunct w:val="0"/>
              <w:autoSpaceDE/>
              <w:autoSpaceDN/>
              <w:bidi w:val="0"/>
              <w:spacing w:line="260" w:lineRule="atLeast"/>
              <w:ind w:left="0"/>
              <w:jc w:val="left"/>
              <w:textAlignment w:val="center"/>
              <w:rPr>
                <w:rStyle w:val="145"/>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4.3.2 分项工程应专业监理工程师组织施工单位项目专业技术负责人等进行验收。</w:t>
            </w:r>
          </w:p>
          <w:p>
            <w:pPr>
              <w:keepNext w:val="0"/>
              <w:keepLines w:val="0"/>
              <w:pageBreakBefore w:val="0"/>
              <w:widowControl/>
              <w:kinsoku/>
              <w:wordWrap/>
              <w:overflowPunct/>
              <w:topLinePunct w:val="0"/>
              <w:autoSpaceDE/>
              <w:autoSpaceDN/>
              <w:bidi w:val="0"/>
              <w:spacing w:line="260" w:lineRule="atLeast"/>
              <w:ind w:left="0"/>
              <w:jc w:val="left"/>
              <w:textAlignment w:val="center"/>
              <w:rPr>
                <w:rStyle w:val="145"/>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4.3.3 分部工程应由总监理工程师组织施工单位项目负责人和项目技术负责人等进行验收。勘察、设计单位项目负责人和施工单位技术、质量部门负责人应参加地基与基础分部工程的验收，设计单位项目负责人和施工单位技术、质量部门负责人应参加主体结构、节能分部工程的验收。</w:t>
            </w:r>
          </w:p>
          <w:p>
            <w:pPr>
              <w:keepNext w:val="0"/>
              <w:keepLines w:val="0"/>
              <w:pageBreakBefore w:val="0"/>
              <w:widowControl/>
              <w:kinsoku/>
              <w:wordWrap/>
              <w:overflowPunct/>
              <w:topLinePunct w:val="0"/>
              <w:autoSpaceDE/>
              <w:autoSpaceDN/>
              <w:bidi w:val="0"/>
              <w:spacing w:line="260" w:lineRule="atLeast"/>
              <w:ind w:left="0"/>
              <w:jc w:val="left"/>
              <w:textAlignment w:val="center"/>
              <w:rPr>
                <w:rStyle w:val="145"/>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4.3.4 单位工程完工后，各相关单位应按下列要求进行工程竣工验收：</w:t>
            </w:r>
          </w:p>
          <w:p>
            <w:pPr>
              <w:keepNext w:val="0"/>
              <w:keepLines w:val="0"/>
              <w:pageBreakBefore w:val="0"/>
              <w:widowControl/>
              <w:kinsoku/>
              <w:wordWrap/>
              <w:overflowPunct/>
              <w:topLinePunct w:val="0"/>
              <w:autoSpaceDE/>
              <w:autoSpaceDN/>
              <w:bidi w:val="0"/>
              <w:spacing w:line="260" w:lineRule="atLeast"/>
              <w:ind w:left="0" w:firstLine="210" w:firstLineChars="100"/>
              <w:jc w:val="left"/>
              <w:textAlignment w:val="center"/>
              <w:rPr>
                <w:rStyle w:val="145"/>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4 监理单位应在自检合格后组织工程竣工预验收，预验收合格后应编制工程质量评估报告，按规定程序</w:t>
            </w:r>
            <w:r>
              <w:rPr>
                <w:rStyle w:val="145"/>
                <w:rFonts w:hint="eastAsia" w:ascii="宋体" w:hAnsi="宋体" w:eastAsia="宋体" w:cs="宋体"/>
                <w:color w:val="auto"/>
                <w:sz w:val="21"/>
                <w:szCs w:val="21"/>
                <w:highlight w:val="none"/>
                <w:lang w:eastAsia="zh-CN"/>
              </w:rPr>
              <w:t>审批</w:t>
            </w:r>
            <w:r>
              <w:rPr>
                <w:rStyle w:val="145"/>
                <w:rFonts w:hint="eastAsia" w:ascii="宋体" w:hAnsi="宋体" w:eastAsia="宋体" w:cs="宋体"/>
                <w:color w:val="auto"/>
                <w:sz w:val="21"/>
                <w:szCs w:val="21"/>
                <w:highlight w:val="none"/>
              </w:rPr>
              <w:t>后向建设单位提交；</w:t>
            </w:r>
          </w:p>
          <w:p>
            <w:pPr>
              <w:keepNext w:val="0"/>
              <w:keepLines w:val="0"/>
              <w:pageBreakBefore w:val="0"/>
              <w:widowControl/>
              <w:kinsoku/>
              <w:wordWrap/>
              <w:overflowPunct/>
              <w:topLinePunct w:val="0"/>
              <w:autoSpaceDE/>
              <w:autoSpaceDN/>
              <w:bidi w:val="0"/>
              <w:spacing w:line="260" w:lineRule="atLeast"/>
              <w:ind w:left="0" w:firstLine="210" w:firstLineChars="100"/>
              <w:jc w:val="left"/>
              <w:textAlignment w:val="center"/>
              <w:rPr>
                <w:rFonts w:hint="eastAsia" w:ascii="宋体" w:hAnsi="宋体" w:eastAsia="宋体" w:cs="宋体"/>
                <w:color w:val="auto"/>
                <w:sz w:val="21"/>
                <w:szCs w:val="21"/>
                <w:highlight w:val="none"/>
              </w:rPr>
            </w:pPr>
            <w:r>
              <w:rPr>
                <w:rStyle w:val="145"/>
                <w:rFonts w:hint="eastAsia" w:ascii="宋体" w:hAnsi="宋体" w:eastAsia="宋体" w:cs="宋体"/>
                <w:color w:val="auto"/>
                <w:sz w:val="21"/>
                <w:szCs w:val="21"/>
                <w:highlight w:val="none"/>
              </w:rPr>
              <w:t>5 建设单位应在竣工预验收合格后组织监理、施工、设计、勘察单位等相关单位项目负责人进行工程竣工验收。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《建设工程监理规范》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50319-2013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5.2.14 项目监理机构应对施工单位报验的隐蔽工程、检验批、分项工程和分部工程进行验收，对验收合格的应给予签认，对验收不合格的应拒绝签认，同时应要求施工单位在指定的时间内整改并重新报验。</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对已同意覆盖的工程隐蔽部位质量有疑问的，或发现施工单位私自覆盖工程隐蔽部位的，项目监理机构应要求施工单位对该隐蔽部位进行钻孔探测、剥离或其他方法进行重新检验。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5.2.18 项目监理机构应审查施工单位提交的单位工程竣工验收报审表及竣工资料，组织工程竣工预验收。存在问题的，应要求施工单位及时整改；合格的，总监理工程师应签认单位工程竣工验收报审表。</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5.2.19 工程竣工预验收合格后，项目监理机构应编写工程质量评估报告，并应经总监理工程师和工程监理单位技术负责人审核签字后报建设单位。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5.2.20 项目监理机构应参加由建设单位组织的竣工验收，对验收中提出的整改问题，应督促施工单位及时整改。工程质量符合要求的，总监理工程师应在工程竣工验收报告中签署意见。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2.2.4.10</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签发质量问题通知单，复查质量问题整改结果。</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《建设工程监理规范》</w:t>
            </w:r>
            <w:r>
              <w:rPr>
                <w:rFonts w:hint="eastAsia" w:ascii="宋体" w:hAnsi="宋体" w:eastAsia="宋体" w:cs="宋体"/>
                <w:color w:val="auto"/>
                <w:spacing w:val="-6"/>
                <w:sz w:val="21"/>
                <w:szCs w:val="21"/>
                <w:highlight w:val="none"/>
                <w:lang w:eastAsia="zh-CN"/>
              </w:rPr>
              <w:t>GB/T</w:t>
            </w:r>
            <w:r>
              <w:rPr>
                <w:rFonts w:hint="eastAsia" w:ascii="宋体" w:hAnsi="宋体" w:eastAsia="宋体" w:cs="宋体"/>
                <w:color w:val="auto"/>
                <w:spacing w:val="-6"/>
                <w:sz w:val="21"/>
                <w:szCs w:val="21"/>
                <w:highlight w:val="none"/>
              </w:rPr>
              <w:t>50319-2013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5.2.15 项目监理机构发现施工存在质量问题的，或施工单位采用不适当的施工工艺，或施工不当，造成工程质量不合格的，应及时签发监理通知单，要求施工单位整改。整改完毕后，项目监理机构应根据施工单位报送的监理通知回复对整改情况进行复查，提出复查意见。</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监理通知单应按本规范表A.0.3的要求填写，监理通知回复单应按本规范表B.0.9的要求填写。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2.2.5</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2.2.5.1</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不得转包检测业务。</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第十七条 检测机构不得转包检测业务。检测机构跨省、自治区、直辖市承担检测业务的，应当向工程所在地的省、自治区、直辖市人民政府建设主管部门备案。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《江苏省质量检测管理实施细则》</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苏建法〔2006〕97号</w:t>
            </w:r>
            <w:r>
              <w:rPr>
                <w:rFonts w:hint="eastAsia" w:ascii="宋体" w:hAnsi="宋体" w:eastAsia="宋体" w:cs="宋体"/>
                <w:color w:val="auto"/>
                <w:spacing w:val="-6"/>
                <w:sz w:val="21"/>
                <w:szCs w:val="21"/>
                <w:highlight w:val="none"/>
                <w:lang w:eastAsia="zh-CN"/>
              </w:rPr>
              <w:t>）</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第十二条 检测机构不得转包检测业务。</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省外检测机构在本省行政区域内从事工程质量检测业务的，应当向省建设厅备案。设区的市、县（市）建设行政主管部门应当以对其在当地的检测活动加强监督检查。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2.2.5.2</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不得涂改、倒卖、出租、出借或者以其他形式非法转让资质证书。</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第十条 任何单位和个人不得涂改、倒卖、出租、出借或者以其他形式非法转让资质证书。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2.2.5.3</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不得推荐或者监制建筑材料、构配件和设备。</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第十六条第二款 检测机构和检测人员不得推荐或者监制建筑材料、构配件和设备。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《江苏省质量检测管理实施细则》</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苏建法〔2006〕97号</w:t>
            </w:r>
            <w:r>
              <w:rPr>
                <w:rFonts w:hint="eastAsia" w:ascii="宋体" w:hAnsi="宋体" w:eastAsia="宋体" w:cs="宋体"/>
                <w:color w:val="auto"/>
                <w:spacing w:val="-6"/>
                <w:sz w:val="21"/>
                <w:szCs w:val="21"/>
                <w:highlight w:val="none"/>
                <w:lang w:eastAsia="zh-CN"/>
              </w:rPr>
              <w:t>）</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第十一条第三款 检测机构和人员不得推荐或者监制建筑材料、构配件和设备等。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2.2.5.4</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不得与行政机关，法律、法规授权的具有管理公共事务职能的组织以及所检测工程项目相关的设计单位、施工单位</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监理单位有隶属关系或者其他利害关系。</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第十六条第三款 检测机构不得与行政机关，法律、法规授权的具有管理公共事务职能的组织以及所检测工程项目相关的设计单位、施工单位</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监理单位有隶属关系或者其他利害关系。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《江苏省质量检测管理实施细则》</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苏建法〔2006〕97号</w:t>
            </w:r>
            <w:r>
              <w:rPr>
                <w:rFonts w:hint="eastAsia" w:ascii="宋体" w:hAnsi="宋体" w:eastAsia="宋体" w:cs="宋体"/>
                <w:color w:val="auto"/>
                <w:spacing w:val="-6"/>
                <w:sz w:val="21"/>
                <w:szCs w:val="21"/>
                <w:highlight w:val="none"/>
                <w:lang w:eastAsia="zh-CN"/>
              </w:rPr>
              <w:t>）</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第十一条第四款 检测机构不得与行政机关、法律、法规授权的具有管理公共事务职能的组织以及所检测工程项目相关的设计单位、施工单位监理单位有隶属关系或者其他利害关系。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2.2.5</w:t>
            </w:r>
            <w:r>
              <w:rPr>
                <w:rFonts w:hint="eastAsia" w:ascii="宋体" w:hAnsi="宋体" w:eastAsia="宋体" w:cs="宋体"/>
                <w:color w:val="auto"/>
                <w:spacing w:val="-6"/>
                <w:sz w:val="21"/>
                <w:szCs w:val="21"/>
                <w:highlight w:val="none"/>
                <w:lang w:val="en-US" w:eastAsia="zh-CN"/>
              </w:rPr>
              <w:t>.5</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应当在单位工程开工前编制质量检测方案。</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shd w:val="clear" w:color="auto" w:fill="FFFFFF"/>
              </w:rPr>
              <w:t>江苏省住房城乡建设厅关于实行建设工程质量检测综合报告制度的通知</w:t>
            </w:r>
            <w:r>
              <w:rPr>
                <w:rFonts w:hint="eastAsia" w:ascii="宋体" w:hAnsi="宋体" w:eastAsia="宋体" w:cs="宋体"/>
                <w:color w:val="auto"/>
                <w:spacing w:val="-6"/>
                <w:sz w:val="21"/>
                <w:szCs w:val="21"/>
                <w:highlight w:val="none"/>
              </w:rPr>
              <w:t>》（苏建规字〔2020〕8号）</w:t>
            </w:r>
          </w:p>
        </w:tc>
        <w:tc>
          <w:tcPr>
            <w:tcW w:w="11060" w:type="dxa"/>
            <w:vAlign w:val="center"/>
          </w:tcPr>
          <w:p>
            <w:pPr>
              <w:keepNext w:val="0"/>
              <w:keepLines w:val="0"/>
              <w:pageBreakBefore w:val="0"/>
              <w:widowControl/>
              <w:shd w:val="clear" w:color="auto" w:fill="FFFFFF"/>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（二）建设工程质量检测方案</w:t>
            </w:r>
          </w:p>
          <w:p>
            <w:pPr>
              <w:keepNext w:val="0"/>
              <w:keepLines w:val="0"/>
              <w:pageBreakBefore w:val="0"/>
              <w:widowControl/>
              <w:shd w:val="clear" w:color="auto" w:fill="FFFFFF"/>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建设工程质量检测方案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以下简称《检测方案》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，由检测机构在单位工程开工前，根据建设工程质量检测合同、《检测计划》、规范标准等编制。</w:t>
            </w:r>
          </w:p>
          <w:p>
            <w:pPr>
              <w:keepNext w:val="0"/>
              <w:keepLines w:val="0"/>
              <w:pageBreakBefore w:val="0"/>
              <w:widowControl/>
              <w:shd w:val="clear" w:color="auto" w:fill="FFFFFF"/>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检测机构应当明确项目负责人，负责《检测方案》的编制与实施。检测机构项目负责人应当具有中级以上工程类专业技术职称，并从事检测工作3年以上。</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rPr>
              <w:t>《检测方案》应当包括以下主要内容：工程概况、建设工程质量检测责任主体、检测机构承诺书、检测项目负责人任命文件、检测工作质量保障措施、建设工程质量检测实施表、建设工程质量检测方案变更等。工程发生变更时，检测机构应当根据调整后的《检测计划》相应调整《检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2.2.5.</w:t>
            </w:r>
            <w:r>
              <w:rPr>
                <w:rFonts w:hint="eastAsia" w:ascii="宋体" w:hAnsi="宋体" w:eastAsia="宋体" w:cs="宋体"/>
                <w:color w:val="auto"/>
                <w:spacing w:val="-6"/>
                <w:sz w:val="21"/>
                <w:szCs w:val="21"/>
                <w:highlight w:val="none"/>
                <w:lang w:val="en-US" w:eastAsia="zh-CN"/>
              </w:rPr>
              <w:t>6</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应当按照国家有关工程建设强制性标准进行检测。</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第二条第二款……工程质量检测机构（以下简称检测机构）接受委托，依据国家有关法律、法规和工程建设强制性标准，对涉及结构安全项目的抽样检测和对进入施工现场的建筑材料、构配件的见证取样检测。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2.2.5.7</w:t>
            </w:r>
          </w:p>
        </w:tc>
        <w:tc>
          <w:tcPr>
            <w:tcW w:w="1259" w:type="dxa"/>
            <w:vMerge w:val="restart"/>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对检测数据和检测报告的真实性和准确性负责。</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第十八条 检测机构应当对其检测数据和检测报告的真实性和准确性负责。</w:t>
            </w:r>
          </w:p>
          <w:p>
            <w:pPr>
              <w:keepNext w:val="0"/>
              <w:keepLines w:val="0"/>
              <w:pageBreakBefore w:val="0"/>
              <w:kinsoku/>
              <w:wordWrap/>
              <w:overflowPunct/>
              <w:topLinePunct w:val="0"/>
              <w:autoSpaceDE/>
              <w:autoSpaceDN/>
              <w:bidi w:val="0"/>
              <w:spacing w:line="260" w:lineRule="atLeast"/>
              <w:ind w:left="0" w:firstLine="198"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检测机构违反法律、法规和工程建设强制性标准，给他人造成损失的，应当依法承担相应的赔偿责任。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0"/>
                <w:sz w:val="21"/>
                <w:szCs w:val="21"/>
                <w:highlight w:val="none"/>
              </w:rPr>
            </w:pPr>
            <w:r>
              <w:rPr>
                <w:rStyle w:val="144"/>
                <w:rFonts w:hint="eastAsia" w:ascii="宋体" w:hAnsi="宋体" w:eastAsia="宋体" w:cs="宋体"/>
                <w:color w:val="auto"/>
                <w:sz w:val="21"/>
                <w:szCs w:val="21"/>
                <w:highlight w:val="none"/>
              </w:rPr>
              <w:t>《建筑与市政工程施工质量控制通用规范》GB55032-2022</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Style w:val="144"/>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3.4.4 检测机构应独立出具检验检测数据和结果。检测机构应对检测数据和检测报告的真实性和准确性负责。对检测结果不合格的报告严禁抽撤、替换或修改。</w:t>
            </w:r>
          </w:p>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sz w:val="21"/>
                <w:szCs w:val="21"/>
                <w:highlight w:val="none"/>
              </w:rPr>
            </w:pPr>
            <w:r>
              <w:rPr>
                <w:rStyle w:val="144"/>
                <w:rFonts w:hint="eastAsia" w:ascii="宋体" w:hAnsi="宋体" w:eastAsia="宋体" w:cs="宋体"/>
                <w:color w:val="auto"/>
                <w:sz w:val="21"/>
                <w:szCs w:val="21"/>
                <w:highlight w:val="none"/>
              </w:rPr>
              <w:t>3.4.5 检测机构严禁出具虚假检测报告。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1259" w:type="dxa"/>
            <w:vMerge w:val="continue"/>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《江苏省质量检测管理实施细则》</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苏建法〔2006〕97号</w:t>
            </w:r>
            <w:r>
              <w:rPr>
                <w:rFonts w:hint="eastAsia" w:ascii="宋体" w:hAnsi="宋体" w:eastAsia="宋体" w:cs="宋体"/>
                <w:color w:val="auto"/>
                <w:spacing w:val="-6"/>
                <w:sz w:val="21"/>
                <w:szCs w:val="21"/>
                <w:highlight w:val="none"/>
                <w:lang w:eastAsia="zh-CN"/>
              </w:rPr>
              <w:t>）</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第十一条第一款 检测人员应当严守职业道德和工作程序，保证试验检测数据科学、客观、公正，并对试验检测结果承担法律责任。检测人员应当经过相关检测技术培训。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2.2.5.8</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应当将检测过程中发现的建设单位、监理单位、施工单位违反有关法律、法规和工程建设强制性标准的情况，以及涉及结构安全检测结果的不合格情况，及时报告工程所在地住房城乡建设主管部门。</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第十九条 检测机构应当将检测过程中发现的建设单位、监理单位、施工单位违反有关法律、法规和工程建设强制性标准的情况，以及涉及结构安全检测结果的不合格情况，及时报告工程所在地建设主管部门。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2.2.5.9</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应当</w:t>
            </w:r>
            <w:r>
              <w:rPr>
                <w:rFonts w:hint="eastAsia" w:ascii="宋体" w:hAnsi="宋体" w:eastAsia="宋体" w:cs="宋体"/>
                <w:color w:val="auto"/>
                <w:spacing w:val="-6"/>
                <w:sz w:val="21"/>
                <w:szCs w:val="21"/>
                <w:highlight w:val="none"/>
                <w:lang w:val="en-US" w:eastAsia="zh-CN"/>
              </w:rPr>
              <w:t>按要求</w:t>
            </w:r>
            <w:r>
              <w:rPr>
                <w:rFonts w:hint="eastAsia" w:ascii="宋体" w:hAnsi="宋体" w:eastAsia="宋体" w:cs="宋体"/>
                <w:color w:val="auto"/>
                <w:spacing w:val="-6"/>
                <w:sz w:val="21"/>
                <w:szCs w:val="21"/>
                <w:highlight w:val="none"/>
              </w:rPr>
              <w:t>编制</w:t>
            </w:r>
            <w:r>
              <w:rPr>
                <w:rFonts w:hint="eastAsia" w:ascii="宋体" w:hAnsi="宋体" w:eastAsia="宋体" w:cs="宋体"/>
                <w:color w:val="auto"/>
                <w:kern w:val="0"/>
                <w:sz w:val="21"/>
                <w:szCs w:val="21"/>
                <w:highlight w:val="none"/>
              </w:rPr>
              <w:t>建设工程质量检测综合报告</w:t>
            </w:r>
            <w:r>
              <w:rPr>
                <w:rFonts w:hint="eastAsia" w:ascii="宋体" w:hAnsi="宋体" w:eastAsia="宋体" w:cs="宋体"/>
                <w:color w:val="auto"/>
                <w:spacing w:val="-6"/>
                <w:sz w:val="21"/>
                <w:szCs w:val="21"/>
                <w:highlight w:val="none"/>
              </w:rPr>
              <w:t>。</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shd w:val="clear" w:color="auto" w:fill="FFFFFF"/>
              </w:rPr>
              <w:t>江苏省住房城乡建设厅关于实行建设工程质量检测综合报告制度的通知</w:t>
            </w:r>
            <w:r>
              <w:rPr>
                <w:rFonts w:hint="eastAsia" w:ascii="宋体" w:hAnsi="宋体" w:eastAsia="宋体" w:cs="宋体"/>
                <w:color w:val="auto"/>
                <w:spacing w:val="-6"/>
                <w:sz w:val="21"/>
                <w:szCs w:val="21"/>
                <w:highlight w:val="none"/>
              </w:rPr>
              <w:t>》（苏建规字〔2020〕8号）</w:t>
            </w:r>
          </w:p>
        </w:tc>
        <w:tc>
          <w:tcPr>
            <w:tcW w:w="11060" w:type="dxa"/>
            <w:vAlign w:val="center"/>
          </w:tcPr>
          <w:p>
            <w:pPr>
              <w:keepNext w:val="0"/>
              <w:keepLines w:val="0"/>
              <w:pageBreakBefore w:val="0"/>
              <w:widowControl/>
              <w:shd w:val="clear" w:color="auto" w:fill="FFFFFF"/>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（三）建设工程质量检测综合报告</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工程质量检测综合报告（以下简称《综合报告》），由检测机构在完成检测合同约定的全部检测任务后，对《检测计划》和《检测方案》实施情况进行汇总分析后，由检测机构项目负责人负责组织编制，在分部工程验收或竣工验收前提交建设单位。</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《综合报告》应当包括以下主要内容：工程概况、建设工程质量检测责任主体、建设工程质量检测变更汇总、建设工程质量检测工作统计、检测工作总结等。</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《综合报告》经建设单位签收后归入竣工验收资料中的工程质量检测资料。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2.2.5.10</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应当单独建立检测结果不合格项目台账。</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第二十条第二款 检测机构应当单独建立检测结果不合格项目台账。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2.2.5.11</w:t>
            </w:r>
          </w:p>
        </w:tc>
        <w:tc>
          <w:tcPr>
            <w:tcW w:w="1259" w:type="dxa"/>
            <w:vAlign w:val="center"/>
          </w:tcPr>
          <w:p>
            <w:pPr>
              <w:keepNext w:val="0"/>
              <w:keepLines w:val="0"/>
              <w:pageBreakBefore w:val="0"/>
              <w:widowControl/>
              <w:kinsoku/>
              <w:wordWrap/>
              <w:overflowPunct/>
              <w:topLinePunct w:val="0"/>
              <w:autoSpaceDE/>
              <w:autoSpaceDN/>
              <w:bidi w:val="0"/>
              <w:spacing w:line="260" w:lineRule="atLeast"/>
              <w:ind w:lef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质量行为要求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应当</w:t>
            </w:r>
            <w:r>
              <w:rPr>
                <w:rFonts w:hint="eastAsia" w:ascii="宋体" w:hAnsi="宋体" w:eastAsia="宋体" w:cs="宋体"/>
                <w:color w:val="auto"/>
                <w:spacing w:val="-6"/>
                <w:sz w:val="21"/>
                <w:szCs w:val="21"/>
                <w:highlight w:val="none"/>
                <w:lang w:val="en-US" w:eastAsia="zh-CN"/>
              </w:rPr>
              <w:t>按要求</w:t>
            </w:r>
            <w:r>
              <w:rPr>
                <w:rFonts w:hint="eastAsia" w:ascii="宋体" w:hAnsi="宋体" w:eastAsia="宋体" w:cs="宋体"/>
                <w:color w:val="auto"/>
                <w:spacing w:val="-6"/>
                <w:sz w:val="21"/>
                <w:szCs w:val="21"/>
                <w:highlight w:val="none"/>
              </w:rPr>
              <w:t>建立档案管理制度。</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《建设工程质量检测管理办法》（建设部令第141号）</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第二十条第一款 检测机构应当建立档案管理制度。检测合同、委托单、原始记录、检测报告应当按年度统一编号，编号应当连续，不得随意抽撤、涂改。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实体工程质量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燃气场站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3.1.1</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应当按规定组织设计交底、图纸会审、施工方案编制和审批，施工用设备（含检测设备）的准备，施工过程中应按规定做好施工记录。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15.1.2 施工开工前建设单位应组织或委托监理单位组织设计单位、施工单位进行设计交底、图纸会审。</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15.1.3 施工单位应组织施工图纸核查、参加设计交底、编制施工方案报监理单位或建设单位代表审批。</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15.1.4 施工用设备、检测设备性能应可靠，计显器具应经过检定或校准，处于合格状态，</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应在有效期内使用。</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l5.I.5 汽车加油加气加氢站施工应做好施工记录，其中隐蔽工程施工记录应有相关单位代表参加现场验收并书面确认签字。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3.1.1.2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一般要求</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工程测量、场地平整和土方开挖等应符合设计及相关标准要求。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工程测量应按现行国家标准《工程测量标准》GB50026的有关规定进行。施工过程中应对平面控制桩、水准点等测量成果进行检查和复测、并应对水准点和标桩采取保护措施。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进行场地平整和土方开挖回填作业时，应采取防止地表水或地下水流入作业区的措施。排水出口应设置在远离建筑物的低洼地点，并应保证排水畅通。排水暗沟的出水口处应采取防止冻结的措施。临时排水设施应待地下工程土方</w:t>
            </w:r>
            <w:r>
              <w:rPr>
                <w:rFonts w:hint="eastAsia" w:ascii="宋体" w:hAnsi="宋体" w:eastAsia="宋体" w:cs="宋体"/>
                <w:color w:val="auto"/>
                <w:sz w:val="21"/>
                <w:szCs w:val="21"/>
                <w:highlight w:val="none"/>
                <w:lang w:eastAsia="zh-CN"/>
              </w:rPr>
              <w:t>回填</w:t>
            </w:r>
            <w:r>
              <w:rPr>
                <w:rFonts w:hint="eastAsia" w:ascii="宋体" w:hAnsi="宋体" w:eastAsia="宋体" w:cs="宋体"/>
                <w:color w:val="auto"/>
                <w:sz w:val="21"/>
                <w:szCs w:val="21"/>
                <w:highlight w:val="none"/>
              </w:rPr>
              <w:t>完毕后再拆除。</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15.3.3 在地下水位以下开挖土方时，应采取防止周围建（构）筑物产生附加沉降的措施。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15.3.4 当设计文件无要求时，场地平整应以不小于2%的坡度坡向排水沟。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3.1.2</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材料设备的检查验收与装卸、运输、存放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材料和设备应具有质</w:t>
            </w:r>
            <w:r>
              <w:rPr>
                <w:rFonts w:hint="eastAsia" w:ascii="宋体" w:hAnsi="宋体" w:eastAsia="宋体" w:cs="宋体"/>
                <w:color w:val="auto"/>
                <w:sz w:val="21"/>
                <w:szCs w:val="21"/>
                <w:highlight w:val="none"/>
              </w:rPr>
              <w:t>量</w:t>
            </w:r>
            <w:r>
              <w:rPr>
                <w:rFonts w:hint="eastAsia" w:ascii="宋体" w:hAnsi="宋体" w:eastAsia="宋体" w:cs="宋体"/>
                <w:color w:val="auto"/>
                <w:sz w:val="21"/>
                <w:szCs w:val="21"/>
                <w:highlight w:val="none"/>
                <w:lang w:bidi="zh-CN"/>
              </w:rPr>
              <w:t>证明文件和批号，并应符合</w:t>
            </w:r>
            <w:r>
              <w:rPr>
                <w:rFonts w:hint="eastAsia" w:ascii="宋体" w:hAnsi="宋体" w:eastAsia="宋体" w:cs="宋体"/>
                <w:color w:val="auto"/>
                <w:sz w:val="21"/>
                <w:szCs w:val="21"/>
                <w:highlight w:val="none"/>
              </w:rPr>
              <w:t>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 材料和设备的规格、型号、材质等应符合设计文件的要求。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15.2.2 材料和设备应具有质量证明文件和批号。</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15.2.12 当材料和设备有下列</w:t>
            </w:r>
            <w:r>
              <w:rPr>
                <w:rFonts w:hint="eastAsia" w:ascii="宋体" w:hAnsi="宋体" w:eastAsia="宋体" w:cs="宋体"/>
                <w:color w:val="auto"/>
                <w:sz w:val="21"/>
                <w:szCs w:val="21"/>
                <w:highlight w:val="none"/>
                <w:lang w:eastAsia="zh-CN"/>
              </w:rPr>
              <w:t>情况</w:t>
            </w:r>
            <w:r>
              <w:rPr>
                <w:rFonts w:hint="eastAsia" w:ascii="宋体" w:hAnsi="宋体" w:eastAsia="宋体" w:cs="宋体"/>
                <w:color w:val="auto"/>
                <w:sz w:val="21"/>
                <w:szCs w:val="21"/>
                <w:highlight w:val="none"/>
              </w:rPr>
              <w:t>之一时，不得使用：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质量证明文件特性数据不全或对其数据有异议的；</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实物标识与质量证明文件标识不符的；</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要求复验的材料未进行复验或复验后不合格的；</w:t>
            </w:r>
          </w:p>
          <w:p>
            <w:pPr>
              <w:pStyle w:val="2"/>
              <w:keepNext w:val="0"/>
              <w:keepLines w:val="0"/>
              <w:pageBreakBefore w:val="0"/>
              <w:kinsoku/>
              <w:wordWrap/>
              <w:overflowPunct/>
              <w:topLinePunct w:val="0"/>
              <w:autoSpaceDE/>
              <w:autoSpaceDN/>
              <w:bidi w:val="0"/>
              <w:spacing w:line="260" w:lineRule="atLeast"/>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不满足设计或国家现行有关产品标准和本标准要求的。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低温钢质</w:t>
            </w:r>
            <w:r>
              <w:rPr>
                <w:rFonts w:hint="eastAsia" w:ascii="宋体" w:hAnsi="宋体" w:eastAsia="宋体" w:cs="宋体"/>
                <w:color w:val="auto"/>
                <w:sz w:val="21"/>
                <w:szCs w:val="21"/>
                <w:highlight w:val="none"/>
              </w:rPr>
              <w:t>量</w:t>
            </w:r>
            <w:r>
              <w:rPr>
                <w:rFonts w:hint="eastAsia" w:ascii="宋体" w:hAnsi="宋体" w:eastAsia="宋体" w:cs="宋体"/>
                <w:color w:val="auto"/>
                <w:sz w:val="21"/>
                <w:szCs w:val="21"/>
                <w:highlight w:val="none"/>
                <w:lang w:bidi="zh-CN"/>
              </w:rPr>
              <w:t>证明文件应包含低温夏比冲击试验值，合格标准应符合相应的产品标准。</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15.2.3 低温钢质</w:t>
            </w:r>
            <w:r>
              <w:rPr>
                <w:rFonts w:hint="eastAsia" w:ascii="宋体" w:hAnsi="宋体" w:eastAsia="宋体" w:cs="宋体"/>
                <w:color w:val="auto"/>
                <w:sz w:val="21"/>
                <w:szCs w:val="21"/>
                <w:highlight w:val="none"/>
              </w:rPr>
              <w:t>量</w:t>
            </w:r>
            <w:r>
              <w:rPr>
                <w:rFonts w:hint="eastAsia" w:ascii="宋体" w:hAnsi="宋体" w:eastAsia="宋体" w:cs="宋体"/>
                <w:color w:val="auto"/>
                <w:sz w:val="21"/>
                <w:szCs w:val="21"/>
                <w:highlight w:val="none"/>
                <w:lang w:bidi="zh-CN"/>
              </w:rPr>
              <w:t>证明文件应包含低温夏比冲击试验值，合格标准应符合相应的产品标准。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焊接材料熔敷金</w:t>
            </w:r>
            <w:r>
              <w:rPr>
                <w:rFonts w:hint="eastAsia" w:ascii="宋体" w:hAnsi="宋体" w:eastAsia="宋体" w:cs="宋体"/>
                <w:color w:val="auto"/>
                <w:sz w:val="21"/>
                <w:szCs w:val="21"/>
                <w:highlight w:val="none"/>
              </w:rPr>
              <w:t>属</w:t>
            </w:r>
            <w:r>
              <w:rPr>
                <w:rFonts w:hint="eastAsia" w:ascii="宋体" w:hAnsi="宋体" w:eastAsia="宋体" w:cs="宋体"/>
                <w:color w:val="auto"/>
                <w:sz w:val="21"/>
                <w:szCs w:val="21"/>
                <w:highlight w:val="none"/>
                <w:lang w:bidi="zh-CN"/>
              </w:rPr>
              <w:t>的化学成分和力学性能应与母材相近，低温冲击韧性值不低于母材标准值。</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15</w:t>
            </w:r>
            <w:r>
              <w:rPr>
                <w:rFonts w:hint="eastAsia" w:ascii="宋体" w:hAnsi="宋体" w:eastAsia="宋体" w:cs="宋体"/>
                <w:color w:val="auto"/>
                <w:sz w:val="21"/>
                <w:szCs w:val="21"/>
                <w:highlight w:val="none"/>
              </w:rPr>
              <w:t xml:space="preserve">.2.4 </w:t>
            </w:r>
            <w:r>
              <w:rPr>
                <w:rFonts w:hint="eastAsia" w:ascii="宋体" w:hAnsi="宋体" w:eastAsia="宋体" w:cs="宋体"/>
                <w:color w:val="auto"/>
                <w:sz w:val="21"/>
                <w:szCs w:val="21"/>
                <w:highlight w:val="none"/>
                <w:lang w:bidi="zh-CN"/>
              </w:rPr>
              <w:t>焊接材料熔敷金</w:t>
            </w:r>
            <w:r>
              <w:rPr>
                <w:rFonts w:hint="eastAsia" w:ascii="宋体" w:hAnsi="宋体" w:eastAsia="宋体" w:cs="宋体"/>
                <w:color w:val="auto"/>
                <w:sz w:val="21"/>
                <w:szCs w:val="21"/>
                <w:highlight w:val="none"/>
              </w:rPr>
              <w:t>属</w:t>
            </w:r>
            <w:r>
              <w:rPr>
                <w:rFonts w:hint="eastAsia" w:ascii="宋体" w:hAnsi="宋体" w:eastAsia="宋体" w:cs="宋体"/>
                <w:color w:val="auto"/>
                <w:sz w:val="21"/>
                <w:szCs w:val="21"/>
                <w:highlight w:val="none"/>
                <w:lang w:bidi="zh-CN"/>
              </w:rPr>
              <w:t>的化学成分和力学性能应与母材相近，低温冲击韧性值不低于母材标准值。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管子和管件，外表面应逐件进行表面无损检测，且不得有线性缺陷。</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15.</w:t>
            </w:r>
            <w:r>
              <w:rPr>
                <w:rFonts w:hint="eastAsia" w:ascii="宋体" w:hAnsi="宋体" w:eastAsia="宋体" w:cs="宋体"/>
                <w:color w:val="auto"/>
                <w:sz w:val="21"/>
                <w:szCs w:val="21"/>
                <w:highlight w:val="none"/>
              </w:rPr>
              <w:t xml:space="preserve">2.5 </w:t>
            </w:r>
            <w:r>
              <w:rPr>
                <w:rFonts w:hint="eastAsia" w:ascii="宋体" w:hAnsi="宋体" w:eastAsia="宋体" w:cs="宋体"/>
                <w:color w:val="auto"/>
                <w:sz w:val="21"/>
                <w:szCs w:val="21"/>
                <w:highlight w:val="none"/>
                <w:lang w:bidi="zh-CN"/>
              </w:rPr>
              <w:t>设计压力大</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bidi="zh-CN"/>
              </w:rPr>
              <w:t>或等于l0MPa的管子和管件，外表面应逐件进行表面无损检测，且不得有线性缺陷。</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15.2.6 设计压力大于或等于l0MPa的管子和管件，外表面应逐件进行磁粉或渗透检测，检渊结果应符合现行行业标准《承压设备无损检测第4部分：磁粉检测》NB/T47013.4-2015中的1级和《承压设备无损检测第5部分：渗透检测》NB/T47013.5-2015中的I级的规定，且不得有线性缺陷。经磁粉或渗透检测发现的表面缺陷应进行修</w:t>
            </w:r>
            <w:r>
              <w:rPr>
                <w:rFonts w:hint="eastAsia" w:ascii="宋体" w:hAnsi="宋体" w:eastAsia="宋体" w:cs="宋体"/>
                <w:color w:val="auto"/>
                <w:sz w:val="21"/>
                <w:szCs w:val="21"/>
                <w:highlight w:val="none"/>
              </w:rPr>
              <w:t>磨</w:t>
            </w:r>
            <w:r>
              <w:rPr>
                <w:rFonts w:hint="eastAsia" w:ascii="宋体" w:hAnsi="宋体" w:eastAsia="宋体" w:cs="宋体"/>
                <w:color w:val="auto"/>
                <w:sz w:val="21"/>
                <w:szCs w:val="21"/>
                <w:highlight w:val="none"/>
                <w:lang w:bidi="zh-CN"/>
              </w:rPr>
              <w:t>。修磨后的实际壁厚不得小于管子名义厚度的90%、且不得小于设计壁厚。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计量仪器的检定应符合相关标准要求。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bidi="zh-CN"/>
              </w:rPr>
              <w:t>.2.7 计量仪器应经过检定处于合格状态，并应在有效检定期内。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设备、管道组成件的开箱检验应符合相关标准要求。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15.2.8 设备的开箱检验应由采购单位组织，供货单位、施工单位、建设单位等有关人员参加，并应按装箱清单进行下列检查：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val="zh-CN"/>
              </w:rPr>
              <w:t>应核对设备的名称、型号、规格、包装箱号、箱数，并应检查包装状况；</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zh-CN"/>
              </w:rPr>
              <w:t>应检查随机技术资料及专用工具；</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zh-CN"/>
              </w:rPr>
              <w:t>应对主机、附属设备及零部件进行外观检查，并应核实笭部件的品种、规格、数</w:t>
            </w:r>
            <w:r>
              <w:rPr>
                <w:rFonts w:hint="eastAsia" w:ascii="宋体" w:hAnsi="宋体" w:eastAsia="宋体" w:cs="宋体"/>
                <w:color w:val="auto"/>
                <w:sz w:val="21"/>
                <w:szCs w:val="21"/>
                <w:highlight w:val="none"/>
              </w:rPr>
              <w:t>据</w:t>
            </w:r>
            <w:r>
              <w:rPr>
                <w:rFonts w:hint="eastAsia" w:ascii="宋体" w:hAnsi="宋体" w:eastAsia="宋体" w:cs="宋体"/>
                <w:color w:val="auto"/>
                <w:sz w:val="21"/>
                <w:szCs w:val="21"/>
                <w:highlight w:val="none"/>
                <w:lang w:val="zh-CN"/>
              </w:rPr>
              <w:t>等；</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zh-CN"/>
              </w:rPr>
              <w:t>检验后应提交有参与各方签字的检验记录。</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15.2.9 可燃介质管道的组成件应有产品标识，并应按现行国家标准《石油化工金属管道工程施工质量验收规范》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50517的有关规定进行检验。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油罐在安装前应按规定进行检查。</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bidi="zh-CN"/>
              </w:rPr>
              <w:t>.2.10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bidi="zh-CN"/>
              </w:rPr>
              <w:t>油罐在安装前应进行下列检查：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bidi="zh-CN"/>
              </w:rPr>
              <w:t>钢制油罐应进行压力试验，试验用压力表精度不应低于</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bidi="zh-CN"/>
              </w:rPr>
              <w:t>级，试验介质应为温度不低于</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℃的洁净水，试验压力应为</w:t>
            </w: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bidi="zh-CN"/>
              </w:rPr>
              <w:t>MPa。升压至</w:t>
            </w:r>
            <w:r>
              <w:rPr>
                <w:rFonts w:hint="eastAsia" w:ascii="宋体" w:hAnsi="宋体" w:eastAsia="宋体" w:cs="宋体"/>
                <w:color w:val="auto"/>
                <w:sz w:val="21"/>
                <w:szCs w:val="21"/>
                <w:highlight w:val="none"/>
              </w:rPr>
              <w:t>0.1</w:t>
            </w:r>
            <w:r>
              <w:rPr>
                <w:rFonts w:hint="eastAsia" w:ascii="宋体" w:hAnsi="宋体" w:eastAsia="宋体" w:cs="宋体"/>
                <w:color w:val="auto"/>
                <w:sz w:val="21"/>
                <w:szCs w:val="21"/>
                <w:highlight w:val="none"/>
                <w:lang w:bidi="zh-CN"/>
              </w:rPr>
              <w:t>MPa后，应停压lOmin，然后降至O.08MPa，再停压30min，应以不降压、无泄涌和无变形为合格。压力试验后，应及时清除练内的积水及焊渣等污物。</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bidi="zh-CN"/>
              </w:rPr>
              <w:t>双层油罐内层与外层之间的间隙应以35kPa空气静压进行正压或真空度渗</w:t>
            </w:r>
            <w:r>
              <w:rPr>
                <w:rFonts w:hint="eastAsia" w:ascii="宋体" w:hAnsi="宋体" w:eastAsia="宋体" w:cs="宋体"/>
                <w:color w:val="auto"/>
                <w:sz w:val="21"/>
                <w:szCs w:val="21"/>
                <w:highlight w:val="none"/>
              </w:rPr>
              <w:t>漏</w:t>
            </w:r>
            <w:r>
              <w:rPr>
                <w:rFonts w:hint="eastAsia" w:ascii="宋体" w:hAnsi="宋体" w:eastAsia="宋体" w:cs="宋体"/>
                <w:color w:val="auto"/>
                <w:sz w:val="21"/>
                <w:szCs w:val="21"/>
                <w:highlight w:val="none"/>
                <w:lang w:bidi="zh-CN"/>
              </w:rPr>
              <w:t>检测，持压30min，不降</w:t>
            </w:r>
            <w:r>
              <w:rPr>
                <w:rFonts w:hint="eastAsia" w:ascii="宋体" w:hAnsi="宋体" w:eastAsia="宋体" w:cs="宋体"/>
                <w:color w:val="auto"/>
                <w:sz w:val="21"/>
                <w:szCs w:val="21"/>
                <w:highlight w:val="none"/>
              </w:rPr>
              <w:t>压</w:t>
            </w:r>
            <w:r>
              <w:rPr>
                <w:rFonts w:hint="eastAsia" w:ascii="宋体" w:hAnsi="宋体" w:eastAsia="宋体" w:cs="宋体"/>
                <w:color w:val="auto"/>
                <w:sz w:val="21"/>
                <w:szCs w:val="21"/>
                <w:highlight w:val="none"/>
                <w:lang w:bidi="zh-CN"/>
              </w:rPr>
              <w:t>、无泄漏为合格，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bidi="zh-CN"/>
              </w:rPr>
              <w:t>油罐在制造厂已进行压力试验并有压力试验合格报告．经现场外观检查罐体</w:t>
            </w:r>
            <w:r>
              <w:rPr>
                <w:rFonts w:hint="eastAsia" w:ascii="宋体" w:hAnsi="宋体" w:eastAsia="宋体" w:cs="宋体"/>
                <w:color w:val="auto"/>
                <w:sz w:val="21"/>
                <w:szCs w:val="21"/>
                <w:highlight w:val="none"/>
              </w:rPr>
              <w:t>无</w:t>
            </w:r>
            <w:r>
              <w:rPr>
                <w:rFonts w:hint="eastAsia" w:ascii="宋体" w:hAnsi="宋体" w:eastAsia="宋体" w:cs="宋体"/>
                <w:color w:val="auto"/>
                <w:sz w:val="21"/>
                <w:szCs w:val="21"/>
                <w:highlight w:val="none"/>
                <w:lang w:bidi="zh-CN"/>
              </w:rPr>
              <w:t>损伤，且双层油罐内外层之间的间隙持压符合本条第2款的要求时，施工现场可不进行压力试验。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bidi="zh-CN"/>
              </w:rPr>
              <w:t>橇装式加</w:t>
            </w:r>
            <w:r>
              <w:rPr>
                <w:rFonts w:hint="eastAsia" w:ascii="宋体" w:hAnsi="宋体" w:eastAsia="宋体" w:cs="宋体"/>
                <w:color w:val="auto"/>
                <w:sz w:val="21"/>
                <w:szCs w:val="21"/>
                <w:highlight w:val="none"/>
              </w:rPr>
              <w:t>油</w:t>
            </w:r>
            <w:r>
              <w:rPr>
                <w:rFonts w:hint="eastAsia" w:ascii="宋体" w:hAnsi="宋体" w:eastAsia="宋体" w:cs="宋体"/>
                <w:color w:val="auto"/>
                <w:sz w:val="21"/>
                <w:szCs w:val="21"/>
                <w:highlight w:val="none"/>
                <w:lang w:bidi="zh-CN"/>
              </w:rPr>
              <w:t>装置油绕的内罐的耐压试验应符合国家现行标准《压力容器第4部分：制造、检验和验收》GB/T150.4和《石油化工钢制压力容器》SH</w:t>
            </w:r>
            <w:r>
              <w:rPr>
                <w:rFonts w:hint="eastAsia" w:ascii="宋体" w:hAnsi="宋体" w:eastAsia="宋体" w:cs="宋体"/>
                <w:color w:val="auto"/>
                <w:sz w:val="21"/>
                <w:szCs w:val="21"/>
                <w:highlight w:val="none"/>
                <w:lang w:val="en-US" w:bidi="zh-CN"/>
              </w:rPr>
              <w:t>/</w:t>
            </w:r>
            <w:r>
              <w:rPr>
                <w:rFonts w:hint="eastAsia" w:ascii="宋体" w:hAnsi="宋体" w:eastAsia="宋体" w:cs="宋体"/>
                <w:color w:val="auto"/>
                <w:sz w:val="21"/>
                <w:szCs w:val="21"/>
                <w:highlight w:val="none"/>
                <w:lang w:bidi="zh-CN"/>
              </w:rPr>
              <w:t>T3074的有关规定；外罐压力试验应符合本条第1款～第3款的规定。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15.2.11 LPG储瞄、LNG储雒和CNG储气瓶安装前，应检查确认内部无水、油和焊渣等污物。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3.1.2.8</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埋地</w:t>
            </w:r>
            <w:r>
              <w:rPr>
                <w:rFonts w:hint="eastAsia" w:ascii="宋体" w:hAnsi="宋体" w:eastAsia="宋体" w:cs="宋体"/>
                <w:color w:val="auto"/>
                <w:sz w:val="21"/>
                <w:szCs w:val="21"/>
                <w:highlight w:val="none"/>
              </w:rPr>
              <w:t>油</w:t>
            </w:r>
            <w:r>
              <w:rPr>
                <w:rFonts w:hint="eastAsia" w:ascii="宋体" w:hAnsi="宋体" w:eastAsia="宋体" w:cs="宋体"/>
                <w:color w:val="auto"/>
                <w:sz w:val="21"/>
                <w:szCs w:val="21"/>
                <w:highlight w:val="none"/>
                <w:lang w:bidi="zh-CN"/>
              </w:rPr>
              <w:t>罐的罐体质</w:t>
            </w:r>
            <w:r>
              <w:rPr>
                <w:rFonts w:hint="eastAsia" w:ascii="宋体" w:hAnsi="宋体" w:eastAsia="宋体" w:cs="宋体"/>
                <w:color w:val="auto"/>
                <w:sz w:val="21"/>
                <w:szCs w:val="21"/>
                <w:highlight w:val="none"/>
              </w:rPr>
              <w:t>量</w:t>
            </w:r>
            <w:r>
              <w:rPr>
                <w:rFonts w:hint="eastAsia" w:ascii="宋体" w:hAnsi="宋体" w:eastAsia="宋体" w:cs="宋体"/>
                <w:color w:val="auto"/>
                <w:sz w:val="21"/>
                <w:szCs w:val="21"/>
                <w:highlight w:val="none"/>
                <w:lang w:bidi="zh-CN"/>
              </w:rPr>
              <w:t>检验应符合相关标准要求。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《汽车加油加气加氢站技术标准》GB50156-202</w:t>
            </w:r>
            <w:r>
              <w:rPr>
                <w:rFonts w:hint="eastAsia" w:ascii="宋体" w:hAnsi="宋体" w:eastAsia="宋体" w:cs="宋体"/>
                <w:color w:val="auto"/>
                <w:sz w:val="21"/>
                <w:szCs w:val="21"/>
                <w:highlight w:val="none"/>
              </w:rPr>
              <w:t>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zh-CN"/>
              </w:rPr>
              <w:t>2.1</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bidi="zh-CN"/>
              </w:rPr>
              <w:t>埋地</w:t>
            </w:r>
            <w:r>
              <w:rPr>
                <w:rFonts w:hint="eastAsia" w:ascii="宋体" w:hAnsi="宋体" w:eastAsia="宋体" w:cs="宋体"/>
                <w:color w:val="auto"/>
                <w:sz w:val="21"/>
                <w:szCs w:val="21"/>
                <w:highlight w:val="none"/>
              </w:rPr>
              <w:t>油</w:t>
            </w:r>
            <w:r>
              <w:rPr>
                <w:rFonts w:hint="eastAsia" w:ascii="宋体" w:hAnsi="宋体" w:eastAsia="宋体" w:cs="宋体"/>
                <w:color w:val="auto"/>
                <w:sz w:val="21"/>
                <w:szCs w:val="21"/>
                <w:highlight w:val="none"/>
                <w:lang w:bidi="zh-CN"/>
              </w:rPr>
              <w:t>罐的罐体质</w:t>
            </w:r>
            <w:r>
              <w:rPr>
                <w:rFonts w:hint="eastAsia" w:ascii="宋体" w:hAnsi="宋体" w:eastAsia="宋体" w:cs="宋体"/>
                <w:color w:val="auto"/>
                <w:sz w:val="21"/>
                <w:szCs w:val="21"/>
                <w:highlight w:val="none"/>
              </w:rPr>
              <w:t>量</w:t>
            </w:r>
            <w:r>
              <w:rPr>
                <w:rFonts w:hint="eastAsia" w:ascii="宋体" w:hAnsi="宋体" w:eastAsia="宋体" w:cs="宋体"/>
                <w:color w:val="auto"/>
                <w:sz w:val="21"/>
                <w:szCs w:val="21"/>
                <w:highlight w:val="none"/>
                <w:lang w:bidi="zh-CN"/>
              </w:rPr>
              <w:t>检验应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bidi="zh-CN"/>
              </w:rPr>
              <w:t>油罐就位前进行、并应有记录，质量检验</w:t>
            </w:r>
            <w:r>
              <w:rPr>
                <w:rFonts w:hint="eastAsia" w:ascii="宋体" w:hAnsi="宋体" w:eastAsia="宋体" w:cs="宋体"/>
                <w:color w:val="auto"/>
                <w:sz w:val="21"/>
                <w:szCs w:val="21"/>
                <w:highlight w:val="none"/>
                <w:lang w:val="zh-CN" w:bidi="zh-CN"/>
              </w:rPr>
              <w:t>应包括下列内容：</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val="zh-CN"/>
              </w:rPr>
              <w:t>油罐直径、壁厚、公称容</w:t>
            </w:r>
            <w:r>
              <w:rPr>
                <w:rFonts w:hint="eastAsia" w:ascii="宋体" w:hAnsi="宋体" w:eastAsia="宋体" w:cs="宋体"/>
                <w:color w:val="auto"/>
                <w:sz w:val="21"/>
                <w:szCs w:val="21"/>
                <w:highlight w:val="none"/>
              </w:rPr>
              <w:t>量</w:t>
            </w:r>
            <w:r>
              <w:rPr>
                <w:rFonts w:hint="eastAsia" w:ascii="宋体" w:hAnsi="宋体" w:eastAsia="宋体" w:cs="宋体"/>
                <w:color w:val="auto"/>
                <w:sz w:val="21"/>
                <w:szCs w:val="21"/>
                <w:highlight w:val="none"/>
                <w:lang w:val="zh-CN"/>
              </w:rPr>
              <w:t>；</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zh-CN"/>
              </w:rPr>
              <w:t>出厂日期和使用记录；</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zh-CN"/>
              </w:rPr>
              <w:t>腐蚀情况及技术鉴定合格报告；</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zh-CN"/>
              </w:rPr>
              <w:t>压力试验合格报告。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3.1.3</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设备基础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设备基础</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混凝土设备基础模板、钢筋和混凝土工程施工应符合相关标准要求。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15.3.6 混凝土设备基础模板、钢筋和混凝土工程施工除应符合现行行业标准《石油化工设备混凝土基础工程施工质量验收规范》SH/T3510的有关规定外，尚应符合下列规定；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拆除模板时基础混凝土达到的强度不应低于设计强度的40%。</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钢筋的混凝土保护层厚度允许偏差应为</w:t>
            </w:r>
            <w:r>
              <w:rPr>
                <w:rFonts w:hint="eastAsia" w:ascii="宋体" w:hAnsi="宋体" w:eastAsia="宋体" w:cs="宋体"/>
                <w:color w:val="auto"/>
                <w:sz w:val="21"/>
                <w:szCs w:val="21"/>
                <w:highlight w:val="none"/>
                <w:lang w:val="en-US" w:bidi="zh-CN"/>
              </w:rPr>
              <w:t>±</w:t>
            </w:r>
            <w:r>
              <w:rPr>
                <w:rFonts w:hint="eastAsia" w:ascii="宋体" w:hAnsi="宋体" w:eastAsia="宋体" w:cs="宋体"/>
                <w:color w:val="auto"/>
                <w:sz w:val="21"/>
                <w:szCs w:val="21"/>
                <w:highlight w:val="none"/>
                <w:lang w:bidi="zh-CN"/>
              </w:rPr>
              <w:t>10mm。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设备基础的工程质量应符合下列规定：</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1）基础混凝土不得有裂缝、蜂窝、露筋等缺陷；</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2）础周围土方应夯实、整平；</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3）螺栓应无损坏、腐蚀，螺栓预留孔和预留洞中的积水、杂物应清理干净：</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4）设备基础应标出轴线和标高基础的允许偏差应符合表15.3.6的规定；</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5）由多个独立基础组成的设备基础各个基础</w:t>
            </w:r>
            <w:r>
              <w:rPr>
                <w:rFonts w:hint="eastAsia" w:ascii="宋体" w:hAnsi="宋体" w:eastAsia="宋体" w:cs="宋体"/>
                <w:color w:val="auto"/>
                <w:sz w:val="21"/>
                <w:szCs w:val="21"/>
                <w:highlight w:val="none"/>
                <w:lang w:val="en-US" w:bidi="zh-CN"/>
              </w:rPr>
              <w:t>间</w:t>
            </w:r>
            <w:r>
              <w:rPr>
                <w:rFonts w:hint="eastAsia" w:ascii="宋体" w:hAnsi="宋体" w:eastAsia="宋体" w:cs="宋体"/>
                <w:color w:val="auto"/>
                <w:sz w:val="21"/>
                <w:szCs w:val="21"/>
                <w:highlight w:val="none"/>
                <w:lang w:bidi="zh-CN"/>
              </w:rPr>
              <w:t>的轴线、标高等的允许偏差应按表15.3.6的规定检查。</w:t>
            </w:r>
          </w:p>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表15.3.6</w:t>
            </w:r>
            <w:r>
              <w:rPr>
                <w:rFonts w:hint="eastAsia" w:ascii="宋体" w:hAnsi="宋体" w:eastAsia="宋体" w:cs="宋体"/>
                <w:color w:val="auto"/>
                <w:sz w:val="21"/>
                <w:szCs w:val="21"/>
                <w:highlight w:val="none"/>
                <w:lang w:val="en-US" w:bidi="zh-CN"/>
              </w:rPr>
              <w:t xml:space="preserve"> </w:t>
            </w:r>
            <w:r>
              <w:rPr>
                <w:rFonts w:hint="eastAsia" w:ascii="宋体" w:hAnsi="宋体" w:eastAsia="宋体" w:cs="宋体"/>
                <w:color w:val="auto"/>
                <w:sz w:val="21"/>
                <w:szCs w:val="21"/>
                <w:highlight w:val="none"/>
                <w:lang w:bidi="zh-CN"/>
              </w:rPr>
              <w:t>块体式设备基础的允许偏差（mm）</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2433"/>
              <w:gridCol w:w="4175"/>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项次</w:t>
                  </w:r>
                </w:p>
              </w:tc>
              <w:tc>
                <w:tcPr>
                  <w:tcW w:w="30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轴线位置</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不同平面的标高（不计表面灌浆层厚度）</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平面外形尺寸</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凸台上平面外形尺寸</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凹穴平面尺寸</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2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平面度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包括地坪上需安装设备部分</w:t>
                  </w:r>
                  <w:r>
                    <w:rPr>
                      <w:rFonts w:hint="eastAsia" w:ascii="宋体" w:hAnsi="宋体" w:eastAsia="宋体" w:cs="宋体"/>
                      <w:color w:val="auto"/>
                      <w:sz w:val="21"/>
                      <w:szCs w:val="21"/>
                      <w:highlight w:val="none"/>
                      <w:lang w:eastAsia="zh-CN"/>
                    </w:rPr>
                    <w:t>）</w:t>
                  </w: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每米</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全长</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2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侧面垂直度</w:t>
                  </w: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每米</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全高</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2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预埋地脚螺栓</w:t>
                  </w: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标高（顶端）</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螺栓中心圆直径</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中心距（在根部和顶部两处测量）</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2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地脚螺栓预留孔</w:t>
                  </w: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中心线位置</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深度</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孔中心线铅垂度</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2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预埋件</w:t>
                  </w: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标高（平面）</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中心线位置</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2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9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水平度</w:t>
                  </w:r>
                </w:p>
              </w:tc>
              <w:tc>
                <w:tcPr>
                  <w:tcW w:w="1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bl>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基础交付设备安装时，混凝土强度不应低于设计强度的75%。</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当对设备基础有沉降扯要求时，应在找正、找平及底座二次灌浆完成并达到规定强度后．按下列程序进行沉降观测，应以基础均匀沉降且6d内累计沉降不大于12mm为合格：</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1）应设置观测基准点和液位观测标识；</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2）按设备容积的1/3分期注水．每期稳定时间不得少于12h；</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3）设备充满水后观测时间不得少于6d。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3.1.4</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工艺设备安装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当基础交付安装时，安装单位应按相关标准要求进行检查、复测。</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bidi="zh-CN"/>
              </w:rPr>
              <w:t>当基础交付安装时，基础混凝土强度不得低于设计强度的75%。基础施工单位应提交测量记录及技术资料，安装单位应按本规范第</w:t>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bidi="zh-CN"/>
              </w:rPr>
              <w:t>3条的要求进行相关数据的复测。</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bidi="zh-CN"/>
              </w:rPr>
              <w:t>基础施工单位应在交付的基础上画出标高基准线和纵、横中心线；有沉降观测要求的基础，应有沉降观测点。</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卧式设备滑动端基础预埋板的上表面应光滑平整，不得有挂渣、飞溅物。水平度为2mm/m。混凝土基础抹面不得高出预埋板的上表面。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静设备的安装应符合</w:t>
            </w:r>
            <w:r>
              <w:rPr>
                <w:rFonts w:hint="eastAsia" w:ascii="宋体" w:hAnsi="宋体" w:eastAsia="宋体" w:cs="宋体"/>
                <w:color w:val="auto"/>
                <w:sz w:val="21"/>
                <w:szCs w:val="21"/>
                <w:highlight w:val="none"/>
              </w:rPr>
              <w:t>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.4.2 静设备的安装应符合现行国家标准《石油化工静设备安装工程施工质量验收规范》GB50461的有关规定。安装允许偏差应符合表13.4.2的规定。</w:t>
            </w:r>
          </w:p>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表1</w:t>
            </w:r>
            <w:r>
              <w:rPr>
                <w:rFonts w:hint="eastAsia" w:ascii="宋体" w:hAnsi="宋体" w:eastAsia="宋体" w:cs="宋体"/>
                <w:color w:val="auto"/>
                <w:sz w:val="21"/>
                <w:szCs w:val="21"/>
                <w:highlight w:val="none"/>
                <w:lang w:bidi="zh-CN"/>
              </w:rPr>
              <w:t>5</w:t>
            </w:r>
            <w:r>
              <w:rPr>
                <w:rFonts w:hint="eastAsia" w:ascii="宋体" w:hAnsi="宋体" w:eastAsia="宋体" w:cs="宋体"/>
                <w:color w:val="auto"/>
                <w:sz w:val="21"/>
                <w:szCs w:val="21"/>
                <w:highlight w:val="none"/>
                <w:lang w:val="zh-CN" w:bidi="zh-CN"/>
              </w:rPr>
              <w:t>.4.2  设备安装允许偏差（mm）</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3134"/>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检查项目</w:t>
                  </w:r>
                </w:p>
              </w:tc>
              <w:tc>
                <w:tcPr>
                  <w:tcW w:w="21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中心线位置</w:t>
                  </w:r>
                </w:p>
              </w:tc>
              <w:tc>
                <w:tcPr>
                  <w:tcW w:w="21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标高</w:t>
                  </w:r>
                </w:p>
              </w:tc>
              <w:tc>
                <w:tcPr>
                  <w:tcW w:w="21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储罐水平度</w:t>
                  </w:r>
                </w:p>
              </w:tc>
              <w:tc>
                <w:tcPr>
                  <w:tcW w:w="1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轴向</w:t>
                  </w:r>
                </w:p>
              </w:tc>
              <w:tc>
                <w:tcPr>
                  <w:tcW w:w="21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L/1000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p>
              </w:tc>
              <w:tc>
                <w:tcPr>
                  <w:tcW w:w="1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径向</w:t>
                  </w:r>
                </w:p>
              </w:tc>
              <w:tc>
                <w:tcPr>
                  <w:tcW w:w="21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2D/1000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塔器垂直度</w:t>
                  </w:r>
                </w:p>
              </w:tc>
              <w:tc>
                <w:tcPr>
                  <w:tcW w:w="21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H/1000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5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塔器方位（沿底座环圆周测量）</w:t>
                  </w:r>
                </w:p>
              </w:tc>
              <w:tc>
                <w:tcPr>
                  <w:tcW w:w="21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10</w:t>
                  </w:r>
                </w:p>
              </w:tc>
            </w:tr>
          </w:tbl>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15.4.3 油罐安装就位后，应按本标准第15.3.6条第5款的规定进行注水沉降。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15.4.4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bidi="zh-CN"/>
              </w:rPr>
              <w:t>静设备封孔前应清除内部的泥沙和杂物，并应经建设或监理单位代表检查确认后再封闭。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地脚螺栓的埋设应符合相关标准要求。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 地脚螺栓的螺纹应无损坏、无锈蚀，且应有保护措施。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 预留孔地脚螺栓的埋设应符合以下规定：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地脚螺栓在预留孔中应垂直。</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地脚螺栓任一部位与孔壁的距离不应小于15mm，与孔底的距离应大于50mm。</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4.2.3 预留孔中的混凝土达到设计强度后，方可拧紧地脚螺栓。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4.2.4 地脚螺栓的螺母和垫圈齐全，锁紧螺母与螺母、螺母与垫圈、垫圈与设备底座间的接触应良好。紧固后螺纹露出螺母不应少于2个螺距。螺纹外露部分应涂防锈脂。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垫铁组找正、找平时，垫铁的选用和设置应符合相关标准要求。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设备</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垫铁组找正、找平时，垫铁规格宜按本规范附录A选用，并按下列规定设置垫铁组：</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裙式支座每个地脚螺栓近旁应至少设置1组垫铁；鞍式支座、耳式支座每个地脚螺栓应对称设置2组垫铁；球形储罐支柱式支座，每个地脚螺栓近旁应对称设置2组垫铁；其他支柱式支座每个地脚螺栓近旁宜放置1组垫铁。</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有加强筋的设备支座，垫铁应垫在加强筋下。</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相邻两垫铁组的中心距不应大于500mm。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垫铁组高度宜为30〜80mm。</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设备找正后，各组垫铁均应被压紧，垫铁之间和垫铁与支 座之间应均匀接触，垫铁应露出设备支座底板外缘10〜30mm，垫铁组伸入支座底板长度应超过地脚螺栓。垫铁组层间应进行焊接固定。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支柱式设备每组垫铁的块数不应超过3块，其他设备每组垫铁的块数不应超过5块；斜垫铁下面应有平垫铁，放置平垫铁时，最厚的放在下面，薄的放在中间；斜垫铁应成对相向使用，搭接长度不应小于全长的3/4。</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焊后进行整体热处理的球形储罐，在支柱底板与垫铁组之间应设置滑动底板。</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4.3.5 安装在钢构架基础上的设备找正后，其垫铁与钢构架基础应焊牢。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3.1.4.5</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设备安装质量应符合相关标准要求。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 立式设备安装质量应符合表4.4.1的规定。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4.4.2 分段法兰连接的立式设备，组装时筒体法兰密封面应清理干净。组装成整体后筒体的直线度应符合本规范表5.2.9-3的规定，安装质量应符合本规范表4.4.1的规定。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4.4.3 卧式设备安装质量应符合表4.4.3的规定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卧式设备滑动</w:t>
            </w:r>
            <w:r>
              <w:rPr>
                <w:rFonts w:hint="eastAsia" w:ascii="宋体" w:hAnsi="宋体" w:eastAsia="宋体" w:cs="宋体"/>
                <w:color w:val="auto"/>
                <w:sz w:val="21"/>
                <w:szCs w:val="21"/>
                <w:highlight w:val="none"/>
                <w:lang w:eastAsia="zh-CN"/>
              </w:rPr>
              <w:t>端的</w:t>
            </w:r>
            <w:r>
              <w:rPr>
                <w:rFonts w:hint="eastAsia" w:ascii="宋体" w:hAnsi="宋体" w:eastAsia="宋体" w:cs="宋体"/>
                <w:color w:val="auto"/>
                <w:sz w:val="21"/>
                <w:szCs w:val="21"/>
                <w:highlight w:val="none"/>
              </w:rPr>
              <w:t>脚螺栓宜处于支座长圆孔的中间，位置偏差应偏向补偿温度变化所引起的伸缩方向；支座滑动表面清理干净，并涂润滑剂；设备配管结束后，松动滑动端支座地脚螺栓螺母，使其与支座板面间留有1〜3mm间隙，并紧固锁紧螺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 直连式设备安装应按制造厂的标识进行组装，其安装质量应符合本规范表4.4.3的规定。设备支座间的调整垫板应焊在下层设备的支座上。</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4.4.6 套管式换热器安装应保证整体水平，其安装质量应符合本规范表4.4.3的规定。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4.4.7 板片式换热器上、下导杆滑动表面和夹紧螺杆表面应清洗干净，并涂润滑脂。压紧板上的滚动轴承应清洁、转动灵活，并加润滑脂；在防爆环境中，应加防爆润滑脂。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夹紧螺杆安装应交错对称均匀拧紧，管片侧面板边端处应平齐，压紧板安装后平行度应符合下列要求：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压紧板夹紧尺寸小于1000mm时为2mm。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 压紧板夹紧尺寸大于或等于1000mm时为4mm</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4.4.8 空冷式换热器安装后应松开管箱与侧梁连接的滑动螺栓。空冷式换热器管束安装质量应符合表4.4.8的规定。空冷式换热器构架施工质量应符合本规范附录B的有关规定。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4.4.9 球形储罐安装质量应符合表4.4.9的规定。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4.4.10 带有膨胀节的设备，其膨胀节外部壳体上固定板或固定螺栓在系统冲洗吹扫后方可拆除或松开。</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4.4.11 设计文件要求热态、冷态紧固且设计文件无规定时，螺栓热态紧固或冷态紧固应符合下列规定：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紧固作业温度及次数应符合表4.4.11的规定。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螺栓热态紧固或冷态紧固应在保持操作温度24h后进行。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紧固时设备最大内压力应符合下列规定：</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1）设计压力小于或等于6MPa时，热态紧固最大内压力为0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3MPa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2）设计压力大于6MPa时，热态紧固最大内压力为5MPa</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3）冷态紧固应卸压。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kern w:val="2"/>
                <w:sz w:val="21"/>
                <w:szCs w:val="21"/>
                <w:highlight w:val="none"/>
                <w:lang w:val="en-US" w:eastAsia="zh-CN" w:bidi="zh-CN"/>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lang w:bidi="zh-CN"/>
              </w:rPr>
              <w:t>《燃气工程项目规范》GB55009-2021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lang w:bidi="zh-CN"/>
              </w:rPr>
              <w:t>4.2.3</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lang w:bidi="zh-CN"/>
              </w:rPr>
              <w:t>设备、管道及附件的连接采用焊接时，焊接后的焊口强度不应低于母材强度。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地脚螺栓预留孔或二次灌浆层灌浆应符合相关标准要求。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 灌浆前应用水将基础表面冲洗干净，保持湿润不应少于24h。地脚螺栓孔灌浆前1h应吸干积水，清除预留孔中的杂物，二次灌浆应在设备找正、找平、隐蔽工程检验合格后进行。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4.5.2 </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垫铁安装的设备二次灌浆材料宜</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细石混凝土，其强度等级应比基础混凝土强度等级高一级。无垫铁安装的设备二次灌浆材料应</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微胀混凝土，并制作同条件试块。</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4.5.3 地脚螺栓预留孔或二次灌浆层灌浆应一次完成。立式设备裙座内部灌浆面应与底座环上表面平齐。设备支座底板外缘的灌浆层应压实抹光，上表面应略有向外的坡度，高度应略低于设备支座底板边缘的上表面。</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4.5.4 无垫铁安装的二次灌浆层达到设计强度的75%以上时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方可松开顶丝或取出临时支撑件，并复测设备水平度，检查地脚螺栓的紧固程度，将支撑件的空隙用与二次灌浆同样的灌浆料填实。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塔类设备内件的复验及安装质量应符合相关标准要求。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4.6.1 设备内件安装前应清除表面油污、焊渣、铁锈、泥沙、毛刺等杂物。设备内部应清扫干净。</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4.6.2 塔类设备内件的复验及安装质量应符合本规范附录C的有关规定。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3.1.4.8</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平台、梯子安装质量应符合相关标准要求。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4.8.1 焊接要求预热的设备，与其相焊的平台、梯子连接件焊前应按设备焊接工艺要求进行预热</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4.8.2 焊后进行热处理的设备，与其相焊的平台、梯子的连接件应在热处理之前焊接完。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3.1.4.9</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设备清洗或清理（包括酸洗、钝化等）应符合相关标准要求。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4.9.1 设备酸洗、钝化处理后质量检验方法和合格标准应符合下述规定：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酸洗和钝化并用水冲洗后，用0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01%甲基橙精溶液滴于设备酸洗钝化后的表面，以不出现红色为合格。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钝化膜的检验在同条件下进行表面处理的试板上进行，将赤血盐10g溶于500mL水中，加10mL浓硫酸和20mL浓盐酸，稀释至1000mL作为试液滴于被清洗的表面，0.5〜1min内不出现深蓝色为合格。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4.9.2 奥氏体不锈钢设备水冲洗用水的氯离子含量不应超过25mg/L。</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4.9.4 铝和铝合金制设备化学清洗后不得有水迹或碱迹。</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4.9.6 设备封闭前内部应进行清理，不得有附着物及杂物。</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4.9.7 设备清洗或清理合格后应进行封闭。充氮保护的设备，氮气压力不应小于0.02MPa。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3.1.4.10</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CNG储气井和氢气储气井的建造应符合相关标准要求。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 CNG储气井和氢气储气井的建造除应符合现行行业标准《储气井工程技术规范》SH/T3216的有关规定外，尚应符合下列规定：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储气井井简与地层之间的环形空隙应用硅酸盐水泥全井段填充，固井水泥浆应返出地面，且填充水泥浆的体积不应小于空隙的理论计算体积，密度不应小于1650kg /mR；</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储气井应根据所处环境条件进行防腐蚀设计及处理；</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储气井组宜在井口装置下端面至地下埋深不小于1.5m，以井口中心点为中心且半径不小于1.0m的范围内采用C30钢筋混凝土进行加强固定；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储气井的钻井和固井施工应由工程监理单位进行过程监理，并应取得“工程质量评估报告”；</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储气井地上部分的建造，检验和验收尚应符合现行行业标准《钢制压力容器——分析设计标准》JB4732的有关规定。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3.1.4.11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工艺设备安装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压缩机与泵的安装应符合相关标准要求。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15.4.10 压缩机与泵的安装应符合现行国家标准《风机、压缩机、泵安装工程施工及验收规范》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50275</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15.4.11 压缩机在负荷试运转中应进行下列各项检查和记录∶</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润滑油的压力、温度和各部位的供油情况；</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各级吸、排气的温度和压力；</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各级进、排水的温度、压力和冷却水的供应情况；</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各级吸、排气阀的工作应无异常现象；</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运动部件无异常响声</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连接部位无漏气、漏油或漏水现象；</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连接部位无松动现象；</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气量调节装置灵敏；</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主轴承、滑道、填函等主要摩擦部位的温度；</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电动机的电流、电压、温升；</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自动控制装置应灵敏、可靠。</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15.4.12 压缩机进行模拟负荷试运转后，应采用悄性气体对工艺系统进行整体置换。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3.1.5</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工艺管道安装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管沟开挖应符合相关标准要求。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《石油天然气建设工程施工质量验收规范站内工艺管道工程》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4203-2019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 管沟开挖前，应对地下的构筑物、电缆、管道等障碍物进行定位，在开挖过程中应采取保护措施。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8.1.2 测量放线应按设计文件要求进行，并应按管道水平中心线及管沟上口宽度，打好开挖管沟的边线桩，并应标出开挖深度，用消石灰标出管沟的边界线。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管道下沟应符合相关标准要求。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《石油天然气建设工程施工质量验收规范站内工艺管道工程》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4203-2019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 管道下沟前应符合下列要求：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沟内应无塌方、硬土（石）块和积水，岩石沟底，应用砂或细土铺垫。</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管沟尺寸复测应符合设计文件要求。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管道防腐层应经电火花检漏仪检查，检测电压应符合设计文件规定。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管沟回填前应符合下列要求：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管道焊缝应经无损检测合格。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外防腐绝缘层检漏应合格。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隐蔽工程验收应合格。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 管顶以上300mm内应采用人工回填；回填土应分层夯实，每层200mm-300mm，夯实后的土壤密实度应符合设计文件要求和现行国家标准《石油天然气站内工艺管道工程施工规范》GB50540的要求。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 石方段管沟回填应符合设计文件要求；设计无要求时，管道周围300mm范围内应采用细土回填。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工艺管道安装应符合相关标准要求。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15.5.1 与储罐连接的管道应在储罐安装就位并经注水或承重沉降试验稳定后进行安装。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《石油天然气建设工程施工质量验收规范站内工艺管道工程》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4203-2019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bidi="zh-CN"/>
              </w:rPr>
              <w:t>.1.1 钢管下料和管件加工应符合单线图规定。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4.1.2 钢管下料和管件加工应在预制平台上进行，平台尺寸应大于管道预制件的最大尺寸。</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5.1.1 管道安装前，应对埋地管道与埋地电缆、给排水管道、地下设施与建筑物预留孔洞位置及基础坐标等进行校对。</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5.1.4 管子、管件、阀门等内部应清理干净，无污物与杂物。安装工作有间断时，应及时封堵管口或阀门出入口。</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5.1.5 不宜在管道焊缝位置开孔，且应避开焊缝热影响区。当不可避免时，应对开孔处开孔直径1.5倍范围内进行补强，补强板覆盖的焊缝应磨平。</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6.1.1 管道组对应按单线图规定的管道系统号和顺序号进行。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6.1.2 焊件组对前应将坡口及其内外侧表面不小于10mm范围内的油、漆、垢、锈、毛刺及锁锌层等清除干净，且不应有裂纹、夹层等缺陷。</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 直缝管的纵向焊缝应置于易检修的部位，且不宜在底部。</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lang w:bidi="zh-CN"/>
              </w:rPr>
              <w:t>6.1.4钢管组对时，制管焊缝之间距离应错开100mm以上。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3.1.5.4</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工艺管道的焊接应符合相关标准要求。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《石油天然气建设工程施工质量验收规范站内工艺管道工程》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4203-2019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管道焊接应符合相应的焊接工艺规程。</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应对每个机组或每个焊工进行焊缝抽查。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 焊接工艺规程应具有有效性和适用性。</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焊材应符合焊接工艺规程的规定。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7.2.3 管道焊缝无损检测应符合设计文件要求和规范规定。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《工业金属管道工程施工质量验收规范》</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GB50184-2011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管道及管道组成件的焊接和焊后热处理的质量应符合国家现行标准《现场设备、工业管道焊接工程施工质量验收规范》GB50683-2011的规定。</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检验数量：应符合国家现行有关标准和设计文件的规定。</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检验方法：观察检查、检查焊接检查记录或无损检测报告。</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平焊法兰、承插焊法兰或承插焊管件与管子角焊缝的焊脚尺寸，应符合设计文件的规定，并应符合下列规定：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平焊法兰与管子焊接时，其法兰内侧角焊缝的焊脚尺寸应为直管名义厚度与6mm两者中的较小值；法兰外侧角焊缝的最小焊脚尺寸应为直管名义厚度的1.4倍与法兰颈部厚度两者中的较小值。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承插焊法兰与管子焊接时，角焊缝的最小焊脚尺寸应为直管名义厚度的1.4倍与法兰颈部厚度两者中的较小值。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承插焊管件与管子焊接时，角焊缝的最小焊脚尺寸应为直管名义厚度的1.25倍，且不应小于3mm。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检验数量：全部检查，每个法兰（管件）不少于3处。</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检验方法：采用检查尺检查。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支管连接角焊缝的形式和厚度应符合下列规定：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安放式焊接支管或插入式焊接支管的接头、整体补强的支管座，应全焊透，角焊缝厚度不应小于填角焊缝有效厚度。</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补强圈或鞍形补强件的焊接质量应符合下列规定：</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1）补强圈与支管应全焊透，角焊缝厚度不应小于填角焊缝有效厚度。</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2）鞍形补强件与支管连接的角焊缝厚度，不应小于支管名义厚度与鞍形补强件名义厚度两者中较小值的0.7倍。</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3）补强圈或鞍形补强件外缘与主管连接的角焊缝厚度应大于等于补强圈或鞍形补强件名义厚度的0.5倍。</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4）补强圈和鞍形补强件应与主管和支管贴合良好。</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检验数量：全部检查。</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检验方法：观察检查，采用检查尺检查，检查管道焊接检查记录。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可燃介质管道的焊接应符合相关标准要求。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.5.4 可燃介质管道焊缝外观应成型良好，与母材圆滑过渡，宽度宜为每侧盖过坡口2mm，焊接接头表面质量应符合下列规定：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 不得有裂纹、未熔合、夹渣、飞溅、</w:t>
            </w:r>
            <w:r>
              <w:rPr>
                <w:rFonts w:hint="eastAsia" w:ascii="宋体" w:hAnsi="宋体" w:eastAsia="宋体" w:cs="宋体"/>
                <w:color w:val="auto"/>
                <w:sz w:val="21"/>
                <w:szCs w:val="21"/>
                <w:highlight w:val="none"/>
              </w:rPr>
              <w:t>气孔</w:t>
            </w:r>
            <w:r>
              <w:rPr>
                <w:rFonts w:hint="eastAsia" w:ascii="宋体" w:hAnsi="宋体" w:eastAsia="宋体" w:cs="宋体"/>
                <w:color w:val="auto"/>
                <w:sz w:val="21"/>
                <w:szCs w:val="21"/>
                <w:highlight w:val="none"/>
                <w:lang w:val="zh-CN"/>
              </w:rPr>
              <w:t>存在；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 CNG和LNG管道焊缝不得有咬</w:t>
            </w:r>
            <w:r>
              <w:rPr>
                <w:rFonts w:hint="eastAsia" w:ascii="宋体" w:hAnsi="宋体" w:eastAsia="宋体" w:cs="宋体"/>
                <w:color w:val="auto"/>
                <w:sz w:val="21"/>
                <w:szCs w:val="21"/>
                <w:highlight w:val="none"/>
              </w:rPr>
              <w:t>边</w:t>
            </w:r>
            <w:r>
              <w:rPr>
                <w:rFonts w:hint="eastAsia" w:ascii="宋体" w:hAnsi="宋体" w:eastAsia="宋体" w:cs="宋体"/>
                <w:color w:val="auto"/>
                <w:sz w:val="21"/>
                <w:szCs w:val="21"/>
                <w:highlight w:val="none"/>
                <w:lang w:val="zh-CN"/>
              </w:rPr>
              <w:t>，其他管道焊缝咬肉深度不应大于0.5mm，连续咬肉长度不应大于100mm，且焊缝两侧咬肉总长不应大于焊缝全长的10%；</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zh-CN"/>
              </w:rPr>
              <w:t>焊缝表面不得低于管道表面，</w:t>
            </w:r>
            <w:r>
              <w:rPr>
                <w:rFonts w:hint="eastAsia" w:ascii="宋体" w:hAnsi="宋体" w:eastAsia="宋体" w:cs="宋体"/>
                <w:color w:val="auto"/>
                <w:sz w:val="21"/>
                <w:szCs w:val="21"/>
                <w:highlight w:val="none"/>
              </w:rPr>
              <w:t>管道壁厚小于或等于6mm时，</w:t>
            </w:r>
            <w:r>
              <w:rPr>
                <w:rFonts w:hint="eastAsia" w:ascii="宋体" w:hAnsi="宋体" w:eastAsia="宋体" w:cs="宋体"/>
                <w:color w:val="auto"/>
                <w:sz w:val="21"/>
                <w:szCs w:val="21"/>
                <w:highlight w:val="none"/>
                <w:lang w:val="zh-CN"/>
              </w:rPr>
              <w:t>焊缝余高不应大于</w:t>
            </w:r>
            <w:r>
              <w:rPr>
                <w:rFonts w:hint="eastAsia" w:ascii="宋体" w:hAnsi="宋体" w:eastAsia="宋体" w:cs="宋体"/>
                <w:color w:val="auto"/>
                <w:sz w:val="21"/>
                <w:szCs w:val="21"/>
                <w:highlight w:val="none"/>
              </w:rPr>
              <w:t>1.5mm；管道壁厚大于6mm时，</w:t>
            </w:r>
            <w:r>
              <w:rPr>
                <w:rFonts w:hint="eastAsia" w:ascii="宋体" w:hAnsi="宋体" w:eastAsia="宋体" w:cs="宋体"/>
                <w:color w:val="auto"/>
                <w:sz w:val="21"/>
                <w:szCs w:val="21"/>
                <w:highlight w:val="none"/>
                <w:lang w:val="zh-CN"/>
              </w:rPr>
              <w:t>焊缝余高不应大于2mm。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可燃介质管道焊接接头无损检测应符合相关标准要求。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.5.5 可燃介质管道焊接接头无损检测方法应符合设计文件要求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bidi="zh-CN"/>
              </w:rPr>
              <w:t>3 当射线检测改用超声波检测时，应征得设计单位同意并取得证明文件。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3.1.5.7</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工艺管道系统安装完成后，</w:t>
            </w:r>
            <w:r>
              <w:rPr>
                <w:rFonts w:hint="eastAsia" w:ascii="宋体" w:hAnsi="宋体" w:eastAsia="宋体" w:cs="宋体"/>
                <w:color w:val="auto"/>
                <w:sz w:val="21"/>
                <w:szCs w:val="21"/>
                <w:highlight w:val="none"/>
              </w:rPr>
              <w:t>在投入使用前，应进行吹扫、压力试验</w:t>
            </w:r>
            <w:r>
              <w:rPr>
                <w:rFonts w:hint="eastAsia" w:ascii="宋体" w:hAnsi="宋体" w:eastAsia="宋体" w:cs="宋体"/>
                <w:color w:val="auto"/>
                <w:sz w:val="21"/>
                <w:szCs w:val="21"/>
                <w:highlight w:val="none"/>
                <w:lang w:bidi="zh-CN"/>
              </w:rPr>
              <w:t>，并应符合相关标准要求。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.5.9 加油站工艺管道系统安装完成后，应进行压力试验。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.5.11 压力试验过程中有泄漏时，不得带压处理。缺陷消除后应重新试压。</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.5.13 可燃介质管道系统试压合格后，应用洁净水进行冲洗或用空气进行吹扫，并应符合下列规定：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不应安装法兰连接的安全阀、仪表件等，对已焊在管道上的阀门和仪表应采取保护措施。</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不参与冲洗或吹扫的设备应隔离。</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CNG、LNG管道宜采用空气吹扫。吹扫压力不得超过设备和管道系统的设计压力，空气流速不得小于20m/s，应以无游离水为合格。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 xml:space="preserve">4 水冲洗流速不得小于1.5m/s。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.5.14 可燃介质管道系统采用水冲洗时，应目测排出口的水色和透明度，应以出、入口水色和透明度一致为合格。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采用空气吹扫时，应在排出口设白色油漆靶检查，应以5min内靶上无铁锈及其他杂物颗粒为合格。经冲洗或吹扫合格的管道，应及时恢复原状。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《石油天然气建设工程施工质量验收规范站内工艺管道工程》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4203-2019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 管道系统安装完毕后，在投入使用前，应进行吹扫和压力试验。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10.1.6 试压用的压力表应经过检定，在有效期内，并应有铅封。其精度不应低于1.6级，表的量程应为被测压力（最大值）的1.5-2倍。压力表不应少于两块，分别置于管道的两端。</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10.1.7 制定吹扫试压方案时，应采取有效的安全措施，并应经业主和监理审批后实施。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10.1.8 试压前，应将压力等级不同的管道、不宜与管道</w:t>
            </w:r>
            <w:r>
              <w:rPr>
                <w:rFonts w:hint="eastAsia" w:ascii="宋体" w:hAnsi="宋体" w:eastAsia="宋体" w:cs="宋体"/>
                <w:color w:val="auto"/>
                <w:sz w:val="21"/>
                <w:szCs w:val="21"/>
                <w:highlight w:val="none"/>
                <w:lang w:eastAsia="zh-CN"/>
              </w:rPr>
              <w:t>一起</w:t>
            </w:r>
            <w:r>
              <w:rPr>
                <w:rFonts w:hint="eastAsia" w:ascii="宋体" w:hAnsi="宋体" w:eastAsia="宋体" w:cs="宋体"/>
                <w:color w:val="auto"/>
                <w:sz w:val="21"/>
                <w:szCs w:val="21"/>
                <w:highlight w:val="none"/>
              </w:rPr>
              <w:t>试压的系统、设备、管件、阀门及仪器等隔开，按不同的试验压力进行试压。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3.1.5.8</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管道采用干空气或液氮干燥时，干燥结果应符合设计文件和相关标准要求。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《石油天然气建设工程施工质量验收规范站内工艺管道工程》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4203-2019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管道采用干空气或液氮干燥时，干燥结果应符合设计文件和现行国家标准《石油天然气站内工艺管道工程施工规范》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50540的有关规定。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管道采用真空干燥时，干燥结果应符合设计文件和现行国家标准《石油天然气站内工艺管道工程施工规范》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50540的有关规定。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3.1.5.9</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管道防腐和补口应符合设计文件和相关标准要求。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《石油天然气建设工程施工质量验收规范站内工艺管道工程》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4203-2019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 管道防腐和补口应符合设计文件和相关标准规定。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 管道防腐和补口应具有防腐补口工艺规程。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3.1.5.10</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工艺管道安装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保温和保护层材料应符合设计文件和相关标准要求。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《石油天然气建设工程施工质量验收规范站内工艺管道工程》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4203-2019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13.1.1 采用发泡有机保温材料时，密实度应符合设计文件要求。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 保温应在钢管表面质晕检查及防腐合格后进行。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 保温和保护层材料应符合设计文件及规范要求，质量证明文件应齐全。</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2.2 保温结构应符合设计文件规定。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3.1.6</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电气安装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电气工程进行施工应符合相关标准要求。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 xml:space="preserve">3.2.1 </w:t>
            </w:r>
            <w:r>
              <w:rPr>
                <w:rFonts w:hint="eastAsia" w:ascii="宋体" w:hAnsi="宋体" w:eastAsia="宋体" w:cs="宋体"/>
                <w:color w:val="auto"/>
                <w:sz w:val="21"/>
                <w:szCs w:val="21"/>
                <w:highlight w:val="none"/>
                <w:lang w:bidi="zh-CN"/>
              </w:rPr>
              <w:t>电气工程应按下列规定进行施工质量控制：</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 安装在爆炸危险环境的电气设备、线路及相关材料，其规格型号应符合设计文件的规定。防爆设备必须有铭牌和防爆标识，并应在铭牌上标明国家授权的机构颁发的防爆合格证编号。</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 xml:space="preserve">3.2.2 </w:t>
            </w:r>
            <w:r>
              <w:rPr>
                <w:rFonts w:hint="eastAsia" w:ascii="宋体" w:hAnsi="宋体" w:eastAsia="宋体" w:cs="宋体"/>
                <w:color w:val="auto"/>
                <w:sz w:val="21"/>
                <w:szCs w:val="21"/>
                <w:highlight w:val="none"/>
                <w:lang w:bidi="zh-CN"/>
              </w:rPr>
              <w:t>电气工程施工质量的验收，应采用计量检定或校准合格的计量器具，使用时应在检定有效期内。</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 xml:space="preserve">3.2.3 </w:t>
            </w:r>
            <w:r>
              <w:rPr>
                <w:rFonts w:hint="eastAsia" w:ascii="宋体" w:hAnsi="宋体" w:eastAsia="宋体" w:cs="宋体"/>
                <w:color w:val="auto"/>
                <w:sz w:val="21"/>
                <w:szCs w:val="21"/>
                <w:highlight w:val="none"/>
                <w:lang w:bidi="zh-CN"/>
              </w:rPr>
              <w:t>电气设备上的计量仪表和与电气保护有关的计量仪表应检定合格，当投入试运行时，应在检定有效期内。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盘、柜及二次回路接线的安装应符合相关标准要求。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bidi="zh-CN"/>
              </w:rPr>
              <w:t>.1 盘、柜及二次回路接线的安装除应符合现行国家标准《电气装置安装工程盘、柜及二次回路结线施工及验收规范》GB50171的有关规定外，尚应符合下列规定：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母线搭接面应处理后搪锡，并应均匀涂抹电力复合脂。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二次回路接线应紧密、无松动，采用多股软铜线时，线端应采用相应规格的接线耳与接线端子相连。</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bidi="zh-CN"/>
              </w:rPr>
              <w:t>.2 电缆施工除应符合现行国家标准《电气装置安装工程电缆线路施工及验收规范》GB50168的有关规定外，尚应符合下列规定：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电缆进入电缆沟和建筑物时应穿管保护。保护管出入电缆沟和建筑物处的孔洞应封闭，保护管管口应密封。</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加油加气作业区内的电缆沟内应充沙填实。</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有防火要求时，在电缆穿过墙壁、楼板或进入电气盘、柜的孔洞处应进行防火和阻燃处理，并应采取隔离密封措施。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bidi="zh-CN"/>
              </w:rPr>
              <w:t>.4 接地装置的施工除应符合现行国家标准《电气装置安装工程接地装置施工及验收规范》GB50169的有关规定外，尚应符合下列规定：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接地体顶面埋设深度设计文件无规定时，不宜小于0.6m。角钢及钢管接地体应垂直敷设，除接地体外，接地装置焊接部位应做防腐处理。</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电气装置的接地应以单独的接地线与接地干线相连接，不得采用串接方式。</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bidi="zh-CN"/>
              </w:rPr>
              <w:t>.6 所有导电体在安装完成后应进行接地检查，接地电阻值应符合设计要求。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bidi="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bidi="zh-CN"/>
              </w:rPr>
              <w:t>.7 爆炸及火灾危险环境电气装置的施工除应符合现行国家标准《电气装置安装工程爆炸和火灾危险环境电气装置施工及验收规范》GB50257的有关规定外，尚应符合下列规定：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电缆线路穿过不同危险区域时，在交界处的电缆沟内应充砂、填阻火堵料或加设防火隔墙，保护管两端的管口处应将电缆周围用非燃性纤维堵塞严密，再填塞密封胶泥。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3 钢管与钢管、钢管与电气设备、钢管与钢管附件之间的连接，应满足防爆要求。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 盘柜内保护接地导体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排应有裸露的连接外部保护接地导体的端子，并应可靠连接。成列开关柜的接地母线应与主接地网连接可靠，高压成列开关柜应有两处明显的与接地网可靠连接点。</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20.2.2 二次回路的电源回路送电前，应检查绝缘，其绝缘电阻值不应小于1MΩ，潮湿地区不应小于0.5MΩ。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电缆、电路敷设</w:t>
            </w:r>
            <w:r>
              <w:rPr>
                <w:rFonts w:hint="eastAsia" w:ascii="宋体" w:hAnsi="宋体" w:eastAsia="宋体" w:cs="宋体"/>
                <w:color w:val="auto"/>
                <w:sz w:val="21"/>
                <w:szCs w:val="21"/>
                <w:highlight w:val="none"/>
              </w:rPr>
              <w:t>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电缆敷设时，不应有扭绞、压扁、保护层断裂和表面严重划伤等现象；直埋电缆严禁平行敷设在管道上、下方，与各种工艺管线交叉跨越距离及与易燃易爆气体管道、热力管道的距离应符合现行国家标准《电气装置安装工程电缆线路施工及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50168或《建筑电气工程施工质量验收规范》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50303的规定。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4.2.7 金属梯架、托盘或槽盒本体之间的连接应牢固可靠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管配线安装应符合设计文件及相关标准要求。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 管配线的型号、规格、材质、适用场所及连接应符合设计文件及现行国家标准《建筑电气工程施工质量验收规范》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50303和《lkV及以下配线工程施工与验收规范》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50575的要求。爆炸、火灾危险环境导管与设备、导管与导管的连接应采用相应等级的防爆产品。</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5.2.4 金属导管不应对口熔焊连接；锁锌钢导管或壁厚小于或等</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2mm</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钢导管，不应采用套管熔焊连接。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母线的安装应符合设计文件和相关标准要求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母线支架和封闭、插接式母线的外壳接地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连接完成，母线绝缘电阻测试和交流工频耐压试验应合格。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 母线槽的金属外壳等外露可导电部分应与保护导体可靠连接，并应符合下列规定：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每段母线槽的金属外壳应连接可靠，且母线槽全长与保护导体可靠连接不应少于2处。</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分支母线槽的金属外壳末端应与保护导体可靠连接。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3 连接导体的材质、截面积应符合设计文件要求。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电力变压器的安装</w:t>
            </w:r>
            <w:r>
              <w:rPr>
                <w:rFonts w:hint="eastAsia" w:ascii="宋体" w:hAnsi="宋体" w:eastAsia="宋体" w:cs="宋体"/>
                <w:color w:val="auto"/>
                <w:sz w:val="21"/>
                <w:szCs w:val="21"/>
                <w:highlight w:val="none"/>
              </w:rPr>
              <w:t>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8.2.5 变压器箱体、干式变压器的支架或外壳应接地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，所有连接应可靠，且不少于2处，中性点应单独接地。紧固件及防松零件应齐全。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断路器安装应符合设计及相关标准要求。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10.2.3 断路器及其操动机构的联动应正常，无卡阻现象；分、合闸指示应正确；辅助开关动作应正确可靠。密度继电器的报警、闭锁值应符合产品技术文件的要求，电气回路传动应正确。</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10.2.4 注入油断路器的绝缘油应合格。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3.1.6.8</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隔离开关、负荷开关及高压熔断器安装</w:t>
            </w:r>
            <w:r>
              <w:rPr>
                <w:rFonts w:hint="eastAsia" w:ascii="宋体" w:hAnsi="宋体" w:eastAsia="宋体" w:cs="宋体"/>
                <w:color w:val="auto"/>
                <w:sz w:val="21"/>
                <w:szCs w:val="21"/>
                <w:highlight w:val="none"/>
              </w:rPr>
              <w:t>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11.2.3 隔离开关、负荷开关及高压熔断器的支架或外壳应接地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，所有连接应可靠。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3.1.6.9</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电抗器、消弧线圈的安装</w:t>
            </w:r>
            <w:r>
              <w:rPr>
                <w:rFonts w:hint="eastAsia" w:ascii="宋体" w:hAnsi="宋体" w:eastAsia="宋体" w:cs="宋体"/>
                <w:color w:val="auto"/>
                <w:sz w:val="21"/>
                <w:szCs w:val="21"/>
                <w:highlight w:val="none"/>
              </w:rPr>
              <w:t>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 电抗器、消弧线圈的试验应符合现行国家标准《电气装置安装工程  电气设备交接试验标准》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50150的规定，交接试验合格后才能通电。</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 电抗器、消弧线圈的接地应符合设计文件要求。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3.1.6.10</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避雷器的安装</w:t>
            </w:r>
            <w:r>
              <w:rPr>
                <w:rFonts w:hint="eastAsia" w:ascii="宋体" w:hAnsi="宋体" w:eastAsia="宋体" w:cs="宋体"/>
                <w:color w:val="auto"/>
                <w:sz w:val="21"/>
                <w:szCs w:val="21"/>
                <w:highlight w:val="none"/>
              </w:rPr>
              <w:t>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14.2.2 避雷器的电气试验应符合现行国家标准《电气装置安装工程电气设备交接试验标准》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50150的规定，交接试验合格后方可通电。</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14.2.3 避雷器的接地应符合设计文件要求，接地引下线应连接、固定牢靠。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电容器的安装</w:t>
            </w:r>
            <w:r>
              <w:rPr>
                <w:rFonts w:hint="eastAsia" w:ascii="宋体" w:hAnsi="宋体" w:eastAsia="宋体" w:cs="宋体"/>
                <w:color w:val="auto"/>
                <w:sz w:val="21"/>
                <w:szCs w:val="21"/>
                <w:highlight w:val="none"/>
              </w:rPr>
              <w:t>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 成组安装的电容器三相电容量最大与最小的差值应符合设计文件规定。当设计无规定时，不应超过三相平均电容值的5%。</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15.2.2 电容器的电气试验应符合现行国家标准《电气装置安装工程 电气设备交接试验标准》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50150</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规定，交接试验合格后才能通电。</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15.2.3 电容器的接地应符合设计文件要求。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互感器的安装应符合相关标准要求，交接试验合格后方可通电。</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 互感器电气试验应符合现行国家标准《电气装置安装工程 电气设备交接试验标准》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50150的规定，交接试验合格后方可通电。互感器补油时，应按产品技术文件要求进行，注入互感器的变压器油应合格。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气体绝缘互感器的气体压力或密度应符合产品技术文件</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要求。六氯化硫气体含水量应符合现行国家标准《电气装置安装工程 电气设备交接试验标准》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50150的要求。气体密度表、继电器应经核对性检查合格。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16.2.4 互感器的下列各部位应可靠接地：</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分级绝缘的电压互感器，其一次绕组的接地引出端子、电容式电压互感器的接地应符合产品技术文件的要求。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电容式绝缘电流互感器，其一次绕组末屏的引出端子、铁芯引出接地端子。</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互感器的外壳。</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电流互感器的备用二次绕组端子应先短路后接地。</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倒装式电流互感器二次绕组的金属导管。</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应保证工作接地点有两根与主接地网不同地点连接的接地引下线。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蓄电池型号、规格应符合设计文件和相关标准要求。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 蓄电池的绝缘电阻应不小于0.5MΩ。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照明器具及配电箱、板的安装</w:t>
            </w:r>
            <w:r>
              <w:rPr>
                <w:rFonts w:hint="eastAsia" w:ascii="宋体" w:hAnsi="宋体" w:eastAsia="宋体" w:cs="宋体"/>
                <w:color w:val="auto"/>
                <w:sz w:val="21"/>
                <w:szCs w:val="21"/>
                <w:highlight w:val="none"/>
              </w:rPr>
              <w:t>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18.2.2 大（重）型灯具安装用的吊钩、预埋件应埋设牢固，吊杆及其销杆的防松、防震装置应齐全、可靠。吊钩圆钢直径不应小于灯具挂销直径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且不应小</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6mm。并应按灯具重量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2 倍做过载试验。质量大于10kg</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灯具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固定装置及悬挂装置应按灯具重量</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5 倍恒定均布载荷做强度试验，且持续时间不得少于15min。</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18.2.4 电气器具及线路绝缘电阻测试合格后方可通电试验。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18.2.5 插座的保护接地导体端子不得与中性导体端子连接；同一场所的三相插座，其接线相序应一致。保护接地导 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在插座之间不得串联连接。相线与中性导体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不得利用插座本体的接线端子转接供电。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电机的电气检查和接线</w:t>
            </w:r>
            <w:r>
              <w:rPr>
                <w:rFonts w:hint="eastAsia" w:ascii="宋体" w:hAnsi="宋体" w:eastAsia="宋体" w:cs="宋体"/>
                <w:color w:val="auto"/>
                <w:sz w:val="21"/>
                <w:szCs w:val="21"/>
                <w:highlight w:val="none"/>
              </w:rPr>
              <w:t>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电机的电气交接试验应符合现行国家标准《电气装置安装工程 电气设备交接试验标准》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50150</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电机试运行前，其保护、控制、测量、信号等回路的调试应已完成，且动作正常。</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电机的外露可导电部分必须与保护导体可靠连接。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接地装置及接闪杆（带、网）的安装应符合设计文件和相关标准要求。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22.2.2 接地装置的接地电阻等参数测试应符合现行国家标准《电气装置安装工程电气设备交接试验标准》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50150</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22.2.3 接闪器与防雷引下线必须采用焊接或卡接器连接，防雷引</w:t>
            </w:r>
            <w:r>
              <w:rPr>
                <w:rFonts w:hint="eastAsia" w:ascii="宋体" w:hAnsi="宋体" w:eastAsia="宋体" w:cs="宋体"/>
                <w:color w:val="auto"/>
                <w:sz w:val="21"/>
                <w:szCs w:val="21"/>
                <w:highlight w:val="none"/>
                <w:lang w:eastAsia="zh-CN"/>
              </w:rPr>
              <w:t>下线</w:t>
            </w:r>
            <w:r>
              <w:rPr>
                <w:rFonts w:hint="eastAsia" w:ascii="宋体" w:hAnsi="宋体" w:eastAsia="宋体" w:cs="宋体"/>
                <w:color w:val="auto"/>
                <w:sz w:val="21"/>
                <w:szCs w:val="21"/>
                <w:highlight w:val="none"/>
              </w:rPr>
              <w:t>与接地装置必须采用焊接或螺栓连接。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22.2.4 电气装置的接地必须单独与</w:t>
            </w:r>
            <w:r>
              <w:rPr>
                <w:rFonts w:hint="eastAsia" w:ascii="宋体" w:hAnsi="宋体" w:eastAsia="宋体" w:cs="宋体"/>
                <w:color w:val="auto"/>
                <w:sz w:val="21"/>
                <w:szCs w:val="21"/>
                <w:highlight w:val="none"/>
                <w:lang w:eastAsia="zh-CN"/>
              </w:rPr>
              <w:t>接地母线</w:t>
            </w:r>
            <w:r>
              <w:rPr>
                <w:rFonts w:hint="eastAsia" w:ascii="宋体" w:hAnsi="宋体" w:eastAsia="宋体" w:cs="宋体"/>
                <w:color w:val="auto"/>
                <w:sz w:val="21"/>
                <w:szCs w:val="21"/>
                <w:highlight w:val="none"/>
              </w:rPr>
              <w:t>或接地网相连接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严禁在一条接地线中串接两个及两个以上需要接地的电气装置。接地极的连接应采用焊接，接地线与接地极的连接应采用焊接。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22.2.5 接地网的埋设深度和间距应符合设计文件要求。当无具体规定时，接地极顶面埋深不宜小于0.8m，水平接地极的间距不宜小于Sm，垂直接地极的间距不宜小于其长度的2倍。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UPS及EPS的安装应符合设计文件和相关标准要求。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《石油天然气建设工程施工质量验收规范电气工程》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4206-2019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23.2.2 UPS及EPS的内部接线应正确、可靠不松动，紧固件应齐全，极性应正确，输入、输出各级保护系统的动作和输出的电压稳定性、波形畸变系数及频率、相位、静态开关的动作等各项技术性能指标试验调整应符合产品技术文件要求，当以现场的最终试验替代出厂试验时，应根据产品技术文件进行试验调整，且应符合设计文件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23.2.3 EPS应按设计或产品技术文件的要求进行下列检查：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核对初装容量，并应符合设计文件要求。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核对输入回路断路器的过载和短路电流整定值，并应符合设计文件要求。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核对各输出回路的负荷量，且不应超过EPS</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额定最大输出功率。</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核对蓄电池备用时间及应急电源装置的允许过载能力，并应符合设计文件要求。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当对电池性能、极性及电源转换时间有异议时，应由制造商负责现场测试，并应符合设计文件要求。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23.2.4 UPS及EPS的绝缘电阻值应符合下列规定：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UPS的输入端、输出端 对地间绝缘电阻值不应小于2MΩ。</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UPS及 EPS连线及出线的线间、线对地间绝缘电阻值不应小于0.5MΩ。</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23.2.5 UPS输出端的系统接地连接方式应符合设计文件要求。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3.1.7</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防雷防静电安装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防雷防静电安装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 汽车加油加气加氢站的防雷接地、防静电接地、电气设备的工作接地、保护接地及信息系统的接地等应共用接地装置，接地电阻不应大于4Ω。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《城镇燃气雷电防护技术规范》QX</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T109-2021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 燃气场站的设施（利用本体作为接闪器的设施除外）应置于雷电防护区LPZ0b内。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防雷防静电安装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生产厂房的防雷防静电安装应符合设计及相关标准要求。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13.2.6 当汽车加油加气加氢站内的站房和罩棚等建筑物需要防直击雷时．应采用接闪带（网）保护。当罩棚采用金属屋面时，宜利用屋面作为接闪器，但应符合下列规定：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板间的连接应是持久的电气贯通，可采用铜锌合金焊、熔焊、卷边压接、缝接、螺钉或螺栓连接；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金属板下面不应有易燃物品，热锁锌钢板的厚度不应小于0.5mm，铝板的厚度不应小于0.65mm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锌板的厚度不应小于0.7mm；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金属板应无绝缘被覆层。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防雷防静电安装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电气和电子信息系统的接地应符合设计及相关标准要求。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13.2.9 380/220V供配电系统宜采用TN-S系统，当外供电源为380V时，可采用TN-C-S系统。供电系统的电缆金属外皮或电缆金属保护管两端均应接地，在供配电系统的电源端应安装与设备耐压水平相适应的过电压（电涌）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《城镇燃气雷电防护技术规范》QX</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T109-2021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电气系统的室外低压配电线路宜全线采用金属铠装电缆或护套电缆穿钢管埋地敷设，在入户处应将电缆的金属外铠或外套钢管接到等电位连接带上。</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储罐上安装的电子系统设备，其金属外壳应与罐体可靠电气连接。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3.1.7.4</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防雷防静电安装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设备和管道的防雷防静电安装应符合设计及相关标准要求。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13.2.4 埋地钢制油罐、埋地LPG 储罐以及非金属油罐顶部的金属部件和罐内的各金属部件，必须与非埋地部分的工艺金属管道相互做电气连接井接地。</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13.2.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bidi="zh-CN"/>
              </w:rPr>
              <w:t>0 地上或管沟敷设的油品管道、LPG管道、LNG管道、CNG管道、氢气管道和液氢管道应设防静电和防感应雷的共用接地装置，接地电阻不应大于30Ω。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《城镇燃气雷电防护技术规范》QX</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T109-2021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 爆炸危险区域内设备的接地线应在不同方向与接地体连接，且连接点不少于两处。</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 储罐应可靠接地，宜在储罐周边设置闭合环形接地体。接地点应沿罐体周边均匀布置，其间距不宜大于30m，且不应少于2处。</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 机器设备和电动机安装应按下列要求进行：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—在同一个金属底板上时，将金属底板接地；</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—安装在单独混凝土底座上或者位于其他低导电材料制作的单独底板上时，将二者用接地线连接并接地，接地线材型规格符合</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50057—2010中表5.4.1水平接地体的规定。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防雷防静电安装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卸车场地防静电接地应符合设计和相关标准要求。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 xml:space="preserve">13.2.16 </w:t>
            </w:r>
            <w:r>
              <w:rPr>
                <w:rFonts w:hint="eastAsia" w:ascii="宋体" w:hAnsi="宋体" w:eastAsia="宋体" w:cs="宋体"/>
                <w:color w:val="auto"/>
                <w:sz w:val="21"/>
                <w:szCs w:val="21"/>
                <w:highlight w:val="none"/>
              </w:rPr>
              <w:t>油</w:t>
            </w:r>
            <w:r>
              <w:rPr>
                <w:rFonts w:hint="eastAsia" w:ascii="宋体" w:hAnsi="宋体" w:eastAsia="宋体" w:cs="宋体"/>
                <w:color w:val="auto"/>
                <w:sz w:val="21"/>
                <w:szCs w:val="21"/>
                <w:highlight w:val="none"/>
                <w:lang w:bidi="zh-CN"/>
              </w:rPr>
              <w:t>罐车、LPG罐车、LNG罐车和液氢罐车卸车场地内用于防静电跨接的固定接地装詈不应设置在爆炸危险1区。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3.1.7.6</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防雷防静电安装</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爆炸危险区域内的钢制法兰及金属管道的跨接应符合设计及相关标准要求。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13.2.12 在爆炸危险区域内工艺管道上的法兰、胶管两端等连接处应用金</w:t>
            </w:r>
            <w:r>
              <w:rPr>
                <w:rFonts w:hint="eastAsia" w:ascii="宋体" w:hAnsi="宋体" w:eastAsia="宋体" w:cs="宋体"/>
                <w:color w:val="auto"/>
                <w:sz w:val="21"/>
                <w:szCs w:val="21"/>
                <w:highlight w:val="none"/>
              </w:rPr>
              <w:t>属</w:t>
            </w:r>
            <w:r>
              <w:rPr>
                <w:rFonts w:hint="eastAsia" w:ascii="宋体" w:hAnsi="宋体" w:eastAsia="宋体" w:cs="宋体"/>
                <w:color w:val="auto"/>
                <w:sz w:val="21"/>
                <w:szCs w:val="21"/>
                <w:highlight w:val="none"/>
                <w:lang w:bidi="zh-CN"/>
              </w:rPr>
              <w:t>线跨接。当法兰的连接螺栓不少</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bidi="zh-CN"/>
              </w:rPr>
              <w:t>5根时．在非腐蚀环境下可不跨接。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《城镇燃气雷电防护技术规范》QX</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T109-2021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 连接或附着于储罐的金属构件应与罐体形成电气通路。阀门、法兰盘等连接处过渡电阻大于0.03Ω时，连接处应用金属线跨接，金属跨接线的最小截面积应符合附录C的规定。对不少于5根螺栓连接的法兰盘，在非腐蚀环境下，可不跨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3.1.8</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仪表及自控安装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15.7.8 仪表的安装调试除应符合现行行业标准《石油化工仪表工程施工技术规程》SH3521的有关规定外，尚应符合下列规定：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仪表安装前应进行外观检查，并应经调试校验合格。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仪表电缆电线敷设及接线前，应进行导通检查与绝缘试验。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内浮筒液面计及浮球液面计采用导向管或其他导向装置时，导向管或导向装置应垂直安装，并应保证导向管内液流畅通。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安装浮球液位报警器用的法兰与工艺设备之间连接管的长度，应保证浮球能在全量程范围内自由活动。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仪表设备外壳、仪表盘（箱）、接线箱等，当有可能接触到危险电压的裸露金属部件时，应作保护接地。</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计量仪器安装前应确认在计量鉴定合格有效期内，如计量有效期满，应及时与建设单位或监理单位代表联系。</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仪表管路工作介质为油品、油气、LPG、LNG、CNG等可燃介质时，其施工应符合现行国家标准《石油化工金属管道工程施工质量验收规范》GB50517的有关规定。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仪表安装完成后，应按设计文件及国家现行有关标准的规定进行各项性能试验，并应做书面记录。</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电缆的屏蔽单端接地宜在控制室一侧接地，电缆现场端的屏蔽层不得露出保护层外，应与相邻金属体保持绝缘，同一线路屏蔽层应有可靠的电气连续性。</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15.7.9 信息系统的通讯线和电源线在室内敷设时，宜采用暗铺方式；无法暗铺时，应使用护套管或线槽沿墙明铺。</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15.7.10 信息系统的电源线和通讯线不应敷设在同一镀锌钢护套管内，通讯线管与电源线管出口间隔宜为300mm。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仪表盘（柜、台、箱）的安装</w:t>
            </w:r>
            <w:r>
              <w:rPr>
                <w:rFonts w:hint="eastAsia" w:ascii="宋体" w:hAnsi="宋体" w:eastAsia="宋体" w:cs="宋体"/>
                <w:color w:val="auto"/>
                <w:sz w:val="21"/>
                <w:szCs w:val="21"/>
                <w:highlight w:val="none"/>
              </w:rPr>
              <w:t>应符合设计及相关标准要求。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《石油天然气建设工程施工质量验收规范自动化仪表工程》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4205-2019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4.2.2 </w:t>
            </w:r>
            <w:r>
              <w:rPr>
                <w:rFonts w:hint="eastAsia" w:ascii="宋体" w:hAnsi="宋体" w:eastAsia="宋体" w:cs="宋体"/>
                <w:color w:val="auto"/>
                <w:sz w:val="21"/>
                <w:szCs w:val="21"/>
                <w:highlight w:val="none"/>
                <w:lang w:val="zh-CN" w:bidi="zh-CN"/>
              </w:rPr>
              <w:t>仪表盘（柜、台、箱）的安装应符合下列规定：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1 </w:t>
            </w:r>
            <w:r>
              <w:rPr>
                <w:rFonts w:hint="eastAsia" w:ascii="宋体" w:hAnsi="宋体" w:eastAsia="宋体" w:cs="宋体"/>
                <w:color w:val="auto"/>
                <w:sz w:val="21"/>
                <w:szCs w:val="21"/>
                <w:highlight w:val="none"/>
                <w:lang w:val="zh-CN" w:bidi="zh-CN"/>
              </w:rPr>
              <w:t>仪表盘（柜、台）的安装位置和平面布置应符合设计文件规定。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2 </w:t>
            </w:r>
            <w:r>
              <w:rPr>
                <w:rFonts w:hint="eastAsia" w:ascii="宋体" w:hAnsi="宋体" w:eastAsia="宋体" w:cs="宋体"/>
                <w:color w:val="auto"/>
                <w:sz w:val="21"/>
                <w:szCs w:val="21"/>
                <w:highlight w:val="none"/>
                <w:lang w:val="zh-CN" w:bidi="zh-CN"/>
              </w:rPr>
              <w:t>仪表盘（柜、台、箱）之间及内部各设备之间的连接应牢固。</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3 </w:t>
            </w:r>
            <w:r>
              <w:rPr>
                <w:rFonts w:hint="eastAsia" w:ascii="宋体" w:hAnsi="宋体" w:eastAsia="宋体" w:cs="宋体"/>
                <w:color w:val="auto"/>
                <w:sz w:val="21"/>
                <w:szCs w:val="21"/>
                <w:highlight w:val="none"/>
                <w:lang w:val="zh-CN" w:bidi="zh-CN"/>
              </w:rPr>
              <w:t>仪表盘（柜、台、箱）应无变形和表面涂层损伤。</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4.2.3 </w:t>
            </w:r>
            <w:r>
              <w:rPr>
                <w:rFonts w:hint="eastAsia" w:ascii="宋体" w:hAnsi="宋体" w:eastAsia="宋体" w:cs="宋体"/>
                <w:color w:val="auto"/>
                <w:sz w:val="21"/>
                <w:szCs w:val="21"/>
                <w:highlight w:val="none"/>
                <w:lang w:val="zh-CN" w:bidi="zh-CN"/>
              </w:rPr>
              <w:t>仪表盘（柜、台、箱）内部的仪表管道和仪表线路的安装应符合下列规定：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1 </w:t>
            </w:r>
            <w:r>
              <w:rPr>
                <w:rFonts w:hint="eastAsia" w:ascii="宋体" w:hAnsi="宋体" w:eastAsia="宋体" w:cs="宋体"/>
                <w:color w:val="auto"/>
                <w:sz w:val="21"/>
                <w:szCs w:val="21"/>
                <w:highlight w:val="none"/>
                <w:lang w:val="zh-CN" w:bidi="zh-CN"/>
              </w:rPr>
              <w:t>当仪表管道引入安装在有爆炸和火灾危险、有毒及有腐蚀性物质环境的仪表盘（柜、台、箱）时，其管道引入孔处应做密封处理。</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2 </w:t>
            </w:r>
            <w:r>
              <w:rPr>
                <w:rFonts w:hint="eastAsia" w:ascii="宋体" w:hAnsi="宋体" w:eastAsia="宋体" w:cs="宋体"/>
                <w:color w:val="auto"/>
                <w:sz w:val="21"/>
                <w:szCs w:val="21"/>
                <w:highlight w:val="none"/>
                <w:lang w:val="zh-CN" w:bidi="zh-CN"/>
              </w:rPr>
              <w:t>仪表盘（柜、台、箱）内部的仪表线路接线应正确牢固，导通和绝缘检查合格，线端应有编号。</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4.2.4 </w:t>
            </w:r>
            <w:r>
              <w:rPr>
                <w:rFonts w:hint="eastAsia" w:ascii="宋体" w:hAnsi="宋体" w:eastAsia="宋体" w:cs="宋体"/>
                <w:color w:val="auto"/>
                <w:sz w:val="21"/>
                <w:szCs w:val="21"/>
                <w:highlight w:val="none"/>
                <w:lang w:val="zh-CN" w:bidi="zh-CN"/>
              </w:rPr>
              <w:t>仪表供电系统的安装应符合设计文件规定。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4.2.5 </w:t>
            </w:r>
            <w:r>
              <w:rPr>
                <w:rFonts w:hint="eastAsia" w:ascii="宋体" w:hAnsi="宋体" w:eastAsia="宋体" w:cs="宋体"/>
                <w:color w:val="auto"/>
                <w:sz w:val="21"/>
                <w:szCs w:val="21"/>
                <w:highlight w:val="none"/>
                <w:lang w:val="zh-CN" w:bidi="zh-CN"/>
              </w:rPr>
              <w:t>仪表盘（柜、台、箱）在防爆区域的施工和接地应符合下列规定：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1 </w:t>
            </w:r>
            <w:r>
              <w:rPr>
                <w:rFonts w:hint="eastAsia" w:ascii="宋体" w:hAnsi="宋体" w:eastAsia="宋体" w:cs="宋体"/>
                <w:color w:val="auto"/>
                <w:sz w:val="21"/>
                <w:szCs w:val="21"/>
                <w:highlight w:val="none"/>
                <w:lang w:val="zh-CN" w:bidi="zh-CN"/>
              </w:rPr>
              <w:t>仪表盘（柜、台、箱）的防爆措施应符合设计文件规定。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2 </w:t>
            </w:r>
            <w:r>
              <w:rPr>
                <w:rFonts w:hint="eastAsia" w:ascii="宋体" w:hAnsi="宋体" w:eastAsia="宋体" w:cs="宋体"/>
                <w:color w:val="auto"/>
                <w:sz w:val="21"/>
                <w:szCs w:val="21"/>
                <w:highlight w:val="none"/>
                <w:lang w:val="zh-CN" w:bidi="zh-CN"/>
              </w:rPr>
              <w:t>仪表盘（柜、台、箱）内的本质安全电路敷设配线时，应与非本质安全电路分开；两者接线端子的间距，不得小于50mm；当间距不符合要求时，应采用高于端子的绝缘板隔离。</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3 </w:t>
            </w:r>
            <w:r>
              <w:rPr>
                <w:rFonts w:hint="eastAsia" w:ascii="宋体" w:hAnsi="宋体" w:eastAsia="宋体" w:cs="宋体"/>
                <w:color w:val="auto"/>
                <w:sz w:val="21"/>
                <w:szCs w:val="21"/>
                <w:highlight w:val="none"/>
                <w:lang w:val="zh-CN" w:bidi="zh-CN"/>
              </w:rPr>
              <w:t>工作接地系统应符合设计文件规定。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4 </w:t>
            </w:r>
            <w:r>
              <w:rPr>
                <w:rFonts w:hint="eastAsia" w:ascii="宋体" w:hAnsi="宋体" w:eastAsia="宋体" w:cs="宋体"/>
                <w:color w:val="auto"/>
                <w:sz w:val="21"/>
                <w:szCs w:val="21"/>
                <w:highlight w:val="none"/>
                <w:lang w:val="zh-CN" w:bidi="zh-CN"/>
              </w:rPr>
              <w:t>保护接地系统应符合设计文件规定。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 xml:space="preserve">5 </w:t>
            </w:r>
            <w:r>
              <w:rPr>
                <w:rFonts w:hint="eastAsia" w:ascii="宋体" w:hAnsi="宋体" w:eastAsia="宋体" w:cs="宋体"/>
                <w:color w:val="auto"/>
                <w:sz w:val="21"/>
                <w:szCs w:val="21"/>
                <w:highlight w:val="none"/>
                <w:lang w:val="zh-CN" w:bidi="zh-CN"/>
              </w:rPr>
              <w:t>屏蔽接地应符合设计文件规定。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温度检测仪表的安装应符合设计及相关标准要求。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《石油天然气建设工程施工质量验收规范自动化仪表工程》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4205-2019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5.2.2 温度取源部件的安装位置应符合设计文件规定。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5.2.3 温度检测仪表的安装应符合下列要求：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仪表的安装位置应符合设计文件规定，安装应牢固，不应承受非正常外力。</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表面温度计的感温面与被测对象表面应接触紧密，固定 牢固。</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压力式温度计的温包应全部浸入被测对象中。</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5.2.4 温度检测仪表的接线应正确牢固，导通和绝缘检查合格。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5.2.5 有特殊要求的温度检测仪表的安装应符合下列规定：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防爆和接地措施应符合设计文件规定。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毛细管的敷设应有保护措施，弯曲半径不应小于50mm，周围温度变化剧烈时应采取隔热措施。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压力检测仪表的安装位置应符合设计及相关标准要求。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《石油天然气建设工程施工质量验收规范自动化仪表工程》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4205-2019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6.2.2 压力取源部件的安装位置应符合设计文件规定。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6.2.3 压力检测仪表的安装位置应符合设计文件规定，安装应牢固、平正，不应承受非正常外力。</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6.2.4 与仪表连接的管道、线路的安装应符合下列规定：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仪表管道的型号、规格、材质等应符合设计文件规定，质量证明文件齐全。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当仪表管道与仪表设备连接时，应连接严密，且不应使仪表设备和仪表管道承受机械应力。</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仪表管道的安装、压力试验和泄涌性试验应符合设计文件规定。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接线应正确牢固，导通和绝缘检查合格。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6.2.5 有特殊要求的压力检测仪表的安装应符合下列规定：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防爆、接地、隔离和吹洗措施应符合设计文件规定。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毛细管的敷设应有保护措施，弯曲半径不应小于50mm，周围温度变化剧烈时应采取隔热措施。</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测量高压的压力仪表安装在操作岗位附近时，安装位置和防护措施应符合设计文件规定和安全操作要求。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流量检测仪表的安装应符合设计及相关标准要求。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《石油天然气建设工程施工质量验收规范自动化仪表工程》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4205-2019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流量取源部件的安装应符合下列规定：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流量取源部件的安装位置应符合设计文件规定。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流量取源部件上、下游直管段的最小长度应符合设计文件规定。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在规定的直管段最小长度范围内，不得设置其他取源部件或检测元件，直管段内壁应清洁，无凹坑和凸出物。</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7.2.3 流量检测仪表的安装应符合下列规定：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仪表的安装位置应符合设计文件规定，安装应牢固、平正，不应承受非正常外力。</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节流件的安装应符合下列要求：</w:t>
            </w:r>
          </w:p>
          <w:p>
            <w:pPr>
              <w:keepNext w:val="0"/>
              <w:keepLines w:val="0"/>
              <w:pageBreakBefore w:val="0"/>
              <w:numPr>
                <w:ilvl w:val="0"/>
                <w:numId w:val="5"/>
              </w:numPr>
              <w:kinsoku/>
              <w:wordWrap/>
              <w:overflowPunct/>
              <w:topLinePunct w:val="0"/>
              <w:autoSpaceDE/>
              <w:autoSpaceDN/>
              <w:bidi w:val="0"/>
              <w:spacing w:line="260" w:lineRule="atLeast"/>
              <w:ind w:left="0" w:firstLine="48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水平和倾斜的管道上安装的孔板或喷嘴、排泄孔的位置应符合设计文件或现行国家标准《自动化仪表工程施工及质量验收规范》GB50093的有关规定；</w:t>
            </w:r>
          </w:p>
          <w:p>
            <w:pPr>
              <w:keepNext w:val="0"/>
              <w:keepLines w:val="0"/>
              <w:pageBreakBefore w:val="0"/>
              <w:numPr>
                <w:ilvl w:val="0"/>
                <w:numId w:val="5"/>
              </w:numPr>
              <w:kinsoku/>
              <w:wordWrap/>
              <w:overflowPunct/>
              <w:topLinePunct w:val="0"/>
              <w:autoSpaceDE/>
              <w:autoSpaceDN/>
              <w:bidi w:val="0"/>
              <w:spacing w:line="260" w:lineRule="atLeast"/>
              <w:ind w:left="0" w:firstLine="48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节流件上"+"号的一侧应在被测流体流向的上游侧，当用箭头标明流向时，箭头的指向应与被测流体的流向一致。</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差压式仪表正负压室与测量管道的连接应正确，测量管道倾斜方向和坡度及过滤器、消气器、隔离器、冷凝器、沉降器、集气器的安装应符合设计文件规定。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转子流量计应安装在无振动的管道上，其中心线与铅垂线间的夹角不应超过2'垂直安装时被测流体流向应为自下而上，上游侧直管段长度不宜小于管道直径的2倍。</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靶式流量计的靶中心应与管道轴线同心，靶面应迎着被测流体流向且与管道轴线垂直，上、下游直管段长度应符合设计文件规定。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 涡轮、涡街流量计信号线应使用屏蔽线，上、下游直管段的长度应符合设计文件规定。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7 电磁流量计的安装应符合现行国家标准《自动化仪表工程施工及质量验收规范》GB50093的有关规定。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8 椭圆齿轮流量计的刻度盘面应处于垂直平面内。在垂直管道上安装时，管道内流体流向应自下而上。</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9 超声波流量计的上、下游直管段的长度应符合设计文件规定。对于水平管道，换能器的位置应在与水平直线成 45°夹角的范围内。被测管道内壁不应有影响测量准确度的结垢层或涂层。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10 均速管流量计上、下游直管段的长度应符合设计文件规定。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11 质量流量计的安装应符合现行国家标准《自动化仪表工程施工及质童验收规范》GB50093的有关规定。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7.2.4 与仪表连接的管道、线路的安装质量、检验数量和检验方法应符合本规范第6.2.4条的规定。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7.2.5 有特殊要求的流量检测仪表的安装应符合下列规定：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防爆、接地、隔离和吹洗措施应符合设计文件规定。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2 毛细管的敷设应有保护措施，弯曲半径不应小于50mm，周围温度变化剧烈时应采取隔热措施。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物位检测仪表的安装应符合设计及相关标准要求。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《石油天然气建设工程施工质量验收规范自动化仪表工程》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4205-2019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8.2.2 物位取源部件的安装应符合下列规定：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物位取源部件的安装位置应符合设计文件规定。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内浮筒液位计和浮球液位计采用导向管或其他导向装置时，导向管或导向装置应垂直安装，导向管内液流应畅通。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双室平衡容器应垂直安装，中心点应与正常液位相重合；其制造尺寸应符合设计文件规定。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单室平衡容器的安装标高应符合设计文件规定。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补偿式平衡容器安装固定时应有防止热膨胀的措施。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8.2.3 物位检测仪表的安装应符合下列规定：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仪表的安装位置应符合设计文件规定，安装应牢固、平正，不应承受非正常外力。</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浮筒液位计的安装应使浮筒呈垂直状态，垂直度允许偏差为2mm/m；浮筒中心应处于正常操作液位或分界液位的高度。</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钢带液位计的导向管应垂直安装，钢带应处于导向管的中心并滑动自如。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雷达物位计不应安装在进料口的上方，传感器应垂直于物料表面。</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音叉物位计的两个平行叉板应与地面垂直安装。</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 射频导纳物位计不应安装在进料口的上方，传感器的中心探杆和屏蔽层与容器壁（或安装管）不得接触，应绝缘良好，安装螺纹（或法兰）与容器应连接牢固、电气接触良好。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8.2.4 与仪表连接的管道、线路的安装质量、检验数量和检验方法应符合本规范第6.2.4条的规定。</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8.2.5 有特殊要求的物位检测仪表的安装质量、检验数量和检验方法应符合本规范第7.2.5条的规定。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成分分析和物性检测仪表的安装应符合设计及相关标准要求。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《石油天然气建设工程施工质量验收规范自动化仪表工程》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4205-2019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9.2.2 分析取源部件的安装应符合下列规定：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分析取源部件的安装位置应符合设计文件规定。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被分析的气体内含有异相杂质时，取源部件的轴线与水平线之间的仰角应大于15°。</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9.2.3 成分分析和物性检测仪表的安装应符合下列规定：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仪表的安装位置应符合设计文件规定，安装应牢固、平正，不应承受非正常外力。</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分析样品的排放设施的安装应符合设计文件规定。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当被检测气体的密度大于空气密度时，可燃气体检测器和有毒气体检测器距离地面的安装位置应符合设计文件规定；密度小于空气密度时，检测器应安装在泄漏区域的上方。</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9.2.4 与仪表连接的管道、线路的安装质量、检验数量和检验方法应符合本规范第6.2.4条的规定。</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9.2.5 成分分析和物性检测仪表的防爆、接地、脱脂、隔离和吹洗措施应符合设计文件规定。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3.1.8.8</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执行器的安装应符合设计及相关标准要求。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《石油天然气建设工程施工质量验收规范自动化仪表工程》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4205-2019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11.2.2 执行器的安装应符合下列要求：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控制阀的安装位置应符合设计文件要求，便于观察、操作维护。</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执行机构应固定牢固，操作手轮应处在便于操作的位置。</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执行机构的机械传动应灵活，无松动和卡涩现象。</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执行机构应保证调节机构在全开到全关的范围内动作灵活、平稳。</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气、液动执行机构的连接管道应有伸缩余度，不应妨碍执行机构的动作。</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 电磁阀线圈与阀体间的绝缘电阻应符合产品技术文件的要求，安装时进出口方位应正确。</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11.2.3 与仪表连接的管道、线路的安装质晕、检验数量和检验方法应符合本规范第6.2.4条的规定。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11.2.4 执行器的防爆、接地和隔离措施应符合设计文件规定。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3.1.8.9</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仪表及自控安装</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仪表线路的安装应符合设计及相关标准要求。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《石油天然气建设工程施工质量验收规范自动化仪表工程》</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4205-2019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12.2.1 仪表线路的安装应符合下列规定：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当仪表线路有隔热措施和防火措施要求时，应按设计文件执行。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本质安全型仪表线路的敷设、接线应符合设计文件规定。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电缆桥架、电缆沟或电缆导管通过不同防爆等级区域分隔间的墙壁时，充填密封措施应符合设计文件要求。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仪表线路从室外进入室内时，防水和封堵措施应符合设计文件要求；仪表线路进入室外的盘（柜、箱）时，宜从底部进入，防水密封措施应符合设计文件要求。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12.2.2 支架的规格、材质、结构形式应符合设计文件规定，安装应符合现行国家标准《自动化仪表工程施工及质量验收规范》GB50093的有关规定。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12.2.3 电缆桥架的安装应符合下列规定：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电缆桥架的型号、规格、材质等应符合设计文件规定。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电缆桥架的内外表面应平整，内部应光洁、无毛刺，尺寸应准确，配件应齐全。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金属电缆桥架应保持接地连续性，接地连接点不少于2处，接地电阻应符合设计文件规定。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12.2.4 电缆导管的安装应符合下列规定：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电缆导管的型号、规格、材质等应符合设计文件规定。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电缆导管应无变形或裂缝，内部应清洁、无毛刺，管口应光滑、无锐边。</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12.2.5 电缆、电线、光缆的敷设应符合下列规定：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L 电缆、电线、光缆的型号、规格应符合设计文件规定。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电缆电线的绝缘电阻试验应采用直流500V兆欧表测量，100V以下的仪表线路应采用直流250V兆欧表测量，电阻值不应小于5MΩ。</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仪表线路应排列整齐，固定时应松紧适当。</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仪表线路及其绝缘层应无损伤。</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光缆的连接应符合现行国家标准《自动化仪表工程施工及质量验收规范》GB50093的有关规定。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12.2.6 仪表接线箱的型号、规格、材质等应符合设计文件规定。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12.2.7 仪表电伴热带的敷设、固定应符合设计文件和现行国家标准《自动化仪表工程施工及质量验收规范》GB50093的要求。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3.1.9</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给排水</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站区给</w:t>
            </w:r>
            <w:r>
              <w:rPr>
                <w:rFonts w:hint="eastAsia" w:ascii="宋体" w:hAnsi="宋体" w:eastAsia="宋体" w:cs="宋体"/>
                <w:color w:val="auto"/>
                <w:sz w:val="21"/>
                <w:szCs w:val="21"/>
                <w:highlight w:val="none"/>
              </w:rPr>
              <w:t>排水应符合设计及相关标准要求。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《汽车加油加气加氢站技术标准》GB50156-2021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val="zh-CN" w:bidi="zh-CN"/>
              </w:rPr>
              <w:t>1</w:t>
            </w:r>
            <w:r>
              <w:rPr>
                <w:rFonts w:hint="eastAsia" w:ascii="宋体" w:hAnsi="宋体" w:eastAsia="宋体" w:cs="宋体"/>
                <w:color w:val="auto"/>
                <w:sz w:val="21"/>
                <w:szCs w:val="21"/>
                <w:highlight w:val="none"/>
                <w:lang w:bidi="zh-CN"/>
              </w:rPr>
              <w:t>2</w:t>
            </w:r>
            <w:r>
              <w:rPr>
                <w:rFonts w:hint="eastAsia" w:ascii="宋体" w:hAnsi="宋体" w:eastAsia="宋体" w:cs="宋体"/>
                <w:color w:val="auto"/>
                <w:sz w:val="21"/>
                <w:szCs w:val="21"/>
                <w:highlight w:val="none"/>
                <w:lang w:val="zh-CN" w:bidi="zh-CN"/>
              </w:rPr>
              <w:t>.3.1</w:t>
            </w:r>
            <w:r>
              <w:rPr>
                <w:rFonts w:hint="eastAsia" w:ascii="宋体" w:hAnsi="宋体" w:eastAsia="宋体" w:cs="宋体"/>
                <w:color w:val="auto"/>
                <w:sz w:val="21"/>
                <w:szCs w:val="21"/>
                <w:highlight w:val="none"/>
                <w:lang w:bidi="zh-CN"/>
              </w:rPr>
              <w:t xml:space="preserve"> </w:t>
            </w:r>
            <w:r>
              <w:rPr>
                <w:rFonts w:hint="eastAsia" w:ascii="宋体" w:hAnsi="宋体" w:eastAsia="宋体" w:cs="宋体"/>
                <w:color w:val="auto"/>
                <w:sz w:val="21"/>
                <w:szCs w:val="21"/>
                <w:highlight w:val="none"/>
                <w:lang w:val="zh-CN" w:bidi="zh-CN"/>
              </w:rPr>
              <w:t>汽车加油加气加氢站设置的水冷式压缩机系统的压缩机冷却水供给，应满足压缩机的水位水质要求，且宜循环使用。</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12.</w:t>
            </w:r>
            <w:r>
              <w:rPr>
                <w:rFonts w:hint="eastAsia" w:ascii="宋体" w:hAnsi="宋体" w:eastAsia="宋体" w:cs="宋体"/>
                <w:color w:val="auto"/>
                <w:sz w:val="21"/>
                <w:szCs w:val="21"/>
                <w:highlight w:val="none"/>
                <w:lang w:val="zh-CN" w:bidi="zh-CN"/>
              </w:rPr>
              <w:t>3.2</w:t>
            </w:r>
            <w:r>
              <w:rPr>
                <w:rFonts w:hint="eastAsia" w:ascii="宋体" w:hAnsi="宋体" w:eastAsia="宋体" w:cs="宋体"/>
                <w:color w:val="auto"/>
                <w:sz w:val="21"/>
                <w:szCs w:val="21"/>
                <w:highlight w:val="none"/>
                <w:lang w:bidi="zh-CN"/>
              </w:rPr>
              <w:t xml:space="preserve"> </w:t>
            </w:r>
            <w:r>
              <w:rPr>
                <w:rFonts w:hint="eastAsia" w:ascii="宋体" w:hAnsi="宋体" w:eastAsia="宋体" w:cs="宋体"/>
                <w:color w:val="auto"/>
                <w:sz w:val="21"/>
                <w:szCs w:val="21"/>
                <w:highlight w:val="none"/>
                <w:lang w:val="zh-CN" w:bidi="zh-CN"/>
              </w:rPr>
              <w:t>汽车加油加气加氢站的排水应符合下列规定：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1 </w:t>
            </w:r>
            <w:r>
              <w:rPr>
                <w:rFonts w:hint="eastAsia" w:ascii="宋体" w:hAnsi="宋体" w:eastAsia="宋体" w:cs="宋体"/>
                <w:color w:val="auto"/>
                <w:sz w:val="21"/>
                <w:szCs w:val="21"/>
                <w:highlight w:val="none"/>
                <w:lang w:val="zh-CN" w:bidi="zh-CN"/>
              </w:rPr>
              <w:t>站内地面雨水可散流排出站外，当加油站、LPG加气站或加油与LPG加气合建站的</w:t>
            </w:r>
            <w:r>
              <w:rPr>
                <w:rFonts w:hint="eastAsia" w:ascii="宋体" w:hAnsi="宋体" w:eastAsia="宋体" w:cs="宋体"/>
                <w:color w:val="auto"/>
                <w:sz w:val="21"/>
                <w:szCs w:val="21"/>
                <w:highlight w:val="none"/>
                <w:lang w:bidi="zh-CN"/>
              </w:rPr>
              <w:t>雨水</w:t>
            </w:r>
            <w:r>
              <w:rPr>
                <w:rFonts w:hint="eastAsia" w:ascii="宋体" w:hAnsi="宋体" w:eastAsia="宋体" w:cs="宋体"/>
                <w:color w:val="auto"/>
                <w:sz w:val="21"/>
                <w:szCs w:val="21"/>
                <w:highlight w:val="none"/>
                <w:lang w:val="zh-CN" w:bidi="zh-CN"/>
              </w:rPr>
              <w:t>由明沟排到站外时，应在图墙内设置水封装置；</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2 </w:t>
            </w:r>
            <w:r>
              <w:rPr>
                <w:rFonts w:hint="eastAsia" w:ascii="宋体" w:hAnsi="宋体" w:eastAsia="宋体" w:cs="宋体"/>
                <w:color w:val="auto"/>
                <w:sz w:val="21"/>
                <w:szCs w:val="21"/>
                <w:highlight w:val="none"/>
                <w:lang w:val="zh-CN" w:bidi="zh-CN"/>
              </w:rPr>
              <w:t>加油站、LPG加气站或加油与LPG加气合建站排出建筑物或围墙的污水，在建筑物墙外或</w:t>
            </w:r>
            <w:r>
              <w:rPr>
                <w:rFonts w:hint="eastAsia" w:ascii="宋体" w:hAnsi="宋体" w:eastAsia="宋体" w:cs="宋体"/>
                <w:color w:val="auto"/>
                <w:sz w:val="21"/>
                <w:szCs w:val="21"/>
                <w:highlight w:val="none"/>
                <w:lang w:bidi="zh-CN"/>
              </w:rPr>
              <w:t>围</w:t>
            </w:r>
            <w:r>
              <w:rPr>
                <w:rFonts w:hint="eastAsia" w:ascii="宋体" w:hAnsi="宋体" w:eastAsia="宋体" w:cs="宋体"/>
                <w:color w:val="auto"/>
                <w:sz w:val="21"/>
                <w:szCs w:val="21"/>
                <w:highlight w:val="none"/>
                <w:lang w:val="zh-CN" w:bidi="zh-CN"/>
              </w:rPr>
              <w:t>墙内应分别设水封井，水封井的水封高度不应小于0.25m。水封井应设沉泥段，沉泥段高度不应小</w:t>
            </w:r>
            <w:r>
              <w:rPr>
                <w:rFonts w:hint="eastAsia" w:ascii="宋体" w:hAnsi="宋体" w:eastAsia="宋体" w:cs="宋体"/>
                <w:color w:val="auto"/>
                <w:sz w:val="21"/>
                <w:szCs w:val="21"/>
                <w:highlight w:val="none"/>
                <w:lang w:bidi="zh-CN"/>
              </w:rPr>
              <w:t>于</w:t>
            </w:r>
            <w:r>
              <w:rPr>
                <w:rFonts w:hint="eastAsia" w:ascii="宋体" w:hAnsi="宋体" w:eastAsia="宋体" w:cs="宋体"/>
                <w:color w:val="auto"/>
                <w:sz w:val="21"/>
                <w:szCs w:val="21"/>
                <w:highlight w:val="none"/>
                <w:lang w:val="zh-CN" w:bidi="zh-CN"/>
              </w:rPr>
              <w:t>0.25m；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3 </w:t>
            </w:r>
            <w:r>
              <w:rPr>
                <w:rFonts w:hint="eastAsia" w:ascii="宋体" w:hAnsi="宋体" w:eastAsia="宋体" w:cs="宋体"/>
                <w:color w:val="auto"/>
                <w:sz w:val="21"/>
                <w:szCs w:val="21"/>
                <w:highlight w:val="none"/>
                <w:lang w:val="zh-CN" w:bidi="zh-CN"/>
              </w:rPr>
              <w:t>清洗油罐的污水应集中收</w:t>
            </w:r>
            <w:r>
              <w:rPr>
                <w:rFonts w:hint="eastAsia" w:ascii="宋体" w:hAnsi="宋体" w:eastAsia="宋体" w:cs="宋体"/>
                <w:color w:val="auto"/>
                <w:sz w:val="21"/>
                <w:szCs w:val="21"/>
                <w:highlight w:val="none"/>
                <w:lang w:bidi="zh-CN"/>
              </w:rPr>
              <w:t>集</w:t>
            </w:r>
            <w:r>
              <w:rPr>
                <w:rFonts w:hint="eastAsia" w:ascii="宋体" w:hAnsi="宋体" w:eastAsia="宋体" w:cs="宋体"/>
                <w:color w:val="auto"/>
                <w:sz w:val="21"/>
                <w:szCs w:val="21"/>
                <w:highlight w:val="none"/>
                <w:lang w:val="zh-CN" w:bidi="zh-CN"/>
              </w:rPr>
              <w:t>处理。不应直接进入排水管道，LPG储罐的排污（排水）应采用活动式回收桶集中收集处理，不应直接接入排水管道；</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4 </w:t>
            </w:r>
            <w:r>
              <w:rPr>
                <w:rFonts w:hint="eastAsia" w:ascii="宋体" w:hAnsi="宋体" w:eastAsia="宋体" w:cs="宋体"/>
                <w:color w:val="auto"/>
                <w:sz w:val="21"/>
                <w:szCs w:val="21"/>
                <w:highlight w:val="none"/>
                <w:lang w:val="zh-CN" w:bidi="zh-CN"/>
              </w:rPr>
              <w:t>排出站外的污水应符合国家现行有关污水排放标准的规定；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 xml:space="preserve">5 </w:t>
            </w:r>
            <w:r>
              <w:rPr>
                <w:rFonts w:hint="eastAsia" w:ascii="宋体" w:hAnsi="宋体" w:eastAsia="宋体" w:cs="宋体"/>
                <w:color w:val="auto"/>
                <w:sz w:val="21"/>
                <w:szCs w:val="21"/>
                <w:highlight w:val="none"/>
                <w:lang w:val="zh-CN" w:bidi="zh-CN"/>
              </w:rPr>
              <w:t>加油站、LPG加气站不应采用暗沟排水。</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12.3.</w:t>
            </w:r>
            <w:r>
              <w:rPr>
                <w:rFonts w:hint="eastAsia" w:ascii="宋体" w:hAnsi="宋体" w:eastAsia="宋体" w:cs="宋体"/>
                <w:color w:val="auto"/>
                <w:sz w:val="21"/>
                <w:szCs w:val="21"/>
                <w:highlight w:val="none"/>
                <w:lang w:val="zh-CN" w:bidi="zh-CN"/>
              </w:rPr>
              <w:t>3</w:t>
            </w:r>
            <w:r>
              <w:rPr>
                <w:rFonts w:hint="eastAsia" w:ascii="宋体" w:hAnsi="宋体" w:eastAsia="宋体" w:cs="宋体"/>
                <w:color w:val="auto"/>
                <w:sz w:val="21"/>
                <w:szCs w:val="21"/>
                <w:highlight w:val="none"/>
                <w:lang w:bidi="zh-CN"/>
              </w:rPr>
              <w:t xml:space="preserve"> </w:t>
            </w:r>
            <w:r>
              <w:rPr>
                <w:rFonts w:hint="eastAsia" w:ascii="宋体" w:hAnsi="宋体" w:eastAsia="宋体" w:cs="宋体"/>
                <w:color w:val="auto"/>
                <w:sz w:val="21"/>
                <w:szCs w:val="21"/>
                <w:highlight w:val="none"/>
                <w:lang w:val="zh-CN" w:bidi="zh-CN"/>
              </w:rPr>
              <w:t>排水井、雨水口和化粪池不应设在作业区和可燃液体出现泄湍事故时可能流经的部位。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液化石油气供应工程设计规范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GB51142-2015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11.2.2</w:t>
            </w:r>
            <w:r>
              <w:rPr>
                <w:rFonts w:hint="eastAsia" w:ascii="宋体" w:hAnsi="宋体" w:eastAsia="宋体" w:cs="宋体"/>
                <w:sz w:val="21"/>
                <w:szCs w:val="21"/>
                <w:highlight w:val="none"/>
                <w:lang w:val="en-US"/>
              </w:rPr>
              <w:t xml:space="preserve"> </w:t>
            </w:r>
            <w:r>
              <w:rPr>
                <w:rFonts w:hint="eastAsia" w:ascii="宋体" w:hAnsi="宋体" w:eastAsia="宋体" w:cs="宋体"/>
                <w:sz w:val="21"/>
                <w:szCs w:val="21"/>
                <w:highlight w:val="none"/>
                <w:lang w:val="zh-CN"/>
              </w:rPr>
              <w:t>液化石油气储存站、储配站、灌装站、气化站和混气站生产区的排水系统应采取防止液化石油气排入其他地下管道或低洼部位的措施，并应符合下列规定：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rPr>
              <w:t xml:space="preserve">1 </w:t>
            </w:r>
            <w:r>
              <w:rPr>
                <w:rFonts w:hint="eastAsia" w:ascii="宋体" w:hAnsi="宋体" w:eastAsia="宋体" w:cs="宋体"/>
                <w:sz w:val="21"/>
                <w:szCs w:val="21"/>
                <w:highlight w:val="none"/>
                <w:lang w:val="zh-CN"/>
              </w:rPr>
              <w:t>生产区内地面雨水可散流排出站外。在排出围墙之前，应设置水封和隔油装置。</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rPr>
              <w:t xml:space="preserve">2 </w:t>
            </w:r>
            <w:r>
              <w:rPr>
                <w:rFonts w:hint="eastAsia" w:ascii="宋体" w:hAnsi="宋体" w:eastAsia="宋体" w:cs="宋体"/>
                <w:sz w:val="21"/>
                <w:szCs w:val="21"/>
                <w:highlight w:val="none"/>
                <w:lang w:val="zh-CN"/>
              </w:rPr>
              <w:t>储罐区雨水可采用管道排至站外，在排出储罐区防护堤和围墙之前应分别设置水封装置。</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rPr>
              <w:t xml:space="preserve">3 </w:t>
            </w:r>
            <w:r>
              <w:rPr>
                <w:rFonts w:hint="eastAsia" w:ascii="宋体" w:hAnsi="宋体" w:eastAsia="宋体" w:cs="宋体"/>
                <w:sz w:val="21"/>
                <w:szCs w:val="21"/>
                <w:highlight w:val="none"/>
                <w:lang w:val="zh-CN"/>
              </w:rPr>
              <w:t>液化石油气储存站、储配站、灌装站、气化站和混气站生产区应在建筑墙外或围墙内设置水封井。水封井的水封高度应为0.30m～0.50m；水封井应设沉泥段，沉泥段高度不应小于0.25m。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rPr>
              <w:t xml:space="preserve">4 </w:t>
            </w:r>
            <w:r>
              <w:rPr>
                <w:rFonts w:hint="eastAsia" w:ascii="宋体" w:hAnsi="宋体" w:eastAsia="宋体" w:cs="宋体"/>
                <w:sz w:val="21"/>
                <w:szCs w:val="21"/>
                <w:highlight w:val="none"/>
                <w:lang w:val="zh-CN"/>
              </w:rPr>
              <w:t>清洗储罐的污水不应直接进入排水管道。液化石油气储罐的排污应采用活动式回收桶集中收集处理，不得直接接入排水管道。</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rPr>
              <w:t xml:space="preserve">5 </w:t>
            </w:r>
            <w:r>
              <w:rPr>
                <w:rFonts w:hint="eastAsia" w:ascii="宋体" w:hAnsi="宋体" w:eastAsia="宋体" w:cs="宋体"/>
                <w:sz w:val="21"/>
                <w:szCs w:val="21"/>
                <w:highlight w:val="none"/>
                <w:lang w:val="zh-CN"/>
              </w:rPr>
              <w:t>排出站外城镇下水道系统的污水应符合现行行业标准《污水排入城镇下水道水质标准》CJ343的有关规定。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val="zh-CN"/>
              </w:rPr>
              <w:t>2016年8月1日实施新标准《污水排入城镇下水道水质标准》GB/T31962-2015。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zh-CN"/>
              </w:rPr>
              <w:t>《污水排入城镇下水道水质标准》GB/T31962-2015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3.1.10</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钢网架工程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钢网架工程</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焊接工程应符合</w:t>
            </w:r>
            <w:r>
              <w:rPr>
                <w:rFonts w:hint="eastAsia" w:ascii="宋体" w:hAnsi="宋体" w:eastAsia="宋体" w:cs="宋体"/>
                <w:color w:val="auto"/>
                <w:sz w:val="21"/>
                <w:szCs w:val="21"/>
                <w:highlight w:val="none"/>
              </w:rPr>
              <w:t>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《钢结构工程施工质量验收标准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GB50205–2020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 焊接应冷却到环境温度后方可进行外观检测，无损检测应在外观检测合格后进行。具体检测时间应符合国家现行标准《钢结构焊接规范》GB50661的规定。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 焊接材料与母材的匹配应符合设计文件的要求及国家现行标准的规定。焊接材料在使用前，应按其说明书及焊接工艺文件的规定进行烘焙和存放。</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 持证焊工必须在其焊工合格证书规定的认可范围内施焊，严禁无证焊工施焊。</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 施工单位应按现行国家标准《钢结构焊接规范》GB50661的规定进行焊接工艺评定，根据评定报告确定焊接工艺，编写焊接工艺规程并进行全过程质量控制。</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设计要求的一、二级焊缝应进行内部缺陷的无损检测，一、二级焊缝的质量等级和检测要求，应符合表5.2.4的规定。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 施工单位对其采用的栓钉和钢材焊接应进行焊接工艺评定，其结果应满足设计要求，并符合现行国家标准的规定。栓钉焊瓷环保存时应有防潮措施，受潮时的焊接瓷环使用前应在120℃~150℃范围内烘焙1h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2h。</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 栓钉焊接接头外观质量检验合格后进行打弯抽样检查，焊缝和热影响区不得有肉眼可见的裂纹。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钢网架工程</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紧固件连接应符合</w:t>
            </w:r>
            <w:r>
              <w:rPr>
                <w:rFonts w:hint="eastAsia" w:ascii="宋体" w:hAnsi="宋体" w:eastAsia="宋体" w:cs="宋体"/>
                <w:color w:val="auto"/>
                <w:sz w:val="21"/>
                <w:szCs w:val="21"/>
                <w:highlight w:val="none"/>
              </w:rPr>
              <w:t>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《钢结构工程施工质量验收标准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GB50205–2020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 普通螺栓作为永久性连接螺栓时，当设计有要求或对其质量有疑义时，应进行螺栓实物最小拉力载荷复验，试验方法可按本标准附录B执行，其结果应符合现行国家标准《坚固件机械性能 螺栓 螺钉和螺柱》GB/T3098的规定。</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 连接薄板采用的自攻钉、拉铆钉、射钉等规格尺寸应与被连接钢板相匹配，并满足设计要求，其间距、边距应满足设计要求。</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钢结构制作和安装单位应分别进行高强度螺栓连接摩擦面（含涂层摩擦面）的抗滑移系数试验和复验，现场处理的构件摩擦面应单独进行摩擦面抗滑移系数试验，其结果应满足设计要求。</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 涂层摩擦面钢材表面处理应达到Sa2.5，涂层最小厚度应达到设计要求。</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6.3.3 高强度螺栓连接副应在终拧完成后1h后、48h内进行终拧质量检查，检查结果应符合标准附录B的规定。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钢网架工程</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钢组件组装应符合</w:t>
            </w:r>
            <w:r>
              <w:rPr>
                <w:rFonts w:hint="eastAsia" w:ascii="宋体" w:hAnsi="宋体" w:eastAsia="宋体" w:cs="宋体"/>
                <w:color w:val="auto"/>
                <w:sz w:val="21"/>
                <w:szCs w:val="21"/>
                <w:highlight w:val="none"/>
              </w:rPr>
              <w:t>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《钢结构工程施工质量验收标准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GB50205–2020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钢材、钢部件拼接或对接时所采用的焊缝质量等级应满足设计要求。当设计没有要求时，应采用质量等级不低于二级的熔透焊缝，对直接承受拉力的焊缝，应采用一级熔透焊缝。</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 钢吊车梁的下翼缘不得焊接工装夹具、定位板、连接板等临时工件。钢吊车梁和吊车桁架组装、焊接完成后在自重荷载下不允许有下挠。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钢网架工程</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钢构件实体预拼装</w:t>
            </w:r>
            <w:r>
              <w:rPr>
                <w:rFonts w:hint="eastAsia" w:ascii="宋体" w:hAnsi="宋体" w:eastAsia="宋体" w:cs="宋体"/>
                <w:color w:val="auto"/>
                <w:sz w:val="21"/>
                <w:szCs w:val="21"/>
                <w:highlight w:val="none"/>
              </w:rPr>
              <w:t>应符合</w:t>
            </w:r>
            <w:r>
              <w:rPr>
                <w:rFonts w:hint="eastAsia" w:ascii="宋体" w:hAnsi="宋体" w:eastAsia="宋体" w:cs="宋体"/>
                <w:color w:val="auto"/>
                <w:sz w:val="21"/>
                <w:szCs w:val="21"/>
                <w:highlight w:val="none"/>
              </w:rPr>
              <w:t>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《钢结构工程施工质量验收标准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GB50205–2020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 高强度螺栓和普通螺栓连接的多层板叠，应采用试孔器乾螺栓孔通过率检查，并应符合下列规定：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当采用比公称孔径小1.0mm的试孔器检查时，每组孔的通过率不应小于85%。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当采用比螺栓公称直径大0.3mm的试孔器检查时，通过率应为100%。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钢网架工程</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单层、多高层钢结构安装</w:t>
            </w:r>
            <w:r>
              <w:rPr>
                <w:rFonts w:hint="eastAsia" w:ascii="宋体" w:hAnsi="宋体" w:eastAsia="宋体" w:cs="宋体"/>
                <w:color w:val="auto"/>
                <w:sz w:val="21"/>
                <w:szCs w:val="21"/>
                <w:highlight w:val="none"/>
              </w:rPr>
              <w:t>应符合</w:t>
            </w:r>
            <w:r>
              <w:rPr>
                <w:rFonts w:hint="eastAsia" w:ascii="宋体" w:hAnsi="宋体" w:eastAsia="宋体" w:cs="宋体"/>
                <w:color w:val="auto"/>
                <w:sz w:val="21"/>
                <w:szCs w:val="21"/>
                <w:highlight w:val="none"/>
              </w:rPr>
              <w:t>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《钢结构工程施工质量验收标准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GB50205–2020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 钢结构安装工程可按变形缝或空间稳定单元等划分成一个或若干个检验批，也可按楼层或施工段等划分为一个或若干个检验批。地下钢结构可按不同地下层划分检验批。</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10.1.5 安装偏差的检测，应在结构形成空间稳定单元并连接固定且临时支撑结构拆除前进行。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10.1.6 安装时，施工荷载和冰雪荷载等严禁超过梁、桁架、楼面板、层面板、平台铺板等的承载能力。</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10.1.7 有形成空间稳定单元后，应立即对柱底板和基础顶面的空隙进行二次浇灌。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10.1.8 多节柱安装时，每节柱的定位轴线应从基础控制轴线直接引上，不得从下层柱的轴线引上。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3.1.11</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安全附件校验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3.1.11.1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安全附件校验</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安全附件安装应符合设计及相关标准要求。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4.7.1 安全阀安装前，应按设计文件规定进行调试。调试后的安全阀应加铅封，并封堵端口。</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4.7.2 压力表液位计、流量计、测量仪表等安装前应经校验合格并加封印。安全附件安装应朝向便于观察的位置。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3.1.12</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设备调试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3.1.12.1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设备调试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6.1.1 现场组焊的设备进行耐压试验前，应对下列条件进行确认：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设备本体及与本体相焊的焊接和检验工作全部完成。</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需要进行焊后热处理的设备，热处理工作已完成。</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设备开孔补强圈焊缝用0.4〜0.5MPa的压缩空气检查焊接接头质量合格。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已安装的设备找正、找平工作已完成。</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基础二次灌浆达到设计强度要求。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 耐压试验应</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液压试验，若</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气压试验代替液压试验时，必须符合下列规定：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压力容器的焊接接头进行100%射线或超声检测，执行标 准和合格级别执行原设计文件的规定。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非压力容器的焊接接头进行25%射线或超声检测，合格级别射线检测为Ⅲ级、超声检测为Ⅱ级。</w:t>
            </w:r>
          </w:p>
          <w:p>
            <w:pPr>
              <w:pStyle w:val="2"/>
              <w:keepNext w:val="0"/>
              <w:keepLines w:val="0"/>
              <w:pageBreakBefore w:val="0"/>
              <w:kinsoku/>
              <w:wordWrap/>
              <w:overflowPunct/>
              <w:topLinePunct w:val="0"/>
              <w:autoSpaceDE/>
              <w:autoSpaceDN/>
              <w:bidi w:val="0"/>
              <w:spacing w:line="260" w:lineRule="atLeast"/>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有本单位技术总负责人批准的安全措施。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试验用压力表应符合下列规定：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应在设备最高处和最低处各设置一块量程相同并经检定合格的压力表。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设备设计压力小于1.6MPa时，压力表的精度等级不应低于2.5级；设计压力大于或等于1.6MPa时，不应低于1.5级。</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压力表的量程不应小于1.5倍且不应大于3倍的试验压力；压力表的直径不应小于100mm。</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6.1.5 真空设备和外压设备应以内压进行耐压试验，差压设备耐压试验时应检查压差，其值均不得超过设计文件的规定值。</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6.1.7立式设备以卧置进行液压试验时，试验压力应为立置时的试验压力加液柱静压力，并应对设备顶部进行应力校核。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3.1.12.2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设备调试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液压试验应符合设计及相关标准要求。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6.2.1 试验介质宜采用工业用水。奥氏体不锈钢设备用水作介质时，水质氯离子含量不得超过25mg/L。试验介质也可采用不会导致发生危险的其他液体。</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6.2.2 试验介质的温度应符合下列规定：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碳素钢、Q345R、Q370R制设备液压试验时，液体温度不得低于5℃；其他低合金钢制设备液压试验时，液体温度不得低于15℃</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由于板厚等因素造成材料无延性转变温度升高及其他材料制设备液压试验时，液体的温度按设计文件规定执行。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6.2.3 液压试验时，设备外表面应保持干燥，当设备壁温与液体温度接近时，缓慢升压至设计压力；确认无泄漏后继续升压至规定的试验压力，保压时间不少于30min；然后将压力降至规定试验压力的80%，对所有焊接接头和连接部位进行全面检查，符合下列规定为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无渗漏。</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无可见的</w:t>
            </w:r>
            <w:r>
              <w:rPr>
                <w:rFonts w:hint="eastAsia" w:ascii="宋体" w:hAnsi="宋体" w:eastAsia="宋体" w:cs="宋体"/>
                <w:color w:val="auto"/>
                <w:sz w:val="21"/>
                <w:szCs w:val="21"/>
                <w:highlight w:val="none"/>
                <w:lang w:val="zh-CN" w:bidi="zh-CN"/>
              </w:rPr>
              <w:t>变形。</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试验过程无异常的响声。</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6.2.4 对在基础上做液压试验且容积大于</w:t>
            </w:r>
            <w:r>
              <w:rPr>
                <w:rFonts w:hint="eastAsia" w:ascii="宋体" w:hAnsi="宋体" w:eastAsia="宋体" w:cs="宋体"/>
                <w:color w:val="auto"/>
                <w:sz w:val="21"/>
                <w:szCs w:val="21"/>
                <w:highlight w:val="none"/>
                <w:lang w:val="en-US" w:bidi="zh-CN"/>
              </w:rPr>
              <w:t>100</w:t>
            </w:r>
            <w:r>
              <w:rPr>
                <w:rFonts w:hint="eastAsia" w:ascii="宋体" w:hAnsi="宋体" w:eastAsia="宋体" w:cs="宋体"/>
                <w:color w:val="auto"/>
                <w:sz w:val="21"/>
                <w:szCs w:val="21"/>
                <w:highlight w:val="none"/>
                <w:lang w:bidi="zh-CN"/>
              </w:rPr>
              <w:t>m的设备，液压试验的同时常在充液前、充液1/3时、充液2/3时、充满液后24h时、放液后，应作基础沉降观测。基础沉降应均匀，不均匀沉降量应符合设计文件的规定。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3.1.12.3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设备调试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气压试验应符合设计及相关标准要求。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气压试验所用气体应为干燥、洁净的空气、氮气或惰性气体。</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 气压试验时的气体温度应符合如下规定：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碳素钢和低合金钢制设备，气压试验时气体温度不得低于15℃。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其他材料制设备，气压试验时气体温度按设计文件规定。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6.3.3 气压试验时，应按下列程序进行升压和检查：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缓慢升压至规定试验压力的10%，且不超过0.05MPa，保压5min，对所有焊缝和连接部位进行初次泄漏检查。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初次泄漏检查合格后，继续缓慢升压至规定试验压力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50%，观察有无异常现象。</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如无异常现象，继续按规定试验压力的10%逐级升压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直至达到试验压力止，保压时间不少于30min，</w:t>
            </w:r>
            <w:r>
              <w:rPr>
                <w:rFonts w:hint="eastAsia" w:ascii="宋体" w:hAnsi="宋体" w:eastAsia="宋体" w:cs="宋体"/>
                <w:color w:val="auto"/>
                <w:sz w:val="21"/>
                <w:szCs w:val="21"/>
                <w:highlight w:val="none"/>
                <w:lang w:eastAsia="zh-CN"/>
              </w:rPr>
              <w:t>然后</w:t>
            </w:r>
            <w:r>
              <w:rPr>
                <w:rFonts w:hint="eastAsia" w:ascii="宋体" w:hAnsi="宋体" w:eastAsia="宋体" w:cs="宋体"/>
                <w:color w:val="auto"/>
                <w:sz w:val="21"/>
                <w:szCs w:val="21"/>
                <w:highlight w:val="none"/>
              </w:rPr>
              <w:t>将压力降至规定试验压力的87%，对所有焊接接头和连接部位进行全面检查。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4 试验过程无异常响声，设备为可见的变形，焊缝和连接部位等用检漏液检查，无泄漏为合格。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3.1.12.4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设备调试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气密试验</w:t>
            </w:r>
            <w:r>
              <w:rPr>
                <w:rFonts w:hint="eastAsia" w:ascii="宋体" w:hAnsi="宋体" w:eastAsia="宋体" w:cs="宋体"/>
                <w:color w:val="auto"/>
                <w:sz w:val="21"/>
                <w:szCs w:val="21"/>
                <w:highlight w:val="none"/>
              </w:rPr>
              <w:t>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 气密试验应在耐压试验合格后进行。对进行气压试验的设备，气密试验可在气压试验压力降到气密试验压力后一并进行。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 气密试验时的气体温度应符合本规范第6.3.2条的规定。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6.4.3 气密试验时应将安全附件装配齐全。</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6.4.4 气密试验时，压力应缓慢上升，达到试验压力后，保压时间不应少于30min，同时对焊缝和连接部位等用检漏液检查，无泄漏为合格。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3.1.12.5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设备调试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充水试漏应符合设计及相关标准要求。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《石油化工静设备安装工程施工质量验收规范》GB50461-2008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6.5.1 充水试漏应符合下列规定：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充水试漏前应将焊接接头的外表面清理干净，并使之干燥。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试漏的持续时间应根据检查所需时间决定，但不得少于lh。</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焊接接头无渗漏为合格。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3.1.13</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color w:val="auto"/>
                <w:spacing w:val="-6"/>
                <w:kern w:val="0"/>
                <w:sz w:val="21"/>
                <w:szCs w:val="21"/>
                <w:highlight w:val="none"/>
              </w:rPr>
            </w:pPr>
            <w:r>
              <w:rPr>
                <w:rFonts w:hint="eastAsia" w:ascii="宋体" w:hAnsi="宋体" w:eastAsia="宋体" w:cs="宋体"/>
                <w:b/>
                <w:bCs/>
                <w:color w:val="auto"/>
                <w:sz w:val="21"/>
                <w:szCs w:val="21"/>
                <w:highlight w:val="none"/>
              </w:rPr>
              <w:t>仪表试验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3.1.13.1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仪表试验</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《自动化仪表工程施工及质量验收规范》GB50093-2013 </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 仪表在安装和使用前应进行检查、校准和试验。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 仪表安装前的校准和试验应在室内进行。试验室应具备下列条件：</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室内应清洁、安静、光线充足，并应无振动、无对仪表及线路的电磁场干扰。</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室内温度宜</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lO℃~35℃.</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12.1.3 仪表试验的电源电压应稳定。交流电源及 60 </w:t>
            </w:r>
            <w:r>
              <w:rPr>
                <w:rFonts w:hint="eastAsia" w:ascii="宋体" w:hAnsi="宋体" w:eastAsia="宋体" w:cs="宋体"/>
                <w:color w:val="auto"/>
                <w:sz w:val="21"/>
                <w:szCs w:val="21"/>
                <w:highlight w:val="none"/>
                <w:lang w:eastAsia="zh-CN"/>
              </w:rPr>
              <w:t>V</w:t>
            </w:r>
            <w:r>
              <w:rPr>
                <w:rFonts w:hint="eastAsia" w:ascii="宋体" w:hAnsi="宋体" w:eastAsia="宋体" w:cs="宋体"/>
                <w:color w:val="auto"/>
                <w:sz w:val="21"/>
                <w:szCs w:val="21"/>
                <w:highlight w:val="none"/>
              </w:rPr>
              <w:t>以上的直流电源电压波动范围应为±10 %。60</w:t>
            </w:r>
            <w:r>
              <w:rPr>
                <w:rFonts w:hint="eastAsia" w:ascii="宋体" w:hAnsi="宋体" w:eastAsia="宋体" w:cs="宋体"/>
                <w:color w:val="auto"/>
                <w:sz w:val="21"/>
                <w:szCs w:val="21"/>
                <w:highlight w:val="none"/>
                <w:lang w:eastAsia="zh-CN"/>
              </w:rPr>
              <w:t>V</w:t>
            </w:r>
            <w:r>
              <w:rPr>
                <w:rFonts w:hint="eastAsia" w:ascii="宋体" w:hAnsi="宋体" w:eastAsia="宋体" w:cs="宋体"/>
                <w:color w:val="auto"/>
                <w:sz w:val="21"/>
                <w:szCs w:val="21"/>
                <w:highlight w:val="none"/>
              </w:rPr>
              <w:t>以下的直流电源电压波动范围应为±5%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12.1.4 仪表试验的气源应清洁、干燥，露点应低于最低环境温度lO℃以上。气源压力应稳定。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12.1.5 仪表工程在系统投用前应进行回路试验。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12.1.6 仪表回路试验的电源和气源宜由正式电源和气源供给。</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12.1.7 用于仪表校准和试验的标准仪器仪表，应具备有效的计量检定合格证明，其基本误差的绝对值不宜超过被校准仪表基本误差绝对值</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1/ 3。</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12.1.8 仪表校准和试验的条件、项目、方法应符合设计文件的规定。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12.1.9 施工现场不具备校准条件的仪表，可对检定合格证明的有效性进行验证。</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12.1.10 设计文件规定禁油和脱脂的仪表在校准和试验时，必须按其规定进行。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12.1.11 单台仪表的校准点应在仪表全量程范围内均匀选取，不应少</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rPr>
              <w:t>。当进行回路试验时，仪表校准点不应少</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3.1.13.2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仪表试验</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单台仪表校准和试验应</w:t>
            </w:r>
            <w:r>
              <w:rPr>
                <w:rFonts w:hint="eastAsia" w:ascii="宋体" w:hAnsi="宋体" w:eastAsia="宋体" w:cs="宋体"/>
                <w:color w:val="auto"/>
                <w:sz w:val="21"/>
                <w:szCs w:val="21"/>
                <w:highlight w:val="none"/>
              </w:rPr>
              <w:t>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《自动化仪表工程施工及质量验收规范》GB50093-2013 </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12.2.1 指针式显示仪表的校准和试验应符合下列要求：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面板应清洁，刻度和字迹应清晰。</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指针在全标度范围内移动应平稳、灵活。其示值误差、回程误差应符合仪表准确度的规定。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在规定的工作条件下倾斜或轻敲表壳后，指针位移应符合仪表准确度的规定。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12.2.2 数字式显示仪表的示值应清晰、稳定，在测量范围内其示值误差应符合仪表准确度的规定。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12.2.3 指针式记录仪表的校准和试验应符合下列要求：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指针在全标度范围内的示值误差和回程误差应符合仪表准确度的规定。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记录机构的画线或打印点应清晰，打印纸移动应正常。</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3 记录纸上打印的号码或颜色应与切换开关及接线端子上标识的编号一致。</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12.2.5 变送器、转换器应进行输入输出特性试验和校准，其准确度应符合设计文件的规定，输入输出信号范围和类型应与铭牌标识、设计文件规定一致，并应与显示仪表配套。</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12.2.6 温度检测仪表的校准试验点不应少于2点。直接显示温度计的示值误差应符合仪表准确度的规定。热电偶和热电阻可在常温下对元件进行检测，可不进行热电性能试验。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12.2.8 现场不具备校准条件的流量检测仪表，应对制造厂的产品合格证和有效的检定证明进行验证。</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12.2.16 控制仪表的显示部分应 按本节</w:t>
            </w:r>
            <w:r>
              <w:rPr>
                <w:rFonts w:hint="eastAsia" w:ascii="宋体" w:hAnsi="宋体" w:eastAsia="宋体" w:cs="宋体"/>
                <w:color w:val="auto"/>
                <w:sz w:val="21"/>
                <w:szCs w:val="21"/>
                <w:highlight w:val="none"/>
                <w:lang w:eastAsia="zh-CN"/>
              </w:rPr>
              <w:t>第</w:t>
            </w:r>
            <w:r>
              <w:rPr>
                <w:rFonts w:hint="eastAsia" w:ascii="宋体" w:hAnsi="宋体" w:eastAsia="宋体" w:cs="宋体"/>
                <w:color w:val="auto"/>
                <w:sz w:val="21"/>
                <w:szCs w:val="21"/>
                <w:highlight w:val="none"/>
              </w:rPr>
              <w:t>12.2.1</w:t>
            </w:r>
            <w:r>
              <w:rPr>
                <w:rFonts w:hint="eastAsia" w:ascii="宋体" w:hAnsi="宋体" w:eastAsia="宋体" w:cs="宋体"/>
                <w:color w:val="auto"/>
                <w:sz w:val="21"/>
                <w:szCs w:val="21"/>
                <w:highlight w:val="none"/>
                <w:lang w:eastAsia="zh-CN"/>
              </w:rPr>
              <w:t>条</w:t>
            </w:r>
            <w:r>
              <w:rPr>
                <w:rFonts w:hint="eastAsia" w:ascii="宋体" w:hAnsi="宋体" w:eastAsia="宋体" w:cs="宋体"/>
                <w:color w:val="auto"/>
                <w:sz w:val="21"/>
                <w:szCs w:val="21"/>
                <w:highlight w:val="none"/>
              </w:rPr>
              <w:t>、第12.2.2</w:t>
            </w:r>
            <w:r>
              <w:rPr>
                <w:rFonts w:hint="eastAsia" w:ascii="宋体" w:hAnsi="宋体" w:eastAsia="宋体" w:cs="宋体"/>
                <w:color w:val="auto"/>
                <w:sz w:val="21"/>
                <w:szCs w:val="21"/>
                <w:highlight w:val="none"/>
                <w:lang w:eastAsia="zh-CN"/>
              </w:rPr>
              <w:t>条</w:t>
            </w:r>
            <w:r>
              <w:rPr>
                <w:rFonts w:hint="eastAsia" w:ascii="宋体" w:hAnsi="宋体" w:eastAsia="宋体" w:cs="宋体"/>
                <w:color w:val="auto"/>
                <w:sz w:val="21"/>
                <w:szCs w:val="21"/>
                <w:highlight w:val="none"/>
              </w:rPr>
              <w:t>的规定进行校准，仪表的控制点误差，比例、积分、微分作用，信号处理及各项控制、操作性能，均应按设计文件规定进行检查、试验、校准和调整，并应进行有关组态模式设置和调节参数预整定。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12.2.17 控制阀和执行机构的试验应符合下列要求：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阀体压力试验和阀座密封试验等项目，可对制造厂出具的产品合格证明和试验报告进行验证，对事故切断阀应进行阀座密封试验。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应进行膜头、缸体泄漏性试验以及行程试验。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事故切断阀和设计规定全行程时间的阀门，应进行全行程时间试验。</w:t>
            </w:r>
          </w:p>
          <w:p>
            <w:pPr>
              <w:pStyle w:val="2"/>
              <w:keepNext w:val="0"/>
              <w:keepLines w:val="0"/>
              <w:pageBreakBefore w:val="0"/>
              <w:kinsoku/>
              <w:wordWrap/>
              <w:overflowPunct/>
              <w:topLinePunct w:val="0"/>
              <w:autoSpaceDE/>
              <w:autoSpaceDN/>
              <w:bidi w:val="0"/>
              <w:spacing w:line="260" w:lineRule="atLeast"/>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执行机构在试验时应调整到设计文件规定的工作状态。</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12.2.18 现场总线仪表应用总线通信器检查设备内部参数。</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CN"/>
              </w:rPr>
              <w:t>12.2.19 单台仪表校准和试验应填写校准和试验记录；仪表上应有试验状态标识和位号标识；仪表需加封印和漆封的部位应加封印和漆封。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3.1.13.3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仪表试验</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仪表电源设备试验应符合设计及相关标准要求。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《自动化仪表工程施工及质量验收规范》GB50093-2013 </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电源设备的带电部分与金属外壳之间的绝缘电阻，当</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500</w:t>
            </w:r>
            <w:r>
              <w:rPr>
                <w:rFonts w:hint="eastAsia" w:ascii="宋体" w:hAnsi="宋体" w:eastAsia="宋体" w:cs="宋体"/>
                <w:color w:val="auto"/>
                <w:sz w:val="21"/>
                <w:szCs w:val="21"/>
                <w:highlight w:val="none"/>
                <w:lang w:eastAsia="zh-CN"/>
              </w:rPr>
              <w:t>V</w:t>
            </w:r>
            <w:r>
              <w:rPr>
                <w:rFonts w:hint="eastAsia" w:ascii="宋体" w:hAnsi="宋体" w:eastAsia="宋体" w:cs="宋体"/>
                <w:color w:val="auto"/>
                <w:sz w:val="21"/>
                <w:szCs w:val="21"/>
                <w:highlight w:val="none"/>
              </w:rPr>
              <w:t>兆欧表测量时，不应小</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5MO。</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电源设备应进行输出特性检查。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不间断电源应进行自动切换性能试验。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3.1.13.4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仪表试验</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综合控制系统试验应符合设计及相关标准要求。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《自动化仪表工程施工及质量验收规范》GB50093-2013 </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综合控制系统在回路试验和系统试验前应在控制室内对系统本身进行试验。试验项目应包括组成系统的各操作站、工程师站、控制站、个人计算机和管理计算机、总线和通信网络等设备的硬件和软件的有关功能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综合控制系统的试验应在本系统安装完毕，且供电、照明、空调等有关设施均</w:t>
            </w:r>
            <w:r>
              <w:rPr>
                <w:rFonts w:hint="eastAsia" w:ascii="宋体" w:hAnsi="宋体" w:eastAsia="宋体" w:cs="宋体"/>
                <w:color w:val="auto"/>
                <w:sz w:val="21"/>
                <w:szCs w:val="21"/>
                <w:highlight w:val="none"/>
                <w:lang w:eastAsia="zh-CN"/>
              </w:rPr>
              <w:t>已投入</w:t>
            </w:r>
            <w:r>
              <w:rPr>
                <w:rFonts w:hint="eastAsia" w:ascii="宋体" w:hAnsi="宋体" w:eastAsia="宋体" w:cs="宋体"/>
                <w:color w:val="auto"/>
                <w:sz w:val="21"/>
                <w:szCs w:val="21"/>
                <w:highlight w:val="none"/>
              </w:rPr>
              <w:t>运行的条件下进行。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综合控制系统的试验应按批准的试验方案进行。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综合控制系统的硬件试验项目应包括下列内容：</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应进行盘柜和仪表装置的绝缘电阻测量。</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应进行接地系统检查和接地电阻测量。</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应进行电源设备和电源插卡各种输出电压的测量和调整。</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应对系统中全部设备和全部模块插卡的通电状态进行检查。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应对系统中单独的显示、记录、控制、报警等仪表设备进行单台校准和试验。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应通过直接信号显示和软件诊断程序，对装置内的模块插卡、控制和通信设备、操作站、控制站、计算机及其外部设备等进行状态检查。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应进行输入、输出模块插卡的校准和试验。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12.4.5 综合控制系统的软件试验项目应包括下列功能：</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系统显示、运算处理、操作、控制、报警功能的检查试验。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系统诊断、维护功能的检查试验。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系统冗余功能的检查试验。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系统总线、网络通信功能的检查试验。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系统记录、打印、拷贝等功能的检查试验。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 与工程有关的组态数据的检查确认。</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7  控制方案、控制和联锁程序的检查。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12.4.6 可编程序控制器应进行下列试验：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应模拟输入条件进行逻辑、控制功能试验，同时应检测逻辑控制输出。</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具有模拟量控制的系统，应进行模拟量输入和模拟量输出试验，同时应进行运算、控制功能试验。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12.4.7 分散控制系统应进行下列试验：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应进行系统通信功能试验。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应进行系统操作画面功能试验。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应模拟输入进行运算功能、控制功能、报警联锁功能试验，在操作站应查看对应功能显示，同时应测量相应控制输出值。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应进行系统冗余功能、断电恢复功能试验。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系统报表打印、拷贝、历史数据查询等功能试验。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 工程师站操作、维护、修改功能检查试验。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12.4.8  现场总线控制系统应进行下列试验：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 应进行系统通信线路检查，通信功能检查试验，总线地址分配检查。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 应进行总线系统供电检查试验。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 应进行系统操作画面功能试验。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 应模拟现场总线设备进行系统运算、控制、报警联锁功能检查试验，应进行操作画面试验。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5 应进行系统冗余功能检查试验。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6 应进行系统报表、打印、历史数据查询等功能检查试验。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7 应进行工程师站操作、维护、修改功能检查试验。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3.1.13.5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仪表试验</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回路试验和系统试验应符合设计及相关标准要求。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《自动化仪表工程施工及质量验收规范》GB50093-2013 </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12.5.4 检测回路的试验应符合下列要求：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在检测回路的信号</w:t>
            </w:r>
            <w:r>
              <w:rPr>
                <w:rFonts w:hint="eastAsia" w:ascii="宋体" w:hAnsi="宋体" w:eastAsia="宋体" w:cs="宋体"/>
                <w:color w:val="auto"/>
                <w:sz w:val="21"/>
                <w:szCs w:val="21"/>
                <w:highlight w:val="none"/>
                <w:lang w:eastAsia="zh-CN"/>
              </w:rPr>
              <w:t>输入</w:t>
            </w:r>
            <w:r>
              <w:rPr>
                <w:rFonts w:hint="eastAsia" w:ascii="宋体" w:hAnsi="宋体" w:eastAsia="宋体" w:cs="宋体"/>
                <w:color w:val="auto"/>
                <w:sz w:val="21"/>
                <w:szCs w:val="21"/>
                <w:highlight w:val="none"/>
              </w:rPr>
              <w:t>端</w:t>
            </w:r>
            <w:r>
              <w:rPr>
                <w:rFonts w:hint="eastAsia" w:ascii="宋体" w:hAnsi="宋体" w:eastAsia="宋体" w:cs="宋体"/>
                <w:color w:val="auto"/>
                <w:sz w:val="21"/>
                <w:szCs w:val="21"/>
                <w:highlight w:val="none"/>
                <w:lang w:eastAsia="zh-CN"/>
              </w:rPr>
              <w:t>输入</w:t>
            </w:r>
            <w:r>
              <w:rPr>
                <w:rFonts w:hint="eastAsia" w:ascii="宋体" w:hAnsi="宋体" w:eastAsia="宋体" w:cs="宋体"/>
                <w:color w:val="auto"/>
                <w:sz w:val="21"/>
                <w:szCs w:val="21"/>
                <w:highlight w:val="none"/>
              </w:rPr>
              <w:t>模拟被测变量的标准信号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回路的显示仪表部分的示值误差，不应超过回路内各单台仪表允许基本误差平方和的平方根值。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温度检测回路可在检测元件的输出端向回路输入电阻值或</w:t>
            </w:r>
            <w:r>
              <w:rPr>
                <w:rFonts w:hint="eastAsia" w:ascii="宋体" w:hAnsi="宋体" w:eastAsia="宋体" w:cs="宋体"/>
                <w:color w:val="auto"/>
                <w:sz w:val="21"/>
                <w:szCs w:val="21"/>
                <w:highlight w:val="none"/>
                <w:lang w:eastAsia="zh-CN"/>
              </w:rPr>
              <w:t>毫伏</w:t>
            </w:r>
            <w:r>
              <w:rPr>
                <w:rFonts w:hint="eastAsia" w:ascii="宋体" w:hAnsi="宋体" w:eastAsia="宋体" w:cs="宋体"/>
                <w:color w:val="auto"/>
                <w:sz w:val="21"/>
                <w:szCs w:val="21"/>
                <w:highlight w:val="none"/>
              </w:rPr>
              <w:t>值模拟信号。</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现场不具备模拟被测变量信号的回路，应在其可模拟</w:t>
            </w:r>
            <w:r>
              <w:rPr>
                <w:rFonts w:hint="eastAsia" w:ascii="宋体" w:hAnsi="宋体" w:eastAsia="宋体" w:cs="宋体"/>
                <w:color w:val="auto"/>
                <w:sz w:val="21"/>
                <w:szCs w:val="21"/>
                <w:highlight w:val="none"/>
                <w:lang w:eastAsia="zh-CN"/>
              </w:rPr>
              <w:t>输入信号</w:t>
            </w:r>
            <w:r>
              <w:rPr>
                <w:rFonts w:hint="eastAsia" w:ascii="宋体" w:hAnsi="宋体" w:eastAsia="宋体" w:cs="宋体"/>
                <w:color w:val="auto"/>
                <w:sz w:val="21"/>
                <w:szCs w:val="21"/>
                <w:highlight w:val="none"/>
              </w:rPr>
              <w:t>的最前端输入信号进行回路试验。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12.5.5 控制回路的试验应符合下列规定：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控制器和执行器的作用方向应符合设计文件要求。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通过控制器或操作站的输出向执行器发送控制信号，检查执行器的全行程动作方向和位置应正确。执行器带有定位器时应同时试验。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当控制器或操作站上有执行器的开度和起点、终点信号显示时应同时进行检查和试验。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12.5.5 控制回路的试验应符合下列规定：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控制器和执行器的作用方向应符合设计文件要求。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通过控制器或操作站的输出向执行器发送控制信号，检查执行器的全行程动作方向和位置应正确。执行器带有定位器时应同时试验。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3 当控制器或操作站上有执行器的开度和起</w:t>
            </w:r>
            <w:r>
              <w:rPr>
                <w:rFonts w:hint="eastAsia" w:ascii="宋体" w:hAnsi="宋体" w:eastAsia="宋体" w:cs="宋体"/>
                <w:color w:val="auto"/>
                <w:sz w:val="21"/>
                <w:szCs w:val="21"/>
                <w:highlight w:val="none"/>
                <w:lang w:bidi="zh-CN"/>
              </w:rPr>
              <w:t>点、终点信号显示时应同时进行检查和试验。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12.5.6 报警系统的试验应符合下列要求：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系统中有报警信号的仪表设备，包括各种检测报警开关、仪表的报警输出部件和接点，应根据设计文件规定的设定值进行整定。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在报警回路的信号发生端模拟输入信号，检查报警灯光、音响和屏幕显示应正确。报警点整定后宜在调整器件上加封记。</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3 报警的消音、复位和记录功能应正确。</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12.5.7 程序控制系统和联锁系统的试验应符合下列要求：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程序控制系统和联锁系统有关装置的硬件和软件功能试验应已完成，系统相关的回路试验应已完成。</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系统中的各有关仪表和部件的动作设定值，应根据设计文件规定进行整定。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联锁点多、程序复杂的系统，可先分项、分段进行试验，再进行整体检查试验。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程序控制系统的试验应按程序设计的步骤逐步检查试验，其条件判定、逻辑关系、动作时间和输出状态等均应符合设计文件规定。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在进行系统功能试验时，可采用已试验整定合格的仪表和检测报警开关的报警输出接点直接发出模拟条件信号。</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6 系统试验中应与相关的专业配合，共同确认程序运行和联锁保护条件及功能的正确性，</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应对试验过程中相关设备和装置</w:t>
            </w:r>
            <w:r>
              <w:rPr>
                <w:rFonts w:hint="eastAsia" w:ascii="宋体" w:hAnsi="宋体" w:eastAsia="宋体" w:cs="宋体"/>
                <w:color w:val="auto"/>
                <w:sz w:val="21"/>
                <w:szCs w:val="21"/>
                <w:highlight w:val="none"/>
                <w:lang w:bidi="zh-CN"/>
              </w:rPr>
              <w:t>的运行状态和安全防护采取必要措施。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 xml:space="preserve">3.2 </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sz w:val="21"/>
                <w:szCs w:val="21"/>
                <w:highlight w:val="none"/>
              </w:rPr>
              <w:t>管道和调压设施（用户燃气计量表前）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3.2.1</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z w:val="21"/>
                <w:szCs w:val="21"/>
                <w:highlight w:val="none"/>
              </w:rPr>
              <w:t>土方工程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土方工程</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管道测量放线应符合设计和相关标准的要求。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《城镇燃气输配工程施工及验收规范》CJJ33-2005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土方施工前，建设单位应组织有关单位向施工单位进行现场交桩。临时水准点、管道轴线控制桩、高程桩，应经过复核后方可使用，并应定期校核。</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施工单位应会同建设等有关单位，核对管道路由、相关地下管道以及构筑物的资料，必要时局部开挖核实。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《油气长输管道工程施工及验收规范》GB50369-2014</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 设计代表在现场向施工单位交接设计控制（转角）桩时，应核对桩号、里程、</w:t>
            </w:r>
            <w:r>
              <w:rPr>
                <w:rFonts w:hint="eastAsia" w:ascii="宋体" w:hAnsi="宋体" w:eastAsia="宋体" w:cs="宋体"/>
                <w:color w:val="auto"/>
                <w:sz w:val="21"/>
                <w:szCs w:val="21"/>
                <w:highlight w:val="none"/>
                <w:lang w:eastAsia="zh-CN"/>
              </w:rPr>
              <w:t>高</w:t>
            </w:r>
            <w:r>
              <w:rPr>
                <w:rFonts w:hint="eastAsia" w:ascii="宋体" w:hAnsi="宋体" w:eastAsia="宋体" w:cs="宋体"/>
                <w:color w:val="auto"/>
                <w:sz w:val="21"/>
                <w:szCs w:val="21"/>
                <w:highlight w:val="none"/>
              </w:rPr>
              <w:t>程、转角角度。交桩后，施工单位应采取措施，保护控制（转角）桩，对已经丢失的桩应复测补桩。</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 测量放线应根据设计控制（转角）桩或其副桩进行。需要更改线路位置时，应经设计代表的书面同意后，方可更改。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土方工程</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沟槽开挖、管基质量应符合设计和相关标准的要求。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《城镇燃气输配工程施工及验收规范》CJJ33-2005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混凝土路面和沥青路面的开挖应使用机械切割。</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管道沟槽应按设计规定的平面位置和标高开挖。当采用人工开挖且无地下水时，槽底预留值宜为O.05～0.10m；当采用机械开挖或有地下水时，槽底预留值不应小于0.15m；管道安装前应人工清底至设计标高。</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管沟沟底宽度和工作坑尺寸，应根据现场实际情况和管道敷设方法确定，也可按下列要求确定：</w:t>
            </w:r>
          </w:p>
          <w:p>
            <w:pPr>
              <w:pStyle w:val="12"/>
              <w:keepNext w:val="0"/>
              <w:keepLines w:val="0"/>
              <w:pageBreakBefore w:val="0"/>
              <w:kinsoku/>
              <w:wordWrap/>
              <w:overflowPunct/>
              <w:topLinePunct w:val="0"/>
              <w:autoSpaceDE/>
              <w:autoSpaceDN/>
              <w:bidi w:val="0"/>
              <w:spacing w:line="260" w:lineRule="atLeast"/>
              <w:ind w:left="0" w:firstLine="210" w:firstLineChars="1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单管沟底组装按表2.3.3确定。</w:t>
            </w:r>
          </w:p>
          <w:p>
            <w:pPr>
              <w:pStyle w:val="12"/>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表2.3.3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沟底宽度尺寸</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774"/>
              <w:gridCol w:w="946"/>
              <w:gridCol w:w="1028"/>
              <w:gridCol w:w="1013"/>
              <w:gridCol w:w="1026"/>
              <w:gridCol w:w="987"/>
              <w:gridCol w:w="1067"/>
              <w:gridCol w:w="114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pct"/>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管道公称直径（mm）</w:t>
                  </w:r>
                </w:p>
              </w:tc>
              <w:tc>
                <w:tcPr>
                  <w:tcW w:w="357"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50～80</w:t>
                  </w:r>
                </w:p>
              </w:tc>
              <w:tc>
                <w:tcPr>
                  <w:tcW w:w="436"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100～200</w:t>
                  </w:r>
                </w:p>
              </w:tc>
              <w:tc>
                <w:tcPr>
                  <w:tcW w:w="474"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250～350</w:t>
                  </w:r>
                </w:p>
              </w:tc>
              <w:tc>
                <w:tcPr>
                  <w:tcW w:w="467"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400～450</w:t>
                  </w:r>
                </w:p>
              </w:tc>
              <w:tc>
                <w:tcPr>
                  <w:tcW w:w="473"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500～600</w:t>
                  </w:r>
                </w:p>
              </w:tc>
              <w:tc>
                <w:tcPr>
                  <w:tcW w:w="455"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700～800</w:t>
                  </w:r>
                </w:p>
              </w:tc>
              <w:tc>
                <w:tcPr>
                  <w:tcW w:w="492"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900～1000</w:t>
                  </w:r>
                </w:p>
              </w:tc>
              <w:tc>
                <w:tcPr>
                  <w:tcW w:w="529"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1100～1200</w:t>
                  </w:r>
                </w:p>
              </w:tc>
              <w:tc>
                <w:tcPr>
                  <w:tcW w:w="539"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pct"/>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沟底宽度（m）</w:t>
                  </w:r>
                </w:p>
              </w:tc>
              <w:tc>
                <w:tcPr>
                  <w:tcW w:w="357"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0.6</w:t>
                  </w:r>
                </w:p>
              </w:tc>
              <w:tc>
                <w:tcPr>
                  <w:tcW w:w="436"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474"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467"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73"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55"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92"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529"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539" w:type="pct"/>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r>
          </w:tbl>
          <w:p>
            <w:pPr>
              <w:keepNext w:val="0"/>
              <w:keepLines w:val="0"/>
              <w:pageBreakBefore w:val="0"/>
              <w:kinsoku/>
              <w:wordWrap/>
              <w:overflowPunct/>
              <w:topLinePunct w:val="0"/>
              <w:autoSpaceDE/>
              <w:autoSpaceDN/>
              <w:bidi w:val="0"/>
              <w:spacing w:line="260" w:lineRule="atLeast"/>
              <w:ind w:left="0" w:firstLine="210" w:firstLineChars="1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单管沟边组装和双管同沟敷设可按下式计算：</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a=D1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 a——沟槽底宽度</w:t>
            </w:r>
            <w:r>
              <w:rPr>
                <w:rFonts w:hint="eastAsia" w:ascii="宋体" w:hAnsi="宋体" w:eastAsia="宋体" w:cs="宋体"/>
                <w:color w:val="auto"/>
                <w:sz w:val="21"/>
                <w:szCs w:val="21"/>
                <w:highlight w:val="none"/>
                <w:lang w:eastAsia="zh-CN"/>
              </w:rPr>
              <w:t>(</w:t>
            </w:r>
            <w:bookmarkStart w:id="7" w:name="_GoBack"/>
            <w:bookmarkEnd w:id="7"/>
            <w:r>
              <w:rPr>
                <w:rFonts w:hint="eastAsia" w:ascii="宋体" w:hAnsi="宋体" w:eastAsia="宋体" w:cs="宋体"/>
                <w:color w:val="auto"/>
                <w:sz w:val="21"/>
                <w:szCs w:val="21"/>
                <w:highlight w:val="none"/>
              </w:rPr>
              <w:t>m)；</w:t>
            </w:r>
          </w:p>
          <w:p>
            <w:pPr>
              <w:keepNext w:val="0"/>
              <w:keepLines w:val="0"/>
              <w:pageBreakBefore w:val="0"/>
              <w:kinsoku/>
              <w:wordWrap/>
              <w:overflowPunct/>
              <w:topLinePunct w:val="0"/>
              <w:autoSpaceDE/>
              <w:autoSpaceDN/>
              <w:bidi w:val="0"/>
              <w:spacing w:line="260" w:lineRule="atLeast"/>
              <w:ind w:left="0" w:firstLine="5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D1——第一条管道外径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m)；</w:t>
            </w:r>
          </w:p>
          <w:p>
            <w:pPr>
              <w:keepNext w:val="0"/>
              <w:keepLines w:val="0"/>
              <w:pageBreakBefore w:val="0"/>
              <w:kinsoku/>
              <w:wordWrap/>
              <w:overflowPunct/>
              <w:topLinePunct w:val="0"/>
              <w:autoSpaceDE/>
              <w:autoSpaceDN/>
              <w:bidi w:val="0"/>
              <w:spacing w:line="260" w:lineRule="atLeast"/>
              <w:ind w:left="0" w:firstLine="5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D2——第二条管道外径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m)；</w:t>
            </w:r>
          </w:p>
          <w:p>
            <w:pPr>
              <w:keepNext w:val="0"/>
              <w:keepLines w:val="0"/>
              <w:pageBreakBefore w:val="0"/>
              <w:kinsoku/>
              <w:wordWrap/>
              <w:overflowPunct/>
              <w:topLinePunct w:val="0"/>
              <w:autoSpaceDE/>
              <w:autoSpaceDN/>
              <w:bidi w:val="0"/>
              <w:spacing w:line="260" w:lineRule="atLeast"/>
              <w:ind w:left="0" w:firstLine="5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s——两管道之间的设计净距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m)；</w:t>
            </w:r>
          </w:p>
          <w:p>
            <w:pPr>
              <w:keepNext w:val="0"/>
              <w:keepLines w:val="0"/>
              <w:pageBreakBefore w:val="0"/>
              <w:kinsoku/>
              <w:wordWrap/>
              <w:overflowPunct/>
              <w:topLinePunct w:val="0"/>
              <w:autoSpaceDE/>
              <w:autoSpaceDN/>
              <w:bidi w:val="0"/>
              <w:spacing w:line="260" w:lineRule="atLeast"/>
              <w:ind w:left="0" w:firstLine="5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c——工作宽度，在沟底组装：c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m)；在沟边组装：c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m)。</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2.3.9 局部超挖部分应回填压实。当沟底无地下水时，超挖在0.15m以内，可采用原土回填；超挖在0.15m及以上，可采用石灰土处理。当沟底有地下水或含水量较大时，应采用级配砂石或天然砂回填至设计标高。超挖部分回填后应压实，其密实度应接近原地基天然土的密实度。</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2.3.11 沟底遇有废弃构筑物、硬石、木头、垃圾等杂物时必须清除，并应铺一层厚度不小于0.15m的砂土或素土，整平压实至设计标高。</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2.3.12 对软土基及特殊性腐蚀土壤，应按设计要求处理。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管道地基的处理应符合下列规定：</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对于软土地基，当地基承载能力不满足设计要求或由于施工降水、超挖等原因导致地基原状土被扰动而影响地基承载能力时，应按设计要求对地基进行加固处理；在达到规定的地基承载能力后，应铺垫不小于</w:t>
            </w:r>
            <w:r>
              <w:rPr>
                <w:rFonts w:hint="eastAsia" w:ascii="宋体" w:hAnsi="宋体" w:eastAsia="宋体" w:cs="宋体"/>
                <w:color w:val="auto"/>
                <w:sz w:val="21"/>
                <w:szCs w:val="21"/>
                <w:highlight w:val="none"/>
                <w:lang w:val="en-US" w:eastAsia="zh-CN"/>
              </w:rPr>
              <w:t>150mm</w:t>
            </w:r>
            <w:r>
              <w:rPr>
                <w:rFonts w:hint="eastAsia" w:ascii="宋体" w:hAnsi="宋体" w:eastAsia="宋体" w:cs="宋体"/>
                <w:color w:val="auto"/>
                <w:sz w:val="21"/>
                <w:szCs w:val="21"/>
                <w:highlight w:val="none"/>
              </w:rPr>
              <w:t>中粗砂基础层。</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当沟槽底为岩石或坚硬物体时，铺垫中粗砂基础层的厚度不应小于150mm。</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在地下水水位较高、流动性较大的场地内，当管道周围土体可能发生细颗粒土流失的情况时，应沿沟槽在底部和两侧边坡上铺设土工布加以保护，且土工布单位面积的质量不宜小</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250g/m2 。</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当同一敷设区段内的地基刚度相差较大时，应采用换填垫层或其他有效措施减少管道的差异沉降，垫层厚度应满足设计要求，且不应小于</w:t>
            </w:r>
            <w:r>
              <w:rPr>
                <w:rFonts w:hint="eastAsia" w:ascii="宋体" w:hAnsi="宋体" w:eastAsia="宋体" w:cs="宋体"/>
                <w:color w:val="auto"/>
                <w:sz w:val="21"/>
                <w:szCs w:val="21"/>
                <w:highlight w:val="none"/>
                <w:lang w:val="en-US" w:eastAsia="zh-CN"/>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土方工程</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沟槽回填、路面/地貌恢复应符合设计、标准及权属单位或相关管理部门的要求。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《城镇燃气输配工程施工及验收规范》CJJ33-2005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管道主体安装检验合格后，沟槽应及时回填，但需留出未检验的安装接口。回填前，必须将槽底施工遗留的杂物清除干净。</w:t>
            </w:r>
          </w:p>
          <w:p>
            <w:pPr>
              <w:pStyle w:val="12"/>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对特殊地段，应经监理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单位认可，并采取有效的技术措施，方可在管道焊接、防腐检验合格后全部回填。</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不得采用冻土、垃圾、木材及软性物质回填。管道两侧及管顶以上0.5m内的回填土，不得含有碎石、砖块等杂物，且不得采用灰土回填。距管顶0.5m以上的回填土中的石块不得多于10％、直径不得大于0.1m，且均匀分布。</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沟槽回填时，应先回填管底局部悬空部位，再回填管道两侧。</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 沥青路面和混凝土路面的恢复，应由具备专业施工资质的单位施工。</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 回填路面的基础和修复路面材料的性能不应低于原基础和路面材料。</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2.4.9 当地市政管理部门对路面恢复有其他要求时，应按当地市政管理部门的要求执行。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6.4.5 聚乙烯燃气管道回填材料、回填土压实系数等应符合设计要求。</w:t>
            </w:r>
            <w:r>
              <w:rPr>
                <w:rFonts w:hint="eastAsia" w:ascii="宋体" w:hAnsi="宋体" w:eastAsia="宋体" w:cs="宋体"/>
                <w:color w:val="auto"/>
                <w:sz w:val="21"/>
                <w:szCs w:val="21"/>
                <w:highlight w:val="none"/>
              </w:rPr>
              <w:t>当设计无要求时，应符合表</w:t>
            </w:r>
            <w:r>
              <w:rPr>
                <w:rFonts w:hint="eastAsia" w:ascii="宋体" w:hAnsi="宋体" w:eastAsia="宋体" w:cs="宋体"/>
                <w:color w:val="auto"/>
                <w:sz w:val="21"/>
                <w:szCs w:val="21"/>
                <w:highlight w:val="none"/>
                <w:lang w:bidi="en-US"/>
              </w:rPr>
              <w:t>6.4.5</w:t>
            </w:r>
            <w:r>
              <w:rPr>
                <w:rFonts w:hint="eastAsia" w:ascii="宋体" w:hAnsi="宋体" w:eastAsia="宋体" w:cs="宋体"/>
                <w:color w:val="auto"/>
                <w:sz w:val="21"/>
                <w:szCs w:val="21"/>
                <w:highlight w:val="none"/>
              </w:rPr>
              <w:t>的规定。</w:t>
            </w:r>
          </w:p>
          <w:p>
            <w:pPr>
              <w:pStyle w:val="115"/>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表</w:t>
            </w:r>
            <w:r>
              <w:rPr>
                <w:rFonts w:hint="eastAsia" w:ascii="宋体" w:hAnsi="宋体" w:eastAsia="宋体" w:cs="宋体"/>
                <w:b w:val="0"/>
                <w:bCs w:val="0"/>
                <w:color w:val="auto"/>
                <w:sz w:val="21"/>
                <w:szCs w:val="21"/>
                <w:highlight w:val="none"/>
                <w:lang w:val="en-US" w:eastAsia="zh-CN" w:bidi="en-US"/>
              </w:rPr>
              <w:t>6.4.5</w:t>
            </w:r>
            <w:r>
              <w:rPr>
                <w:rFonts w:hint="eastAsia" w:ascii="宋体" w:hAnsi="宋体" w:eastAsia="宋体" w:cs="宋体"/>
                <w:b w:val="0"/>
                <w:bCs w:val="0"/>
                <w:color w:val="auto"/>
                <w:sz w:val="21"/>
                <w:szCs w:val="21"/>
                <w:highlight w:val="none"/>
                <w:lang w:val="en-US" w:eastAsia="zh-CN" w:bidi="en-US"/>
              </w:rPr>
              <w:t xml:space="preserve"> </w:t>
            </w:r>
            <w:r>
              <w:rPr>
                <w:rFonts w:hint="eastAsia" w:ascii="宋体" w:hAnsi="宋体" w:eastAsia="宋体" w:cs="宋体"/>
                <w:b w:val="0"/>
                <w:bCs w:val="0"/>
                <w:color w:val="auto"/>
                <w:sz w:val="21"/>
                <w:szCs w:val="21"/>
                <w:highlight w:val="none"/>
              </w:rPr>
              <w:t>沟槽回填土压实系数与回填材料</w:t>
            </w:r>
          </w:p>
          <w:tbl>
            <w:tblPr>
              <w:tblStyle w:val="20"/>
              <w:tblW w:w="4999" w:type="pct"/>
              <w:jc w:val="center"/>
              <w:tblLayout w:type="autofit"/>
              <w:tblCellMar>
                <w:top w:w="0" w:type="dxa"/>
                <w:left w:w="10" w:type="dxa"/>
                <w:bottom w:w="0" w:type="dxa"/>
                <w:right w:w="10" w:type="dxa"/>
              </w:tblCellMar>
            </w:tblPr>
            <w:tblGrid>
              <w:gridCol w:w="2097"/>
              <w:gridCol w:w="2707"/>
              <w:gridCol w:w="2264"/>
              <w:gridCol w:w="3774"/>
            </w:tblGrid>
            <w:tr>
              <w:tblPrEx>
                <w:tblCellMar>
                  <w:top w:w="0" w:type="dxa"/>
                  <w:left w:w="10" w:type="dxa"/>
                  <w:bottom w:w="0" w:type="dxa"/>
                  <w:right w:w="10" w:type="dxa"/>
                </w:tblCellMar>
              </w:tblPrEx>
              <w:trPr>
                <w:trHeight w:val="338" w:hRule="exact"/>
                <w:jc w:val="center"/>
              </w:trPr>
              <w:tc>
                <w:tcPr>
                  <w:tcW w:w="2215" w:type="pct"/>
                  <w:gridSpan w:val="2"/>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填土部位</w:t>
                  </w:r>
                </w:p>
              </w:tc>
              <w:tc>
                <w:tcPr>
                  <w:tcW w:w="1044"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压实系数（%）</w:t>
                  </w:r>
                </w:p>
              </w:tc>
              <w:tc>
                <w:tcPr>
                  <w:tcW w:w="1740"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w:t>
                  </w:r>
                  <w:r>
                    <w:rPr>
                      <w:rFonts w:hint="eastAsia" w:ascii="宋体" w:hAnsi="宋体" w:eastAsia="宋体" w:cs="宋体"/>
                      <w:color w:val="auto"/>
                      <w:sz w:val="21"/>
                      <w:szCs w:val="21"/>
                      <w:highlight w:val="none"/>
                      <w:lang w:eastAsia="zh-CN"/>
                    </w:rPr>
                    <w:t>填</w:t>
                  </w:r>
                  <w:r>
                    <w:rPr>
                      <w:rFonts w:hint="eastAsia" w:ascii="宋体" w:hAnsi="宋体" w:eastAsia="宋体" w:cs="宋体"/>
                      <w:color w:val="auto"/>
                      <w:sz w:val="21"/>
                      <w:szCs w:val="21"/>
                      <w:highlight w:val="none"/>
                    </w:rPr>
                    <w:t>材料</w:t>
                  </w:r>
                </w:p>
              </w:tc>
            </w:tr>
            <w:tr>
              <w:tblPrEx>
                <w:tblCellMar>
                  <w:top w:w="0" w:type="dxa"/>
                  <w:left w:w="10" w:type="dxa"/>
                  <w:bottom w:w="0" w:type="dxa"/>
                  <w:right w:w="10" w:type="dxa"/>
                </w:tblCellMar>
              </w:tblPrEx>
              <w:trPr>
                <w:trHeight w:val="297" w:hRule="exact"/>
                <w:jc w:val="center"/>
              </w:trPr>
              <w:tc>
                <w:tcPr>
                  <w:tcW w:w="967" w:type="pct"/>
                  <w:vMerge w:val="restar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管道基础</w:t>
                  </w:r>
                </w:p>
              </w:tc>
              <w:tc>
                <w:tcPr>
                  <w:tcW w:w="1247" w:type="pct"/>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管底基础</w:t>
                  </w:r>
                </w:p>
              </w:tc>
              <w:tc>
                <w:tcPr>
                  <w:tcW w:w="1044" w:type="pct"/>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740" w:type="pct"/>
                  <w:vMerge w:val="restar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中粗砂、素土</w:t>
                  </w:r>
                </w:p>
              </w:tc>
            </w:tr>
            <w:tr>
              <w:tblPrEx>
                <w:tblCellMar>
                  <w:top w:w="0" w:type="dxa"/>
                  <w:left w:w="10" w:type="dxa"/>
                  <w:bottom w:w="0" w:type="dxa"/>
                  <w:right w:w="10" w:type="dxa"/>
                </w:tblCellMar>
              </w:tblPrEx>
              <w:trPr>
                <w:trHeight w:val="344" w:hRule="exact"/>
                <w:jc w:val="center"/>
              </w:trPr>
              <w:tc>
                <w:tcPr>
                  <w:tcW w:w="967"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47"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管道有效支撑角</w:t>
                  </w:r>
                  <w:r>
                    <w:rPr>
                      <w:rFonts w:hint="eastAsia" w:ascii="宋体" w:hAnsi="宋体" w:eastAsia="宋体" w:cs="宋体"/>
                      <w:color w:val="auto"/>
                      <w:sz w:val="21"/>
                      <w:szCs w:val="21"/>
                      <w:highlight w:val="none"/>
                      <w:lang w:eastAsia="zh-CN"/>
                    </w:rPr>
                    <w:t>范围</w:t>
                  </w:r>
                  <w:r>
                    <w:rPr>
                      <w:rFonts w:hint="eastAsia" w:ascii="宋体" w:hAnsi="宋体" w:eastAsia="宋体" w:cs="宋体"/>
                      <w:color w:val="auto"/>
                      <w:sz w:val="21"/>
                      <w:szCs w:val="21"/>
                      <w:highlight w:val="none"/>
                    </w:rPr>
                    <w:t>剧</w:t>
                  </w:r>
                </w:p>
              </w:tc>
              <w:tc>
                <w:tcPr>
                  <w:tcW w:w="1044"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740"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319" w:hRule="exact"/>
                <w:jc w:val="center"/>
              </w:trPr>
              <w:tc>
                <w:tcPr>
                  <w:tcW w:w="2215" w:type="pct"/>
                  <w:gridSpan w:val="2"/>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管道两侧</w:t>
                  </w:r>
                </w:p>
              </w:tc>
              <w:tc>
                <w:tcPr>
                  <w:tcW w:w="1044" w:type="pct"/>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740" w:type="pct"/>
                  <w:vMerge w:val="restar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中粗砂、素土或符合</w:t>
                  </w:r>
                </w:p>
                <w:p>
                  <w:pPr>
                    <w:pStyle w:val="120"/>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要求的原土</w:t>
                  </w:r>
                </w:p>
              </w:tc>
            </w:tr>
            <w:tr>
              <w:tblPrEx>
                <w:tblCellMar>
                  <w:top w:w="0" w:type="dxa"/>
                  <w:left w:w="10" w:type="dxa"/>
                  <w:bottom w:w="0" w:type="dxa"/>
                  <w:right w:w="10" w:type="dxa"/>
                </w:tblCellMar>
              </w:tblPrEx>
              <w:trPr>
                <w:trHeight w:val="359" w:hRule="exact"/>
                <w:jc w:val="center"/>
              </w:trPr>
              <w:tc>
                <w:tcPr>
                  <w:tcW w:w="967" w:type="pct"/>
                  <w:vMerge w:val="restar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管顶以上</w:t>
                  </w:r>
                </w:p>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0.5m</w:t>
                  </w:r>
                  <w:r>
                    <w:rPr>
                      <w:rFonts w:hint="eastAsia" w:ascii="宋体" w:hAnsi="宋体" w:eastAsia="宋体" w:cs="宋体"/>
                      <w:color w:val="auto"/>
                      <w:sz w:val="21"/>
                      <w:szCs w:val="21"/>
                      <w:highlight w:val="none"/>
                    </w:rPr>
                    <w:t>内</w:t>
                  </w:r>
                </w:p>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p>
              </w:tc>
              <w:tc>
                <w:tcPr>
                  <w:tcW w:w="1247" w:type="pct"/>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管</w:t>
                  </w:r>
                  <w:r>
                    <w:rPr>
                      <w:rFonts w:hint="eastAsia" w:ascii="宋体" w:hAnsi="宋体" w:eastAsia="宋体" w:cs="宋体"/>
                      <w:color w:val="auto"/>
                      <w:sz w:val="21"/>
                      <w:szCs w:val="21"/>
                      <w:highlight w:val="none"/>
                    </w:rPr>
                    <w:t>道两侧</w:t>
                  </w:r>
                </w:p>
              </w:tc>
              <w:tc>
                <w:tcPr>
                  <w:tcW w:w="1044" w:type="pct"/>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740"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299" w:hRule="exact"/>
                <w:jc w:val="center"/>
              </w:trPr>
              <w:tc>
                <w:tcPr>
                  <w:tcW w:w="967" w:type="pct"/>
                  <w:vMerge w:val="continue"/>
                  <w:tcBorders>
                    <w:left w:val="single" w:color="auto" w:sz="4" w:space="0"/>
                  </w:tcBorders>
                  <w:shd w:val="clear" w:color="auto" w:fill="FFFFFF"/>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47" w:type="pct"/>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管道上部</w:t>
                  </w:r>
                </w:p>
              </w:tc>
              <w:tc>
                <w:tcPr>
                  <w:tcW w:w="1044" w:type="pct"/>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≥90</w:t>
                  </w:r>
                </w:p>
              </w:tc>
              <w:tc>
                <w:tcPr>
                  <w:tcW w:w="1740"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390" w:hRule="exact"/>
                <w:jc w:val="center"/>
              </w:trPr>
              <w:tc>
                <w:tcPr>
                  <w:tcW w:w="2215" w:type="pct"/>
                  <w:gridSpan w:val="2"/>
                  <w:tcBorders>
                    <w:top w:val="single" w:color="auto" w:sz="4" w:space="0"/>
                    <w:left w:val="single" w:color="auto" w:sz="4" w:space="0"/>
                    <w:bottom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管顶</w:t>
                  </w:r>
                  <w:r>
                    <w:rPr>
                      <w:rFonts w:hint="eastAsia" w:ascii="宋体" w:hAnsi="宋体" w:eastAsia="宋体" w:cs="宋体"/>
                      <w:color w:val="auto"/>
                      <w:sz w:val="21"/>
                      <w:szCs w:val="21"/>
                      <w:highlight w:val="none"/>
                      <w:lang w:val="en-US" w:eastAsia="zh-CN" w:bidi="en-US"/>
                    </w:rPr>
                    <w:t>0.5m</w:t>
                  </w:r>
                  <w:r>
                    <w:rPr>
                      <w:rFonts w:hint="eastAsia" w:ascii="宋体" w:hAnsi="宋体" w:eastAsia="宋体" w:cs="宋体"/>
                      <w:color w:val="auto"/>
                      <w:sz w:val="21"/>
                      <w:szCs w:val="21"/>
                      <w:highlight w:val="none"/>
                    </w:rPr>
                    <w:t>以上</w:t>
                  </w:r>
                </w:p>
              </w:tc>
              <w:tc>
                <w:tcPr>
                  <w:tcW w:w="1044" w:type="pct"/>
                  <w:tcBorders>
                    <w:top w:val="single" w:color="auto" w:sz="4" w:space="0"/>
                    <w:left w:val="single" w:color="auto" w:sz="4" w:space="0"/>
                    <w:bottom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1740" w:type="pct"/>
                  <w:tcBorders>
                    <w:top w:val="single" w:color="auto" w:sz="4" w:space="0"/>
                    <w:left w:val="single" w:color="auto" w:sz="4" w:space="0"/>
                    <w:bottom w:val="single" w:color="auto" w:sz="4" w:space="0"/>
                    <w:righ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原土</w:t>
                  </w:r>
                </w:p>
              </w:tc>
            </w:tr>
          </w:tbl>
          <w:p>
            <w:pPr>
              <w:pStyle w:val="2"/>
              <w:keepNext w:val="0"/>
              <w:keepLines w:val="0"/>
              <w:pageBreakBefore w:val="0"/>
              <w:kinsoku/>
              <w:wordWrap/>
              <w:overflowPunct/>
              <w:topLinePunct w:val="0"/>
              <w:autoSpaceDE/>
              <w:autoSpaceDN/>
              <w:bidi w:val="0"/>
              <w:spacing w:line="260" w:lineRule="atLeast"/>
              <w:ind w:left="0" w:leftChars="0" w:firstLine="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注</w:t>
            </w:r>
            <w:r>
              <w:rPr>
                <w:rFonts w:hint="eastAsia" w:ascii="宋体" w:hAnsi="宋体" w:eastAsia="宋体" w:cs="宋体"/>
                <w:color w:val="auto"/>
                <w:sz w:val="21"/>
                <w:szCs w:val="21"/>
                <w:highlight w:val="none"/>
                <w:lang w:val="zh-TW"/>
              </w:rPr>
              <w:t>：</w:t>
            </w:r>
            <w:r>
              <w:rPr>
                <w:rFonts w:hint="eastAsia" w:ascii="宋体" w:hAnsi="宋体" w:eastAsia="宋体" w:cs="宋体"/>
                <w:color w:val="auto"/>
                <w:sz w:val="21"/>
                <w:szCs w:val="21"/>
                <w:highlight w:val="none"/>
                <w:lang w:val="zh-TW" w:eastAsia="zh-TW"/>
              </w:rPr>
              <w:t>回填土的压实系数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TW" w:eastAsia="zh-TW"/>
              </w:rPr>
              <w:t>除设计要求</w:t>
            </w:r>
            <w:r>
              <w:rPr>
                <w:rFonts w:hint="eastAsia" w:ascii="宋体" w:hAnsi="宋体" w:eastAsia="宋体" w:cs="宋体"/>
                <w:color w:val="auto"/>
                <w:sz w:val="21"/>
                <w:szCs w:val="21"/>
                <w:highlight w:val="none"/>
                <w:lang w:val="zh-TW" w:eastAsia="zh-CN"/>
              </w:rPr>
              <w:t>采用</w:t>
            </w:r>
            <w:r>
              <w:rPr>
                <w:rFonts w:hint="eastAsia" w:ascii="宋体" w:hAnsi="宋体" w:eastAsia="宋体" w:cs="宋体"/>
                <w:color w:val="auto"/>
                <w:sz w:val="21"/>
                <w:szCs w:val="21"/>
                <w:highlight w:val="none"/>
                <w:lang w:val="zh-TW"/>
              </w:rPr>
              <w:t>重</w:t>
            </w:r>
            <w:r>
              <w:rPr>
                <w:rFonts w:hint="eastAsia" w:ascii="宋体" w:hAnsi="宋体" w:eastAsia="宋体" w:cs="宋体"/>
                <w:color w:val="auto"/>
                <w:sz w:val="21"/>
                <w:szCs w:val="21"/>
                <w:highlight w:val="none"/>
                <w:lang w:val="zh-TW" w:eastAsia="zh-TW"/>
              </w:rPr>
              <w:t>型击实标准外，其他皆以轻型击实标准试验获得最大干密度为100%。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6.4.6.2 回填时应采取防止管道发生位移或损伤的措施。井室周围回填应与沟槽回填同时进行。回填压实时应沿井室中心对称进行，且不得漏夯。</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 xml:space="preserve">6.4.6.3 </w:t>
            </w:r>
            <w:r>
              <w:rPr>
                <w:rFonts w:hint="eastAsia" w:ascii="宋体" w:hAnsi="宋体" w:eastAsia="宋体" w:cs="宋体"/>
                <w:color w:val="auto"/>
                <w:kern w:val="0"/>
                <w:sz w:val="21"/>
                <w:szCs w:val="21"/>
                <w:highlight w:val="none"/>
              </w:rPr>
              <w:t>回填土或其他回填材料运入槽内时不得损伤管道及其防腐层。管道两侧和管顶以上500mm范围内的回填材料，应由沟槽两侧对称运入槽内，不得直接回填在管道上。</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6.4.6.4 </w:t>
            </w:r>
            <w:r>
              <w:rPr>
                <w:rFonts w:hint="eastAsia" w:ascii="宋体" w:hAnsi="宋体" w:eastAsia="宋体" w:cs="宋体"/>
                <w:color w:val="auto"/>
                <w:sz w:val="21"/>
                <w:szCs w:val="21"/>
                <w:highlight w:val="none"/>
              </w:rPr>
              <w:t>沟槽应分层夯填密实</w:t>
            </w:r>
            <w:r>
              <w:rPr>
                <w:rFonts w:hint="eastAsia" w:ascii="宋体" w:hAnsi="宋体" w:eastAsia="宋体" w:cs="宋体"/>
                <w:bCs/>
                <w:color w:val="auto"/>
                <w:sz w:val="21"/>
                <w:szCs w:val="21"/>
                <w:highlight w:val="none"/>
              </w:rPr>
              <w:t>。管道两侧及管顶以上0.5m内的回填土应采用人工压实，管顶0.5m以上的回填土可采用小型机械压实。</w:t>
            </w:r>
            <w:r>
              <w:rPr>
                <w:rFonts w:hint="eastAsia" w:ascii="宋体" w:hAnsi="宋体" w:eastAsia="宋体" w:cs="宋体"/>
                <w:color w:val="auto"/>
                <w:kern w:val="0"/>
                <w:sz w:val="21"/>
                <w:szCs w:val="21"/>
                <w:highlight w:val="none"/>
              </w:rPr>
              <w:t>每层虚铺厚度</w:t>
            </w:r>
            <w:r>
              <w:rPr>
                <w:rFonts w:hint="eastAsia" w:ascii="宋体" w:hAnsi="宋体" w:eastAsia="宋体" w:cs="宋体"/>
                <w:bCs/>
                <w:color w:val="auto"/>
                <w:sz w:val="21"/>
                <w:szCs w:val="21"/>
                <w:highlight w:val="none"/>
              </w:rPr>
              <w:t>应符合</w:t>
            </w:r>
            <w:r>
              <w:rPr>
                <w:rFonts w:hint="eastAsia" w:ascii="宋体" w:hAnsi="宋体" w:eastAsia="宋体" w:cs="宋体"/>
                <w:color w:val="auto"/>
                <w:kern w:val="0"/>
                <w:sz w:val="21"/>
                <w:szCs w:val="21"/>
                <w:highlight w:val="none"/>
              </w:rPr>
              <w:t>表28的规定。</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表28  回填土的每层虚铺厚度       </w:t>
            </w:r>
            <w:r>
              <w:rPr>
                <w:rFonts w:hint="eastAsia" w:ascii="宋体" w:hAnsi="宋体" w:eastAsia="宋体" w:cs="宋体"/>
                <w:color w:val="auto"/>
                <w:kern w:val="0"/>
                <w:sz w:val="21"/>
                <w:szCs w:val="21"/>
                <w:highlight w:val="none"/>
                <w:lang w:bidi="ar"/>
              </w:rPr>
              <w:t>单位为毫米</w:t>
            </w:r>
          </w:p>
          <w:tbl>
            <w:tblPr>
              <w:tblStyle w:val="20"/>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28"/>
              <w:gridCol w:w="60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26" w:type="pct"/>
                  <w:tcBorders>
                    <w:lef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压实机具</w:t>
                  </w:r>
                </w:p>
              </w:tc>
              <w:tc>
                <w:tcPr>
                  <w:tcW w:w="2773" w:type="pct"/>
                  <w:tcBorders>
                    <w:righ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虚铺厚度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226" w:type="pct"/>
                  <w:tcBorders>
                    <w:lef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木夯、铁夯</w:t>
                  </w:r>
                </w:p>
              </w:tc>
              <w:tc>
                <w:tcPr>
                  <w:tcW w:w="2773" w:type="pct"/>
                  <w:tcBorders>
                    <w:righ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226" w:type="pct"/>
                  <w:tcBorders>
                    <w:lef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轻型压实设备</w:t>
                  </w:r>
                </w:p>
              </w:tc>
              <w:tc>
                <w:tcPr>
                  <w:tcW w:w="2773" w:type="pct"/>
                  <w:tcBorders>
                    <w:righ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26" w:type="pct"/>
                  <w:tcBorders>
                    <w:lef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压路机</w:t>
                  </w:r>
                </w:p>
              </w:tc>
              <w:tc>
                <w:tcPr>
                  <w:tcW w:w="2773" w:type="pct"/>
                  <w:tcBorders>
                    <w:righ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226" w:type="pct"/>
                  <w:tcBorders>
                    <w:lef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振动压路机</w:t>
                  </w:r>
                </w:p>
              </w:tc>
              <w:tc>
                <w:tcPr>
                  <w:tcW w:w="2773" w:type="pct"/>
                  <w:tcBorders>
                    <w:right w:val="single" w:color="auto" w:sz="4" w:space="0"/>
                  </w:tcBorders>
                  <w:vAlign w:val="center"/>
                </w:tcPr>
                <w:p>
                  <w:pPr>
                    <w:keepNext w:val="0"/>
                    <w:keepLines w:val="0"/>
                    <w:pageBreakBefore w:val="0"/>
                    <w:widowControl/>
                    <w:tabs>
                      <w:tab w:val="left" w:pos="1689"/>
                    </w:tabs>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bl>
          <w:p>
            <w:pPr>
              <w:keepNext w:val="0"/>
              <w:keepLines w:val="0"/>
              <w:pageBreakBefore w:val="0"/>
              <w:widowControl/>
              <w:kinsoku/>
              <w:wordWrap/>
              <w:overflowPunct/>
              <w:topLinePunct w:val="0"/>
              <w:autoSpaceDE/>
              <w:autoSpaceDN/>
              <w:bidi w:val="0"/>
              <w:snapToGrid w:val="0"/>
              <w:spacing w:line="260" w:lineRule="atLeast"/>
              <w:ind w:lef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6.4.6.5 </w:t>
            </w:r>
            <w:r>
              <w:rPr>
                <w:rFonts w:hint="eastAsia" w:ascii="宋体" w:hAnsi="宋体" w:eastAsia="宋体" w:cs="宋体"/>
                <w:color w:val="auto"/>
                <w:kern w:val="0"/>
                <w:sz w:val="21"/>
                <w:szCs w:val="21"/>
                <w:highlight w:val="none"/>
              </w:rPr>
              <w:t>回填材料</w:t>
            </w:r>
            <w:r>
              <w:rPr>
                <w:rFonts w:hint="eastAsia" w:ascii="宋体" w:hAnsi="宋体" w:eastAsia="宋体" w:cs="宋体"/>
                <w:bCs/>
                <w:color w:val="auto"/>
                <w:sz w:val="21"/>
                <w:szCs w:val="21"/>
                <w:highlight w:val="none"/>
              </w:rPr>
              <w:t>不得用有机物、冻土、垃圾、木材及软性物质。管道周围两侧及管顶以上500mm范围内的回填土应采用细砂或细土，不得含有碎石、砖块等，且不得用灰土回填。距管顶500mm以上的回填土中的石块不得大于10％，直径不得大于100mm，且应均匀分。</w:t>
            </w:r>
          </w:p>
          <w:p>
            <w:pPr>
              <w:keepNext w:val="0"/>
              <w:keepLines w:val="0"/>
              <w:pageBreakBefore w:val="0"/>
              <w:widowControl/>
              <w:kinsoku/>
              <w:wordWrap/>
              <w:overflowPunct/>
              <w:topLinePunct w:val="0"/>
              <w:autoSpaceDE/>
              <w:autoSpaceDN/>
              <w:bidi w:val="0"/>
              <w:snapToGrid w:val="0"/>
              <w:spacing w:line="260" w:lineRule="atLeast"/>
              <w:ind w:lef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6.4.6.6 回填前应将槽底施工遗留的杂物清除干净，且不得积水。</w:t>
            </w:r>
          </w:p>
          <w:p>
            <w:pPr>
              <w:keepNext w:val="0"/>
              <w:keepLines w:val="0"/>
              <w:pageBreakBefore w:val="0"/>
              <w:widowControl/>
              <w:kinsoku/>
              <w:wordWrap/>
              <w:overflowPunct/>
              <w:topLinePunct w:val="0"/>
              <w:autoSpaceDE/>
              <w:autoSpaceDN/>
              <w:bidi w:val="0"/>
              <w:snapToGrid w:val="0"/>
              <w:spacing w:line="260" w:lineRule="atLeast"/>
              <w:ind w:left="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 xml:space="preserve">6.4.6.7 </w:t>
            </w:r>
            <w:r>
              <w:rPr>
                <w:rFonts w:hint="eastAsia" w:ascii="宋体" w:hAnsi="宋体" w:eastAsia="宋体" w:cs="宋体"/>
                <w:color w:val="auto"/>
                <w:sz w:val="21"/>
                <w:szCs w:val="21"/>
                <w:highlight w:val="none"/>
              </w:rPr>
              <w:t>沟槽</w:t>
            </w:r>
            <w:r>
              <w:rPr>
                <w:rFonts w:hint="eastAsia" w:ascii="宋体" w:hAnsi="宋体" w:eastAsia="宋体" w:cs="宋体"/>
                <w:bCs/>
                <w:color w:val="auto"/>
                <w:sz w:val="21"/>
                <w:szCs w:val="21"/>
                <w:highlight w:val="none"/>
              </w:rPr>
              <w:t>回填土应分层压实，分层检查填土压实度，合格后方可进行上层填土施工。沟槽回填压实</w:t>
            </w:r>
            <w:r>
              <w:rPr>
                <w:rFonts w:hint="eastAsia" w:ascii="宋体" w:hAnsi="宋体" w:eastAsia="宋体" w:cs="宋体"/>
                <w:color w:val="auto"/>
                <w:kern w:val="0"/>
                <w:sz w:val="21"/>
                <w:szCs w:val="21"/>
                <w:highlight w:val="none"/>
              </w:rPr>
              <w:t>度应符合下列规定（</w:t>
            </w:r>
            <w:r>
              <w:rPr>
                <w:rFonts w:hint="eastAsia" w:ascii="宋体" w:hAnsi="宋体" w:eastAsia="宋体" w:cs="宋体"/>
                <w:bCs/>
                <w:color w:val="auto"/>
                <w:sz w:val="21"/>
                <w:szCs w:val="21"/>
                <w:highlight w:val="none"/>
              </w:rPr>
              <w:t>图6</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object>
                <v:shape id="_x0000_i1026" o:spt="75" type="#_x0000_t75" style="height:134.8pt;width:291.45pt;" o:ole="t" filled="f" o:preferrelative="t" stroked="f" coordsize="21600,21600">
                  <v:path/>
                  <v:fill on="f" focussize="0,0"/>
                  <v:stroke on="f" joinstyle="miter"/>
                  <v:imagedata r:id="rId10" o:title=""/>
                  <o:lock v:ext="edit" aspectratio="t"/>
                  <w10:wrap type="none"/>
                  <w10:anchorlock/>
                </v:shape>
                <o:OLEObject Type="Embed" ProgID="AutoCAD.Drawing.17" ShapeID="_x0000_i1026" DrawAspect="Content" ObjectID="_1468075725" r:id="rId9">
                  <o:LockedField>false</o:LockedField>
                </o:OLEObject>
              </w:object>
            </w:r>
          </w:p>
          <w:p>
            <w:pPr>
              <w:keepNext w:val="0"/>
              <w:keepLines w:val="0"/>
              <w:pageBreakBefore w:val="0"/>
              <w:widowControl/>
              <w:kinsoku/>
              <w:wordWrap/>
              <w:overflowPunct/>
              <w:topLinePunct w:val="0"/>
              <w:autoSpaceDE/>
              <w:autoSpaceDN/>
              <w:bidi w:val="0"/>
              <w:snapToGrid w:val="0"/>
              <w:spacing w:line="260" w:lineRule="atLeast"/>
              <w:ind w:left="0"/>
              <w:jc w:val="center"/>
              <w:rPr>
                <w:rFonts w:hint="eastAsia" w:ascii="宋体" w:hAnsi="宋体" w:eastAsia="宋体" w:cs="宋体"/>
                <w:bCs/>
                <w:iCs/>
                <w:color w:val="auto"/>
                <w:sz w:val="21"/>
                <w:szCs w:val="21"/>
                <w:highlight w:val="none"/>
              </w:rPr>
            </w:pPr>
            <w:r>
              <w:rPr>
                <w:rFonts w:hint="eastAsia" w:ascii="宋体" w:hAnsi="宋体" w:eastAsia="宋体" w:cs="宋体"/>
                <w:bCs/>
                <w:iCs/>
                <w:color w:val="auto"/>
                <w:sz w:val="21"/>
                <w:szCs w:val="21"/>
                <w:highlight w:val="none"/>
              </w:rPr>
              <w:t>图6 回填土断面图</w:t>
            </w:r>
          </w:p>
          <w:p>
            <w:pPr>
              <w:keepNext w:val="0"/>
              <w:keepLines w:val="0"/>
              <w:pageBreakBefore w:val="0"/>
              <w:numPr>
                <w:ilvl w:val="0"/>
                <w:numId w:val="6"/>
              </w:numPr>
              <w:kinsoku/>
              <w:wordWrap/>
              <w:overflowPunct/>
              <w:topLinePunct w:val="0"/>
              <w:autoSpaceDE/>
              <w:autoSpaceDN/>
              <w:bidi w:val="0"/>
              <w:adjustRightInd w:val="0"/>
              <w:snapToGrid w:val="0"/>
              <w:spacing w:line="260" w:lineRule="atLeast"/>
              <w:ind w:left="0"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对（Ⅰ）区部位，采用中、粗砂或细土分层回填，每层厚度为100mm～200mm。压实度不应小于90%；</w:t>
            </w:r>
          </w:p>
          <w:p>
            <w:pPr>
              <w:keepNext w:val="0"/>
              <w:keepLines w:val="0"/>
              <w:pageBreakBefore w:val="0"/>
              <w:numPr>
                <w:ilvl w:val="0"/>
                <w:numId w:val="6"/>
              </w:numPr>
              <w:kinsoku/>
              <w:wordWrap/>
              <w:overflowPunct/>
              <w:topLinePunct w:val="0"/>
              <w:autoSpaceDE/>
              <w:autoSpaceDN/>
              <w:bidi w:val="0"/>
              <w:adjustRightInd w:val="0"/>
              <w:snapToGrid w:val="0"/>
              <w:spacing w:line="260" w:lineRule="atLeast"/>
              <w:ind w:left="0"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对（Ⅱ）区部位，采用符合要求的原土或中、粗砂回填，压实度不应小于85%；</w:t>
            </w:r>
          </w:p>
          <w:p>
            <w:pPr>
              <w:keepNext w:val="0"/>
              <w:keepLines w:val="0"/>
              <w:pageBreakBefore w:val="0"/>
              <w:numPr>
                <w:ilvl w:val="0"/>
                <w:numId w:val="6"/>
              </w:numPr>
              <w:kinsoku/>
              <w:wordWrap/>
              <w:overflowPunct/>
              <w:topLinePunct w:val="0"/>
              <w:autoSpaceDE/>
              <w:autoSpaceDN/>
              <w:bidi w:val="0"/>
              <w:adjustRightInd w:val="0"/>
              <w:snapToGrid w:val="0"/>
              <w:spacing w:line="260" w:lineRule="atLeast"/>
              <w:ind w:left="0"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对（Ⅲ）区部位，采用符合要求的原土或中、粗砂回填，压实度不应小于90%；</w:t>
            </w:r>
          </w:p>
          <w:p>
            <w:pPr>
              <w:keepNext w:val="0"/>
              <w:keepLines w:val="0"/>
              <w:pageBreakBefore w:val="0"/>
              <w:numPr>
                <w:ilvl w:val="0"/>
                <w:numId w:val="6"/>
              </w:numPr>
              <w:kinsoku/>
              <w:wordWrap/>
              <w:overflowPunct/>
              <w:topLinePunct w:val="0"/>
              <w:autoSpaceDE/>
              <w:autoSpaceDN/>
              <w:bidi w:val="0"/>
              <w:adjustRightInd w:val="0"/>
              <w:snapToGrid w:val="0"/>
              <w:spacing w:line="260" w:lineRule="atLeast"/>
              <w:ind w:left="0" w:firstLine="210" w:firstLineChars="1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对（Ⅳ）区部位，采用原土分层回填，压实度应符合相应地面对压实度的要求。</w:t>
            </w:r>
          </w:p>
          <w:p>
            <w:pPr>
              <w:keepNext w:val="0"/>
              <w:keepLines w:val="0"/>
              <w:pageBreakBefore w:val="0"/>
              <w:widowControl/>
              <w:kinsoku/>
              <w:wordWrap/>
              <w:overflowPunct/>
              <w:topLinePunct w:val="0"/>
              <w:autoSpaceDE/>
              <w:autoSpaceDN/>
              <w:bidi w:val="0"/>
              <w:snapToGrid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bCs/>
                <w:iCs/>
                <w:color w:val="auto"/>
                <w:sz w:val="21"/>
                <w:szCs w:val="21"/>
                <w:highlight w:val="none"/>
              </w:rPr>
              <w:t xml:space="preserve">6.4.6.8 </w:t>
            </w:r>
            <w:r>
              <w:rPr>
                <w:rFonts w:hint="eastAsia" w:ascii="宋体" w:hAnsi="宋体" w:eastAsia="宋体" w:cs="宋体"/>
                <w:color w:val="auto"/>
                <w:sz w:val="21"/>
                <w:szCs w:val="21"/>
                <w:highlight w:val="none"/>
              </w:rPr>
              <w:t>基坑</w:t>
            </w:r>
            <w:r>
              <w:rPr>
                <w:rFonts w:hint="eastAsia" w:ascii="宋体" w:hAnsi="宋体" w:eastAsia="宋体" w:cs="宋体"/>
                <w:iCs/>
                <w:color w:val="auto"/>
                <w:sz w:val="21"/>
                <w:szCs w:val="21"/>
                <w:highlight w:val="none"/>
              </w:rPr>
              <w:t>回填土</w:t>
            </w:r>
            <w:r>
              <w:rPr>
                <w:rFonts w:hint="eastAsia" w:ascii="宋体" w:hAnsi="宋体" w:eastAsia="宋体" w:cs="宋体"/>
                <w:color w:val="auto"/>
                <w:sz w:val="21"/>
                <w:szCs w:val="21"/>
                <w:highlight w:val="none"/>
              </w:rPr>
              <w:t>的压实度应大于或等于95</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bCs/>
                <w:color w:val="auto"/>
                <w:sz w:val="21"/>
                <w:szCs w:val="21"/>
                <w:highlight w:val="none"/>
                <w:lang w:val="zh-TW" w:eastAsia="zh-TW"/>
              </w:rPr>
            </w:pPr>
            <w:r>
              <w:rPr>
                <w:rFonts w:hint="eastAsia" w:ascii="宋体" w:hAnsi="宋体" w:eastAsia="宋体" w:cs="宋体"/>
                <w:color w:val="auto"/>
                <w:kern w:val="0"/>
                <w:sz w:val="21"/>
                <w:szCs w:val="21"/>
                <w:highlight w:val="none"/>
                <w:lang w:bidi="ar"/>
              </w:rPr>
              <w:t>6.4.6.9 燃气管道与其他地下管线或设施交叉安装完成后，其交叉位置2m范围内的沟槽回填应密实，以免对其他管线造成影响，可采用水撼砂或其他材料回填，湿陷性黄土地区应严格控制水撼砂含水量。水撼砂为采自河槽或料场的中细砂，回填前应剔除砂子中的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3.2.2</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z w:val="21"/>
                <w:szCs w:val="21"/>
                <w:highlight w:val="none"/>
              </w:rPr>
              <w:t>材料设备的检查验收与装卸、运输、存放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工程用材料设备进入施工现场时必须进行检查验收，其型号、规格、材质、压力等级、执行标准等应符合设计要求，其质量应符合相关产品标准及订货合同的规定。</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《压力管道规范公用管道》GB/T38942-2020</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管道工程施工所使用的管材、设备、管道组成件、压力容器及元件、防腐材料、阴极保护材料、管道标示材料等，应符合设计要求，其质量应符合国家现行有关产品标准的规定，并具有材质证明文件、质量证明书、出厂质量合格文件以及使用说明书。</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6.2.1.1 在入库和进入施工现场安装前，应对管道组成件进行检查，其材质、规格、型号应符合设计文件和合同的规定，并应按现行的国家产品标准进行外观、椭圆度、壁厚、尺寸等检查；对外观质量设计文件或本标准有要求时应进行有关质量检验，不合格者不得使用。</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6.2.1.2 当有相关文件要求时，应对材料进行复验。复检的材料应按照相关规范的规定进行复检。牌号及质量性能不明的材料不应用于管道（承压）组成件，不合格的材料、管道附件、设备不应安装使用。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6.2.1.3 管道组成件应逐件进行核实并标记，标志内容一般包括制造单位代号或商标、许可标志、材料（牌号或强度等级、规格、炉批号）、产品编号等。产品规格较小，无法标记全部内容时，可采用标签或按照相关要求省略部分内容。产品标志应能够追溯到产品质量证明文件。</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6.2.1.4 现场安装的阀门应逐个进行外观检查，其外观质量应符合下列要求：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a）阀体、阀盖、阀外表面无气孔、砂眼、裂纹等；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b）垫片、填料应满足介质要求，安装应正确；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c）丝杆、手轮、手柄无毛刺、划痕，且传动机构操作灵活、指示正确；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d）铭牌完好无缺，标识清晰完整；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备品备件应数量齐全、完好无损。</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6.2.1.6 法兰的公称压力应符合设计要求，法兰密封面应平整光洁，不得有毛刺及径向沟槽。法兰螺纹部分应完整，无损伤。凹凸面法兰应能自然嵌合，凸面的高度不得低于凹槽的深度。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6.2.1.7 螺栓及螺母的螺纹应完整，不得有伤痕、毛刺等缺陷；螺栓与螺母应配合良好，不得有松动或卡涩现象。设计压力大于或等于1.6MPa的管道使用的高强度螺栓、螺母设计文件有疑问时，应按照相关规范要求进行复验。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6.2.1.8 石棉橡胶垫、橡胶垫及软塑料等非金属垫片应质地柔韧，不得有老化变质或分层现象，表面不应有折损、皱纹等缺陷；金属垫片的加工尺寸、精度、光洁度及硬度应符合要求，表面不得有裂纹、毛刺、凹槽、径向划痕及锈斑等缺陷；包金属及缠绕式垫片不应有径向划痕、松散、翘曲等缺陷。</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6.2.7.3 焊条应无破损、霉变、油污、锈蚀，焊丝应无锈蚀和折弯，焊剂应无变质现象，保护气体的纯度和干燥度应满足焊接工艺规程的要求。</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6.3.3.2 补偿器进场后应检查产品合格证，核对产品型号，并对外观质量和安装尺寸进行复检，安装前不得拆除运输紧固装置。</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u w:val="single"/>
                <w:lang w:bidi="ar"/>
              </w:rPr>
              <w:t>验收时应特别留意相关材料的限制使用原则</w:t>
            </w:r>
            <w:r>
              <w:rPr>
                <w:rFonts w:hint="eastAsia" w:ascii="宋体" w:hAnsi="宋体" w:eastAsia="宋体" w:cs="宋体"/>
                <w:color w:val="auto"/>
                <w:kern w:val="0"/>
                <w:sz w:val="21"/>
                <w:szCs w:val="21"/>
                <w:highlight w:val="none"/>
                <w:lang w:bidi="ar"/>
              </w:rPr>
              <w:t>：</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4.3.1.2 管材不得选用灰口铸铁和可锻铸铁材料。敷设在综合管廊的燃气管道应选用钢管。</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4.3.1.4 管材选用聚乙烯燃气管道材料时，应符合下列规定：</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c）聚乙烯管材焊制成型的管件不得用于聚乙烯燃气管道系统；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4.3.2.5 用于生产螺旋缝埋弧焊钢管的钢带宽度不得小于钢管公称外径的0.8倍，也不得大于钢管公称外径的3.0倍。钢板或板卷不得含有任何补焊焊缝，制管过程中也不得进行补焊。</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4.3.3.1 冷弯管可采用直缝埋弧焊钢管（SAWL）、螺旋缝埋弧焊钢管（SAWH）和无缝钢管制作。设计压力大于4.0MPa、L485及以上的燃气管道用冷弯管应采用直缝埋弧焊钢管（SAWL）或无缝钢管制作。</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4.3.3.4 不得采用螺旋缝钢管制作热煨弯管，用于制作热煨弯管的钢管不得有对接的环焊缝，其壁厚应有足够的裕量以满足由于感应加热弯制带来的外弧侧壁厚减薄。</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4.3.4.2 制造管件的原材料应为各类锻件、板材、无缝管或有填充金属的焊接钢管。弯头本体不应有丁字或环形焊缝。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《油气长输管道工程施工及验收规范》GB50369-2014</w:t>
            </w:r>
          </w:p>
        </w:tc>
        <w:tc>
          <w:tcPr>
            <w:tcW w:w="11060" w:type="dxa"/>
            <w:vAlign w:val="center"/>
          </w:tcPr>
          <w:p>
            <w:pPr>
              <w:pStyle w:val="115"/>
              <w:keepNext w:val="0"/>
              <w:keepLines w:val="0"/>
              <w:pageBreakBefore w:val="0"/>
              <w:tabs>
                <w:tab w:val="left" w:pos="557"/>
              </w:tabs>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4.1.2 </w:t>
            </w:r>
            <w:r>
              <w:rPr>
                <w:rFonts w:hint="eastAsia" w:ascii="宋体" w:hAnsi="宋体" w:eastAsia="宋体" w:cs="宋体"/>
                <w:color w:val="auto"/>
                <w:sz w:val="21"/>
                <w:szCs w:val="21"/>
                <w:highlight w:val="none"/>
              </w:rPr>
              <w:t>管道线路的热煨弯管、冷弯管应符合表</w:t>
            </w:r>
            <w:r>
              <w:rPr>
                <w:rFonts w:hint="eastAsia" w:ascii="宋体" w:hAnsi="宋体" w:eastAsia="宋体" w:cs="宋体"/>
                <w:color w:val="auto"/>
                <w:sz w:val="21"/>
                <w:szCs w:val="21"/>
                <w:highlight w:val="none"/>
                <w:lang w:val="en-US" w:eastAsia="zh-CN" w:bidi="en-US"/>
              </w:rPr>
              <w:t>4.1.2</w:t>
            </w:r>
            <w:r>
              <w:rPr>
                <w:rFonts w:hint="eastAsia" w:ascii="宋体" w:hAnsi="宋体" w:eastAsia="宋体" w:cs="宋体"/>
                <w:color w:val="auto"/>
                <w:sz w:val="21"/>
                <w:szCs w:val="21"/>
                <w:highlight w:val="none"/>
              </w:rPr>
              <w:t>的规定。</w:t>
            </w:r>
          </w:p>
          <w:p>
            <w:pPr>
              <w:pStyle w:val="125"/>
              <w:keepNext w:val="0"/>
              <w:keepLines w:val="0"/>
              <w:pageBreakBefore w:val="0"/>
              <w:kinsoku/>
              <w:wordWrap/>
              <w:overflowPunct/>
              <w:topLinePunct w:val="0"/>
              <w:autoSpaceDE/>
              <w:autoSpaceDN/>
              <w:bidi w:val="0"/>
              <w:spacing w:after="0"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bidi="en-US"/>
              </w:rPr>
              <w:t>4.1.2</w:t>
            </w:r>
            <w:r>
              <w:rPr>
                <w:rFonts w:hint="eastAsia" w:ascii="宋体" w:hAnsi="宋体" w:eastAsia="宋体" w:cs="宋体"/>
                <w:color w:val="auto"/>
                <w:sz w:val="21"/>
                <w:szCs w:val="21"/>
                <w:highlight w:val="none"/>
                <w:lang w:val="en-US" w:eastAsia="zh-CN" w:bidi="en-US"/>
              </w:rPr>
              <w:t xml:space="preserve"> </w:t>
            </w:r>
            <w:r>
              <w:rPr>
                <w:rFonts w:hint="eastAsia" w:ascii="宋体" w:hAnsi="宋体" w:eastAsia="宋体" w:cs="宋体"/>
                <w:color w:val="auto"/>
                <w:sz w:val="21"/>
                <w:szCs w:val="21"/>
                <w:highlight w:val="none"/>
              </w:rPr>
              <w:t>管道线路的热煨弯管、冷弯管的规定</w:t>
            </w:r>
          </w:p>
          <w:tbl>
            <w:tblPr>
              <w:tblStyle w:val="20"/>
              <w:tblW w:w="10842" w:type="dxa"/>
              <w:jc w:val="center"/>
              <w:tblLayout w:type="autofit"/>
              <w:tblCellMar>
                <w:top w:w="0" w:type="dxa"/>
                <w:left w:w="10" w:type="dxa"/>
                <w:bottom w:w="0" w:type="dxa"/>
                <w:right w:w="10" w:type="dxa"/>
              </w:tblCellMar>
            </w:tblPr>
            <w:tblGrid>
              <w:gridCol w:w="1265"/>
              <w:gridCol w:w="1176"/>
              <w:gridCol w:w="1946"/>
              <w:gridCol w:w="2887"/>
              <w:gridCol w:w="3568"/>
            </w:tblGrid>
            <w:tr>
              <w:tblPrEx>
                <w:tblCellMar>
                  <w:top w:w="0" w:type="dxa"/>
                  <w:left w:w="10" w:type="dxa"/>
                  <w:bottom w:w="0" w:type="dxa"/>
                  <w:right w:w="10" w:type="dxa"/>
                </w:tblCellMar>
              </w:tblPrEx>
              <w:trPr>
                <w:trHeight w:val="331" w:hRule="exact"/>
                <w:jc w:val="center"/>
              </w:trPr>
              <w:tc>
                <w:tcPr>
                  <w:tcW w:w="1125" w:type="pct"/>
                  <w:gridSpan w:val="2"/>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种类</w:t>
                  </w:r>
                </w:p>
              </w:tc>
              <w:tc>
                <w:tcPr>
                  <w:tcW w:w="897"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曲率半径</w:t>
                  </w:r>
                </w:p>
              </w:tc>
              <w:tc>
                <w:tcPr>
                  <w:tcW w:w="1331"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外观和主要尺寸</w:t>
                  </w:r>
                </w:p>
              </w:tc>
              <w:tc>
                <w:tcPr>
                  <w:tcW w:w="1645"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其他规定</w:t>
                  </w:r>
                </w:p>
              </w:tc>
            </w:tr>
            <w:tr>
              <w:tblPrEx>
                <w:tblCellMar>
                  <w:top w:w="0" w:type="dxa"/>
                  <w:left w:w="10" w:type="dxa"/>
                  <w:bottom w:w="0" w:type="dxa"/>
                  <w:right w:w="10" w:type="dxa"/>
                </w:tblCellMar>
              </w:tblPrEx>
              <w:trPr>
                <w:trHeight w:val="1421" w:hRule="exact"/>
                <w:jc w:val="center"/>
              </w:trPr>
              <w:tc>
                <w:tcPr>
                  <w:tcW w:w="1125" w:type="pct"/>
                  <w:gridSpan w:val="2"/>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热煨弯管</w:t>
                  </w:r>
                </w:p>
              </w:tc>
              <w:tc>
                <w:tcPr>
                  <w:tcW w:w="897"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rPr>
                    <w:t>≥4D</w:t>
                  </w:r>
                </w:p>
              </w:tc>
              <w:tc>
                <w:tcPr>
                  <w:tcW w:w="1331"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无褶皱、裂纹、重皮、机械损伤；两端椭圆度小于或等于1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其他部位的椭</w:t>
                  </w:r>
                  <w:r>
                    <w:rPr>
                      <w:rFonts w:hint="eastAsia" w:ascii="宋体" w:hAnsi="宋体" w:eastAsia="宋体" w:cs="宋体"/>
                      <w:color w:val="auto"/>
                      <w:sz w:val="21"/>
                      <w:szCs w:val="21"/>
                      <w:highlight w:val="none"/>
                      <w:lang w:eastAsia="zh-CN"/>
                    </w:rPr>
                    <w:t>圆</w:t>
                  </w:r>
                  <w:r>
                    <w:rPr>
                      <w:rFonts w:hint="eastAsia" w:ascii="宋体" w:hAnsi="宋体" w:eastAsia="宋体" w:cs="宋体"/>
                      <w:color w:val="auto"/>
                      <w:sz w:val="21"/>
                      <w:szCs w:val="21"/>
                      <w:highlight w:val="none"/>
                    </w:rPr>
                    <w:t>度不应大于2.5%</w:t>
                  </w:r>
                  <w:r>
                    <w:rPr>
                      <w:rFonts w:hint="eastAsia" w:ascii="宋体" w:hAnsi="宋体" w:eastAsia="宋体" w:cs="宋体"/>
                      <w:color w:val="auto"/>
                      <w:sz w:val="21"/>
                      <w:szCs w:val="21"/>
                      <w:highlight w:val="none"/>
                      <w:lang w:eastAsia="zh-CN"/>
                    </w:rPr>
                    <w:t>。</w:t>
                  </w:r>
                </w:p>
              </w:tc>
              <w:tc>
                <w:tcPr>
                  <w:tcW w:w="1645"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应满足清管器和探测仪器顺利通过。端部直管段保留长度：</w:t>
                  </w:r>
                  <w:r>
                    <w:rPr>
                      <w:rFonts w:hint="eastAsia" w:ascii="宋体" w:hAnsi="宋体" w:eastAsia="宋体" w:cs="宋体"/>
                      <w:color w:val="auto"/>
                      <w:sz w:val="21"/>
                      <w:szCs w:val="21"/>
                      <w:highlight w:val="none"/>
                      <w:lang w:val="en-US" w:eastAsia="zh-CN"/>
                    </w:rPr>
                    <w:t>DN&lt;500mm</w:t>
                  </w:r>
                  <w:r>
                    <w:rPr>
                      <w:rFonts w:hint="eastAsia" w:ascii="宋体" w:hAnsi="宋体" w:eastAsia="宋体" w:cs="宋体"/>
                      <w:color w:val="auto"/>
                      <w:sz w:val="21"/>
                      <w:szCs w:val="21"/>
                      <w:highlight w:val="none"/>
                    </w:rPr>
                    <w:t>时，不小于</w:t>
                  </w:r>
                  <w:r>
                    <w:rPr>
                      <w:rFonts w:hint="eastAsia" w:ascii="宋体" w:hAnsi="宋体" w:eastAsia="宋体" w:cs="宋体"/>
                      <w:color w:val="auto"/>
                      <w:sz w:val="21"/>
                      <w:szCs w:val="21"/>
                      <w:highlight w:val="none"/>
                      <w:lang w:val="en-US" w:eastAsia="zh-CN"/>
                    </w:rPr>
                    <w:t>250mm；DN&gt;500mm</w:t>
                  </w:r>
                  <w:r>
                    <w:rPr>
                      <w:rFonts w:hint="eastAsia" w:ascii="宋体" w:hAnsi="宋体" w:eastAsia="宋体" w:cs="宋体"/>
                      <w:color w:val="auto"/>
                      <w:sz w:val="21"/>
                      <w:szCs w:val="21"/>
                      <w:highlight w:val="none"/>
                    </w:rPr>
                    <w:t>时，不小于</w:t>
                  </w:r>
                  <w:r>
                    <w:rPr>
                      <w:rFonts w:hint="eastAsia" w:ascii="宋体" w:hAnsi="宋体" w:eastAsia="宋体" w:cs="宋体"/>
                      <w:color w:val="auto"/>
                      <w:sz w:val="21"/>
                      <w:szCs w:val="21"/>
                      <w:highlight w:val="none"/>
                      <w:lang w:val="en-US" w:eastAsia="zh-CN"/>
                    </w:rPr>
                    <w:t>500mm。</w:t>
                  </w:r>
                </w:p>
              </w:tc>
            </w:tr>
            <w:tr>
              <w:tblPrEx>
                <w:tblCellMar>
                  <w:top w:w="0" w:type="dxa"/>
                  <w:left w:w="10" w:type="dxa"/>
                  <w:bottom w:w="0" w:type="dxa"/>
                  <w:right w:w="10" w:type="dxa"/>
                </w:tblCellMar>
              </w:tblPrEx>
              <w:trPr>
                <w:trHeight w:val="306" w:hRule="exact"/>
                <w:jc w:val="center"/>
              </w:trPr>
              <w:tc>
                <w:tcPr>
                  <w:tcW w:w="583" w:type="pct"/>
                  <w:vMerge w:val="restar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冷弯管</w:t>
                  </w:r>
                </w:p>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en-US"/>
                    </w:rPr>
                    <w:t>DN</w:t>
                  </w:r>
                  <w:r>
                    <w:rPr>
                      <w:rFonts w:hint="eastAsia" w:ascii="宋体" w:hAnsi="宋体" w:eastAsia="宋体" w:cs="宋体"/>
                      <w:color w:val="auto"/>
                      <w:sz w:val="21"/>
                      <w:szCs w:val="21"/>
                      <w:highlight w:val="none"/>
                      <w:lang w:val="en-US" w:eastAsia="zh-CN"/>
                    </w:rPr>
                    <w:t>（mm）</w:t>
                  </w:r>
                </w:p>
              </w:tc>
              <w:tc>
                <w:tcPr>
                  <w:tcW w:w="541" w:type="pct"/>
                  <w:tcBorders>
                    <w:top w:val="single" w:color="auto" w:sz="4" w:space="0"/>
                    <w:left w:val="single" w:color="auto" w:sz="4" w:space="0"/>
                  </w:tcBorders>
                  <w:shd w:val="clear" w:color="auto" w:fill="FFFFFF"/>
                  <w:vAlign w:val="center"/>
                </w:tcPr>
                <w:p>
                  <w:pPr>
                    <w:pStyle w:val="120"/>
                    <w:keepNext w:val="0"/>
                    <w:keepLines w:val="0"/>
                    <w:pageBreakBefore w:val="0"/>
                    <w:widowControl w:val="0"/>
                    <w:kinsoku/>
                    <w:wordWrap/>
                    <w:overflowPunct/>
                    <w:topLinePunct w:val="0"/>
                    <w:autoSpaceDE/>
                    <w:autoSpaceDN/>
                    <w:bidi w:val="0"/>
                    <w:adjustRightInd/>
                    <w:snapToGrid/>
                    <w:spacing w:line="260" w:lineRule="atLeas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897"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en-US"/>
                    </w:rPr>
                    <w:t>8D</w:t>
                  </w:r>
                </w:p>
              </w:tc>
              <w:tc>
                <w:tcPr>
                  <w:tcW w:w="1331" w:type="pct"/>
                  <w:vMerge w:val="restar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24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无褶皱、裂纹、机械损伤；弯管椭圆度弯管部分小于或等于2.5%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直管部分小于或等于1.0</w:t>
                  </w:r>
                  <w:r>
                    <w:rPr>
                      <w:rFonts w:hint="eastAsia" w:ascii="宋体" w:hAnsi="宋体" w:eastAsia="宋体" w:cs="宋体"/>
                      <w:color w:val="auto"/>
                      <w:sz w:val="21"/>
                      <w:szCs w:val="21"/>
                      <w:highlight w:val="none"/>
                      <w:lang w:val="en-US" w:eastAsia="zh-CN"/>
                    </w:rPr>
                    <w:t>%。</w:t>
                  </w:r>
                </w:p>
              </w:tc>
              <w:tc>
                <w:tcPr>
                  <w:tcW w:w="1645" w:type="pct"/>
                  <w:vMerge w:val="restar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端部直管段长度不小于</w:t>
                  </w:r>
                  <w:r>
                    <w:rPr>
                      <w:rFonts w:hint="eastAsia" w:ascii="宋体" w:hAnsi="宋体" w:eastAsia="宋体" w:cs="宋体"/>
                      <w:color w:val="auto"/>
                      <w:sz w:val="21"/>
                      <w:szCs w:val="21"/>
                      <w:highlight w:val="none"/>
                      <w:lang w:val="en-US" w:eastAsia="zh-CN"/>
                    </w:rPr>
                    <w:t>2m。</w:t>
                  </w:r>
                </w:p>
              </w:tc>
            </w:tr>
            <w:tr>
              <w:tblPrEx>
                <w:tblCellMar>
                  <w:top w:w="0" w:type="dxa"/>
                  <w:left w:w="10" w:type="dxa"/>
                  <w:bottom w:w="0" w:type="dxa"/>
                  <w:right w:w="10" w:type="dxa"/>
                </w:tblCellMar>
              </w:tblPrEx>
              <w:trPr>
                <w:trHeight w:val="281" w:hRule="exact"/>
                <w:jc w:val="center"/>
              </w:trPr>
              <w:tc>
                <w:tcPr>
                  <w:tcW w:w="583"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541" w:type="pct"/>
                  <w:tcBorders>
                    <w:top w:val="single" w:color="auto" w:sz="4" w:space="0"/>
                    <w:left w:val="single" w:color="auto" w:sz="4" w:space="0"/>
                  </w:tcBorders>
                  <w:shd w:val="clear" w:color="auto" w:fill="FFFFFF"/>
                  <w:vAlign w:val="center"/>
                </w:tcPr>
                <w:p>
                  <w:pPr>
                    <w:pStyle w:val="120"/>
                    <w:keepNext w:val="0"/>
                    <w:keepLines w:val="0"/>
                    <w:pageBreakBefore w:val="0"/>
                    <w:widowControl w:val="0"/>
                    <w:kinsoku/>
                    <w:wordWrap/>
                    <w:overflowPunct/>
                    <w:topLinePunct w:val="0"/>
                    <w:autoSpaceDE/>
                    <w:autoSpaceDN/>
                    <w:bidi w:val="0"/>
                    <w:adjustRightInd/>
                    <w:snapToGrid/>
                    <w:spacing w:line="260" w:lineRule="atLeas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350</w:t>
                  </w:r>
                </w:p>
              </w:tc>
              <w:tc>
                <w:tcPr>
                  <w:tcW w:w="897"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≥21D</w:t>
                  </w:r>
                </w:p>
              </w:tc>
              <w:tc>
                <w:tcPr>
                  <w:tcW w:w="1331"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645"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292" w:hRule="exact"/>
                <w:jc w:val="center"/>
              </w:trPr>
              <w:tc>
                <w:tcPr>
                  <w:tcW w:w="583"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541" w:type="pct"/>
                  <w:tcBorders>
                    <w:top w:val="single" w:color="auto" w:sz="4" w:space="0"/>
                    <w:left w:val="single" w:color="auto" w:sz="4" w:space="0"/>
                  </w:tcBorders>
                  <w:shd w:val="clear" w:color="auto" w:fill="FFFFFF"/>
                  <w:vAlign w:val="center"/>
                </w:tcPr>
                <w:p>
                  <w:pPr>
                    <w:pStyle w:val="120"/>
                    <w:keepNext w:val="0"/>
                    <w:keepLines w:val="0"/>
                    <w:pageBreakBefore w:val="0"/>
                    <w:widowControl w:val="0"/>
                    <w:kinsoku/>
                    <w:wordWrap/>
                    <w:overflowPunct/>
                    <w:topLinePunct w:val="0"/>
                    <w:autoSpaceDE/>
                    <w:autoSpaceDN/>
                    <w:bidi w:val="0"/>
                    <w:adjustRightInd/>
                    <w:snapToGrid/>
                    <w:spacing w:line="260" w:lineRule="atLeas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897"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≥24D</w:t>
                  </w:r>
                </w:p>
              </w:tc>
              <w:tc>
                <w:tcPr>
                  <w:tcW w:w="1331"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645"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293" w:hRule="exact"/>
                <w:jc w:val="center"/>
              </w:trPr>
              <w:tc>
                <w:tcPr>
                  <w:tcW w:w="583"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541" w:type="pct"/>
                  <w:tcBorders>
                    <w:top w:val="single" w:color="auto" w:sz="4" w:space="0"/>
                    <w:left w:val="single" w:color="auto" w:sz="4" w:space="0"/>
                  </w:tcBorders>
                  <w:shd w:val="clear" w:color="auto" w:fill="FFFFFF"/>
                  <w:vAlign w:val="center"/>
                </w:tcPr>
                <w:p>
                  <w:pPr>
                    <w:pStyle w:val="120"/>
                    <w:keepNext w:val="0"/>
                    <w:keepLines w:val="0"/>
                    <w:pageBreakBefore w:val="0"/>
                    <w:widowControl w:val="0"/>
                    <w:kinsoku/>
                    <w:wordWrap/>
                    <w:overflowPunct/>
                    <w:topLinePunct w:val="0"/>
                    <w:autoSpaceDE/>
                    <w:autoSpaceDN/>
                    <w:bidi w:val="0"/>
                    <w:adjustRightInd/>
                    <w:snapToGrid/>
                    <w:spacing w:line="260" w:lineRule="atLeas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w:t>
                  </w:r>
                </w:p>
              </w:tc>
              <w:tc>
                <w:tcPr>
                  <w:tcW w:w="897"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≥27D</w:t>
                  </w:r>
                </w:p>
              </w:tc>
              <w:tc>
                <w:tcPr>
                  <w:tcW w:w="1331"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645"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rPr>
                <w:trHeight w:val="269" w:hRule="exact"/>
                <w:jc w:val="center"/>
              </w:trPr>
              <w:tc>
                <w:tcPr>
                  <w:tcW w:w="583"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541" w:type="pct"/>
                  <w:tcBorders>
                    <w:top w:val="single" w:color="auto" w:sz="4" w:space="0"/>
                    <w:left w:val="single" w:color="auto" w:sz="4" w:space="0"/>
                  </w:tcBorders>
                  <w:shd w:val="clear" w:color="auto" w:fill="FFFFFF"/>
                  <w:vAlign w:val="center"/>
                </w:tcPr>
                <w:p>
                  <w:pPr>
                    <w:pStyle w:val="120"/>
                    <w:keepNext w:val="0"/>
                    <w:keepLines w:val="0"/>
                    <w:pageBreakBefore w:val="0"/>
                    <w:widowControl w:val="0"/>
                    <w:kinsoku/>
                    <w:wordWrap/>
                    <w:overflowPunct/>
                    <w:topLinePunct w:val="0"/>
                    <w:autoSpaceDE/>
                    <w:autoSpaceDN/>
                    <w:bidi w:val="0"/>
                    <w:adjustRightInd/>
                    <w:snapToGrid/>
                    <w:spacing w:line="260" w:lineRule="atLeas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897"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≥30D</w:t>
                  </w:r>
                </w:p>
              </w:tc>
              <w:tc>
                <w:tcPr>
                  <w:tcW w:w="1331"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645" w:type="pct"/>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314" w:hRule="exact"/>
                <w:jc w:val="center"/>
              </w:trPr>
              <w:tc>
                <w:tcPr>
                  <w:tcW w:w="583" w:type="pct"/>
                  <w:vMerge w:val="continue"/>
                  <w:tcBorders>
                    <w:left w:val="single" w:color="auto" w:sz="4" w:space="0"/>
                    <w:bottom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541" w:type="pct"/>
                  <w:tcBorders>
                    <w:top w:val="single" w:color="auto" w:sz="4" w:space="0"/>
                    <w:left w:val="single" w:color="auto" w:sz="4" w:space="0"/>
                    <w:bottom w:val="single" w:color="auto" w:sz="4" w:space="0"/>
                  </w:tcBorders>
                  <w:shd w:val="clear" w:color="auto" w:fill="FFFFFF"/>
                  <w:vAlign w:val="center"/>
                </w:tcPr>
                <w:p>
                  <w:pPr>
                    <w:pStyle w:val="120"/>
                    <w:keepNext w:val="0"/>
                    <w:keepLines w:val="0"/>
                    <w:pageBreakBefore w:val="0"/>
                    <w:widowControl w:val="0"/>
                    <w:kinsoku/>
                    <w:wordWrap/>
                    <w:overflowPunct/>
                    <w:topLinePunct w:val="0"/>
                    <w:autoSpaceDE/>
                    <w:autoSpaceDN/>
                    <w:bidi w:val="0"/>
                    <w:adjustRightInd/>
                    <w:snapToGrid/>
                    <w:spacing w:line="260" w:lineRule="atLeas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897" w:type="pct"/>
                  <w:tcBorders>
                    <w:top w:val="single" w:color="auto" w:sz="4" w:space="0"/>
                    <w:left w:val="single" w:color="auto" w:sz="4" w:space="0"/>
                    <w:bottom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≥40D</w:t>
                  </w:r>
                </w:p>
              </w:tc>
              <w:tc>
                <w:tcPr>
                  <w:tcW w:w="1331" w:type="pct"/>
                  <w:vMerge w:val="continue"/>
                  <w:tcBorders>
                    <w:left w:val="single" w:color="auto" w:sz="4" w:space="0"/>
                    <w:bottom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645" w:type="pct"/>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bl>
          <w:p>
            <w:pPr>
              <w:pStyle w:val="115"/>
              <w:keepNext w:val="0"/>
              <w:keepLines w:val="0"/>
              <w:pageBreakBefore w:val="0"/>
              <w:tabs>
                <w:tab w:val="left" w:pos="557"/>
              </w:tabs>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bidi="en-US"/>
              </w:rPr>
              <w:t>D</w:t>
            </w:r>
            <w:r>
              <w:rPr>
                <w:rFonts w:hint="eastAsia" w:ascii="宋体" w:hAnsi="宋体" w:eastAsia="宋体" w:cs="宋体"/>
                <w:color w:val="auto"/>
                <w:sz w:val="21"/>
                <w:szCs w:val="21"/>
                <w:highlight w:val="none"/>
              </w:rPr>
              <w:t>为管道外径</w:t>
            </w:r>
            <w:r>
              <w:rPr>
                <w:rFonts w:hint="eastAsia" w:ascii="宋体" w:hAnsi="宋体" w:eastAsia="宋体" w:cs="宋体"/>
                <w:i/>
                <w:iCs/>
                <w:color w:val="auto"/>
                <w:sz w:val="21"/>
                <w:szCs w:val="21"/>
                <w:highlight w:val="none"/>
                <w:lang w:val="en-US" w:eastAsia="zh-CN" w:bidi="en-US"/>
              </w:rPr>
              <w:t>，DN</w:t>
            </w:r>
            <w:r>
              <w:rPr>
                <w:rFonts w:hint="eastAsia" w:ascii="宋体" w:hAnsi="宋体" w:eastAsia="宋体" w:cs="宋体"/>
                <w:i/>
                <w:iCs/>
                <w:color w:val="auto"/>
                <w:sz w:val="21"/>
                <w:szCs w:val="21"/>
                <w:highlight w:val="none"/>
              </w:rPr>
              <w:t>为</w:t>
            </w:r>
            <w:r>
              <w:rPr>
                <w:rFonts w:hint="eastAsia" w:ascii="宋体" w:hAnsi="宋体" w:eastAsia="宋体" w:cs="宋体"/>
                <w:color w:val="auto"/>
                <w:sz w:val="21"/>
                <w:szCs w:val="21"/>
                <w:highlight w:val="none"/>
              </w:rPr>
              <w:t>公称直径</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4.2.3 </w:t>
            </w:r>
            <w:r>
              <w:rPr>
                <w:rFonts w:hint="eastAsia" w:ascii="宋体" w:hAnsi="宋体" w:eastAsia="宋体" w:cs="宋体"/>
                <w:color w:val="auto"/>
                <w:sz w:val="21"/>
                <w:szCs w:val="21"/>
                <w:highlight w:val="none"/>
              </w:rPr>
              <w:t>钢管如有划痕、凹坑、电弧烧痕、椭圆度超标、变形或压扁等缺陷时，应进行</w:t>
            </w:r>
            <w:r>
              <w:rPr>
                <w:rFonts w:hint="eastAsia" w:ascii="宋体" w:hAnsi="宋体" w:eastAsia="宋体" w:cs="宋体"/>
                <w:color w:val="auto"/>
                <w:sz w:val="21"/>
                <w:szCs w:val="21"/>
                <w:highlight w:val="none"/>
                <w:lang w:eastAsia="zh-CN"/>
              </w:rPr>
              <w:t>检查</w:t>
            </w:r>
            <w:r>
              <w:rPr>
                <w:rFonts w:hint="eastAsia" w:ascii="宋体" w:hAnsi="宋体" w:eastAsia="宋体" w:cs="宋体"/>
                <w:color w:val="auto"/>
                <w:sz w:val="21"/>
                <w:szCs w:val="21"/>
                <w:highlight w:val="none"/>
              </w:rPr>
              <w:t>、分类及处理，并应符合下列要求：</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钢管表面划痕的检查、分类及处理应符合下列要求：</w:t>
            </w:r>
          </w:p>
          <w:p>
            <w:pPr>
              <w:pStyle w:val="115"/>
              <w:keepNext w:val="0"/>
              <w:keepLines w:val="0"/>
              <w:pageBreakBefore w:val="0"/>
              <w:numPr>
                <w:ilvl w:val="0"/>
                <w:numId w:val="7"/>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钢管表面划痕深度小于或等于公称壁厚的5%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且不影响最小公称壁厚的缺陷，可进行修磨处理；</w:t>
            </w:r>
          </w:p>
          <w:p>
            <w:pPr>
              <w:pStyle w:val="115"/>
              <w:keepNext w:val="0"/>
              <w:keepLines w:val="0"/>
              <w:pageBreakBefore w:val="0"/>
              <w:numPr>
                <w:ilvl w:val="0"/>
                <w:numId w:val="7"/>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表面划痕深度大于公称壁厚的5%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且不影响到最小公称壁厚的缺陷，应进行修磨处理，修磨后应进行壁厚确认。对于修磨后钢管表面划痕深度影响到最小公称壁厚的缺陷，输油管道可选用焊接方式补焊修复，输气管道应将带有缺陷的管段切除。</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钢管表面凹坑的检查、分类及处理应符合下列要求：</w:t>
            </w:r>
          </w:p>
          <w:p>
            <w:pPr>
              <w:pStyle w:val="115"/>
              <w:keepNext w:val="0"/>
              <w:keepLines w:val="0"/>
              <w:pageBreakBefore w:val="0"/>
              <w:numPr>
                <w:ilvl w:val="0"/>
                <w:numId w:val="8"/>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凹坑处有尖点或凹坑位于焊缝处应将该处管段切除；</w:t>
            </w:r>
          </w:p>
          <w:p>
            <w:pPr>
              <w:pStyle w:val="115"/>
              <w:keepNext w:val="0"/>
              <w:keepLines w:val="0"/>
              <w:pageBreakBefore w:val="0"/>
              <w:numPr>
                <w:ilvl w:val="0"/>
                <w:numId w:val="8"/>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凹坑深度超过管道公称直径2%的管段应切除。</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管端椭圆度超标时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应用适宜的方法及机具进行矫正。当环境气温为零度以下矫正时，宜对钢管进行局部加热至</w:t>
            </w:r>
            <w:r>
              <w:rPr>
                <w:rFonts w:hint="eastAsia" w:ascii="宋体" w:hAnsi="宋体" w:eastAsia="宋体" w:cs="宋体"/>
                <w:color w:val="auto"/>
                <w:sz w:val="21"/>
                <w:szCs w:val="21"/>
                <w:highlight w:val="none"/>
                <w:lang w:val="en-US" w:eastAsia="zh-CN" w:bidi="en-US"/>
              </w:rPr>
              <w:t>50℃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en-US"/>
              </w:rPr>
              <w:t>100℃</w:t>
            </w:r>
            <w:r>
              <w:rPr>
                <w:rFonts w:hint="eastAsia" w:ascii="宋体" w:hAnsi="宋体" w:eastAsia="宋体" w:cs="宋体"/>
                <w:color w:val="auto"/>
                <w:sz w:val="21"/>
                <w:szCs w:val="21"/>
                <w:highlight w:val="none"/>
                <w:vertAlign w:val="subscript"/>
                <w:lang w:val="en-US" w:eastAsia="zh-CN" w:bidi="en-US"/>
              </w:rPr>
              <w:t>o</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钢管出现变形或压扁时不应使用。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《城镇燃气室内工程施工与质量验收规范》CJJ94-2009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对工程采用的材料、设备进场抽检不合格时，应按相关产品标准进行抽测。抽测的材料、设备再出现不合格时，判定该批材料、设备不合格，并严禁使用。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材料设备的检查验收与装卸、运输、存放。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工程所用材料设备的装卸、运输及存放应符合不同产品的特性或产品说明书和相关标准的要求，确保其质量不被额外损伤。</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6.3.1.1 管材、管件装卸时，不应抛摔、拖拽和剧烈撞击。存放时的堆放高度、环境条件（湿度、温度、光照等）应符合产品的要求，应避免暴晒和雨淋。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6.3.1.3 管材、管件应按产品储存要求分类储存，堆放整齐、稳固，便于管理。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6.3.1.4 管材、管件应平放在地面上，存放和堆置高度应保证管道不会发生损伤和永久变形，并应采取防止滚落的措施。每层防腐管之间应垫放软垫，最下层的管道下宜铺垫两排枕木或砂袋，支撑物应牢固，直管道等长物件应做连续支撑；管道距地面的距离宜大于200mm。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6.3.2.4 （阀门）外露阀杆的部位，应涂润滑脂进行保护。除塑料和橡胶密封面不准许涂防锈剂外，阀门的其他关闭件和阀座密封面应涂工业用防锈油脂。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6.3.2.5 阀门的内腔、法兰密封面和螺栓螺纹应涂防锈剂进行保护。阀门试验合格后，内部应清理干净，阀门两端应加防护盖，填写试验记录。</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6.3.6.1 焊材应在干燥通风的室内分类存放，室内温度应在5℃以上，相对湿度小于60%，防止受潮气、雨水、雪霜及油类等有害物质的侵蚀。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6.3.6.4 施工现场应建立焊接材料的保管、烘干、清洗、发放、使用和回收制度。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6.3.7.2 防腐补口材料应存放在通风干燥的库房。存放地点应远离火源，阴凉通风，避免雨淋和阳光直射。</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6.3.3.4 补偿器露天存放时，场地应坚实、平整，不得有积水、石块等，并应采用篷布覆盖。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3.1.3</w:t>
            </w:r>
            <w:r>
              <w:rPr>
                <w:rFonts w:hint="eastAsia" w:ascii="宋体" w:hAnsi="宋体" w:eastAsia="宋体" w:cs="宋体"/>
                <w:color w:val="auto"/>
                <w:sz w:val="21"/>
                <w:szCs w:val="21"/>
                <w:highlight w:val="none"/>
              </w:rPr>
              <w:t>聚乙烯管材、管件和阀门不应长期户外存放。当从生产到使用期间，累计受到太阳能辐射量超过</w:t>
            </w:r>
            <w:r>
              <w:rPr>
                <w:rFonts w:hint="eastAsia" w:ascii="宋体" w:hAnsi="宋体" w:eastAsia="宋体" w:cs="宋体"/>
                <w:color w:val="auto"/>
                <w:sz w:val="21"/>
                <w:szCs w:val="21"/>
                <w:highlight w:val="none"/>
                <w:lang w:bidi="en-US"/>
              </w:rPr>
              <w:t>3.5GJ/m</w:t>
            </w:r>
            <w:r>
              <w:rPr>
                <w:rFonts w:hint="eastAsia" w:ascii="宋体" w:hAnsi="宋体" w:eastAsia="宋体" w:cs="宋体"/>
                <w:color w:val="auto"/>
                <w:sz w:val="21"/>
                <w:szCs w:val="21"/>
                <w:highlight w:val="none"/>
                <w:vertAlign w:val="superscript"/>
                <w:lang w:bidi="en-US"/>
              </w:rPr>
              <w:t>2</w:t>
            </w:r>
            <w:r>
              <w:rPr>
                <w:rFonts w:hint="eastAsia" w:ascii="宋体" w:hAnsi="宋体" w:eastAsia="宋体" w:cs="宋体"/>
                <w:color w:val="auto"/>
                <w:sz w:val="21"/>
                <w:szCs w:val="21"/>
                <w:highlight w:val="none"/>
              </w:rPr>
              <w:t>时，或按本标准第</w:t>
            </w:r>
            <w:r>
              <w:rPr>
                <w:rFonts w:hint="eastAsia" w:ascii="宋体" w:hAnsi="宋体" w:eastAsia="宋体" w:cs="宋体"/>
                <w:color w:val="auto"/>
                <w:sz w:val="21"/>
                <w:szCs w:val="21"/>
                <w:highlight w:val="none"/>
                <w:lang w:bidi="en-US"/>
              </w:rPr>
              <w:t>3.2.2</w:t>
            </w:r>
            <w:r>
              <w:rPr>
                <w:rFonts w:hint="eastAsia" w:ascii="宋体" w:hAnsi="宋体" w:eastAsia="宋体" w:cs="宋体"/>
                <w:color w:val="auto"/>
                <w:sz w:val="21"/>
                <w:szCs w:val="21"/>
                <w:highlight w:val="none"/>
              </w:rPr>
              <w:t>条规定存放，管材存放时间超过4年、密封包装的管件存放时间超过6年，应对其抽样检验，性能符合要求方可使用。</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3.2.1聚乙烯管材、管件和阀门的运输应符合下列规定：</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管材、管件和阀门搬运时，应小心轻放，不得抛、摔、滚、拖。当采用机械设备吊装管材时，应采用非金属绳（带）绑扎管材两端后吊装。</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管材运输时，应水平放置在带挡板的平底车上或平坦的船舱内，堆放处不得有损伤管材的尖凸物，应采用非金属绳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带）捆扎、固定，管口应采取封堵保护措施。</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管件、阀门运输时，应按箱逐层码放整齐、固定牢靠。</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在运输过程中不应受到</w:t>
            </w:r>
            <w:r>
              <w:rPr>
                <w:rFonts w:hint="eastAsia" w:ascii="宋体" w:hAnsi="宋体" w:eastAsia="宋体" w:cs="宋体"/>
                <w:color w:val="auto"/>
                <w:sz w:val="21"/>
                <w:szCs w:val="21"/>
                <w:highlight w:val="none"/>
                <w:lang w:eastAsia="zh-CN"/>
              </w:rPr>
              <w:t>曝晒</w:t>
            </w:r>
            <w:r>
              <w:rPr>
                <w:rFonts w:hint="eastAsia" w:ascii="宋体" w:hAnsi="宋体" w:eastAsia="宋体" w:cs="宋体"/>
                <w:color w:val="auto"/>
                <w:sz w:val="21"/>
                <w:szCs w:val="21"/>
                <w:highlight w:val="none"/>
              </w:rPr>
              <w:t>、雨淋、油污及化学品污染。</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w:t>
            </w:r>
            <w:r>
              <w:rPr>
                <w:rFonts w:hint="eastAsia" w:ascii="宋体" w:hAnsi="宋体" w:eastAsia="宋体" w:cs="宋体"/>
                <w:color w:val="auto"/>
                <w:sz w:val="21"/>
                <w:szCs w:val="21"/>
                <w:highlight w:val="none"/>
              </w:rPr>
              <w:t>聚乙烯管材、管件和阀门的贮存应符合下列规定：</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管材、管件和阀门应按不同类型、规格和尺寸分别存放，并应遵照</w:t>
            </w:r>
            <w:r>
              <w:rPr>
                <w:rFonts w:hint="eastAsia" w:ascii="宋体" w:hAnsi="宋体" w:eastAsia="宋体" w:cs="宋体"/>
                <w:color w:val="auto"/>
                <w:sz w:val="21"/>
                <w:szCs w:val="21"/>
                <w:highlight w:val="none"/>
                <w:lang w:val="zh-CN" w:eastAsia="zh-CN" w:bidi="zh-CN"/>
              </w:rPr>
              <w:t>“先进</w:t>
            </w:r>
            <w:r>
              <w:rPr>
                <w:rFonts w:hint="eastAsia" w:ascii="宋体" w:hAnsi="宋体" w:eastAsia="宋体" w:cs="宋体"/>
                <w:color w:val="auto"/>
                <w:sz w:val="21"/>
                <w:szCs w:val="21"/>
                <w:highlight w:val="none"/>
              </w:rPr>
              <w:t>先出”原则。</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管材、管件和阀门应存放在仓库（存储型物流建筑）或半露天堆场（货棚）内。仓库（存储型物流建筑）或半露天堆场（货棚）的设计应符合现行国家标准《建筑设计防火规范》</w:t>
            </w:r>
            <w:r>
              <w:rPr>
                <w:rFonts w:hint="eastAsia" w:ascii="宋体" w:hAnsi="宋体" w:eastAsia="宋体" w:cs="宋体"/>
                <w:color w:val="auto"/>
                <w:sz w:val="21"/>
                <w:szCs w:val="21"/>
                <w:highlight w:val="none"/>
                <w:lang w:val="en-US" w:eastAsia="zh-CN" w:bidi="en-US"/>
              </w:rPr>
              <w:t>GB</w:t>
            </w:r>
            <w:r>
              <w:rPr>
                <w:rFonts w:hint="eastAsia" w:ascii="宋体" w:hAnsi="宋体" w:eastAsia="宋体" w:cs="宋体"/>
                <w:color w:val="auto"/>
                <w:sz w:val="21"/>
                <w:szCs w:val="21"/>
                <w:highlight w:val="none"/>
              </w:rPr>
              <w:t>50016和《物流建筑设计规范》</w:t>
            </w:r>
            <w:r>
              <w:rPr>
                <w:rFonts w:hint="eastAsia" w:ascii="宋体" w:hAnsi="宋体" w:eastAsia="宋体" w:cs="宋体"/>
                <w:color w:val="auto"/>
                <w:sz w:val="21"/>
                <w:szCs w:val="21"/>
                <w:highlight w:val="none"/>
                <w:lang w:val="en-US" w:eastAsia="zh-CN" w:bidi="en-US"/>
              </w:rPr>
              <w:t>GB</w:t>
            </w:r>
            <w:r>
              <w:rPr>
                <w:rFonts w:hint="eastAsia" w:ascii="宋体" w:hAnsi="宋体" w:eastAsia="宋体" w:cs="宋体"/>
                <w:color w:val="auto"/>
                <w:sz w:val="21"/>
                <w:szCs w:val="21"/>
                <w:highlight w:val="none"/>
              </w:rPr>
              <w:t>51157的有关规定。存放在半露天堆场（货棚）内的管材、管件和阀门不应受到暴晒、雨淋，应有防紫外线照射措施；仓库的门窗洞口应有防紫外线照射措施。</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管材、管件和阀门应远离热源，严禁与油类或化学品混合存放。</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管材应水平堆放在平整的支撑物或地面上，管口应采取封堵保护措施。当直管采用梯形堆放或两侧加支撑保护的矩形堆放时，堆放高度不宜超过1</w:t>
            </w:r>
            <w:r>
              <w:rPr>
                <w:rFonts w:hint="eastAsia" w:ascii="宋体" w:hAnsi="宋体" w:eastAsia="宋体" w:cs="宋体"/>
                <w:color w:val="auto"/>
                <w:sz w:val="21"/>
                <w:szCs w:val="21"/>
                <w:highlight w:val="none"/>
                <w:lang w:val="en-US" w:eastAsia="zh-CN" w:bidi="en-US"/>
              </w:rPr>
              <w:t>.5m；</w:t>
            </w:r>
            <w:r>
              <w:rPr>
                <w:rFonts w:hint="eastAsia" w:ascii="宋体" w:hAnsi="宋体" w:eastAsia="宋体" w:cs="宋体"/>
                <w:color w:val="auto"/>
                <w:sz w:val="21"/>
                <w:szCs w:val="21"/>
                <w:highlight w:val="none"/>
              </w:rPr>
              <w:t>当直管采用分层货架存放时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每层货架高度不宜超过</w:t>
            </w:r>
            <w:r>
              <w:rPr>
                <w:rFonts w:hint="eastAsia" w:ascii="宋体" w:hAnsi="宋体" w:eastAsia="宋体" w:cs="宋体"/>
                <w:color w:val="auto"/>
                <w:sz w:val="21"/>
                <w:szCs w:val="21"/>
                <w:highlight w:val="none"/>
                <w:lang w:val="en-US" w:eastAsia="zh-CN" w:bidi="en-US"/>
              </w:rPr>
              <w:t>1m。</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管件和阀门应成箱存放在货架上或叠放在平整地面上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当成箱</w:t>
            </w:r>
            <w:r>
              <w:rPr>
                <w:rFonts w:hint="eastAsia" w:ascii="宋体" w:hAnsi="宋体" w:eastAsia="宋体" w:cs="宋体"/>
                <w:color w:val="auto"/>
                <w:sz w:val="21"/>
                <w:szCs w:val="21"/>
                <w:highlight w:val="none"/>
                <w:lang w:eastAsia="zh-CN"/>
              </w:rPr>
              <w:t>叠</w:t>
            </w:r>
            <w:r>
              <w:rPr>
                <w:rFonts w:hint="eastAsia" w:ascii="宋体" w:hAnsi="宋体" w:eastAsia="宋体" w:cs="宋体"/>
                <w:color w:val="auto"/>
                <w:sz w:val="21"/>
                <w:szCs w:val="21"/>
                <w:highlight w:val="none"/>
              </w:rPr>
              <w:t>放时，高度不宜超过</w:t>
            </w:r>
            <w:r>
              <w:rPr>
                <w:rFonts w:hint="eastAsia" w:ascii="宋体" w:hAnsi="宋体" w:eastAsia="宋体" w:cs="宋体"/>
                <w:color w:val="auto"/>
                <w:sz w:val="21"/>
                <w:szCs w:val="21"/>
                <w:highlight w:val="none"/>
                <w:lang w:val="en-US" w:eastAsia="zh-CN" w:bidi="en-US"/>
              </w:rPr>
              <w:t>1.5m。</w:t>
            </w:r>
            <w:r>
              <w:rPr>
                <w:rFonts w:hint="eastAsia" w:ascii="宋体" w:hAnsi="宋体" w:eastAsia="宋体" w:cs="宋体"/>
                <w:color w:val="auto"/>
                <w:sz w:val="21"/>
                <w:szCs w:val="21"/>
                <w:highlight w:val="none"/>
              </w:rPr>
              <w:t>在使用前，不得拆除密封包装。</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管材、管件和阀门在室外临时存放时，管材管口应采用保护端盖封堵，管件和阀门应存放在包装箱或储物箱内，并应采用遮盖物遮盖，防日晒、雨淋。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《城镇燃气室内工程施工与质量验收规范》CJJ94-2009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page">
                        <wp:posOffset>740410</wp:posOffset>
                      </wp:positionH>
                      <wp:positionV relativeFrom="page">
                        <wp:posOffset>6632575</wp:posOffset>
                      </wp:positionV>
                      <wp:extent cx="92710" cy="1593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2710" cy="159385"/>
                              </a:xfrm>
                              <a:prstGeom prst="rect">
                                <a:avLst/>
                              </a:prstGeom>
                              <a:noFill/>
                              <a:ln>
                                <a:noFill/>
                              </a:ln>
                            </wps:spPr>
                            <wps:txbx>
                              <w:txbxContent>
                                <w:p>
                                  <w:pPr>
                                    <w:spacing w:line="120" w:lineRule="auto"/>
                                    <w:ind w:left="20"/>
                                    <w:jc w:val="left"/>
                                  </w:pPr>
                                  <w:r>
                                    <w:t>6</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58.3pt;margin-top:522.25pt;height:12.55pt;width:7.3pt;mso-position-horizontal-relative:page;mso-position-vertical-relative:page;z-index:251662336;mso-width-relative:page;mso-height-relative:page;" filled="f" stroked="f" coordsize="21600,21600" o:gfxdata="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IUlMNgAAAANAQAADwAAAAAAAAABACAAAAAi&#10;AAAAZHJzL2Rvd25yZXYueG1sUEsBAhQAFAAAAAgAh07iQA41GLgKAgAABQQAAA4AAAAAAAAAAQAg&#10;AAAAJwEAAGRycy9lMm9Eb2MueG1sUEsFBgAAAAAGAAYAWQEAAKMFAAAAAA==&#10;">
                      <v:fill on="f" focussize="0,0"/>
                      <v:stroke on="f"/>
                      <v:imagedata o:title=""/>
                      <o:lock v:ext="edit" aspectratio="f"/>
                      <v:textbox inset="0mm,0mm,0mm,0mm" style="layout-flow:vertical-ideographic;">
                        <w:txbxContent>
                          <w:p>
                            <w:pPr>
                              <w:spacing w:line="120" w:lineRule="auto"/>
                              <w:ind w:left="20"/>
                              <w:jc w:val="left"/>
                            </w:pPr>
                            <w:r>
                              <w:t>6</w:t>
                            </w:r>
                          </w:p>
                        </w:txbxContent>
                      </v:textbox>
                    </v:shape>
                  </w:pict>
                </mc:Fallback>
              </mc:AlternateContent>
            </w:r>
            <w:r>
              <w:rPr>
                <w:rFonts w:hint="eastAsia" w:ascii="宋体" w:hAnsi="宋体" w:eastAsia="宋体" w:cs="宋体"/>
                <w:color w:val="auto"/>
                <w:sz w:val="21"/>
                <w:szCs w:val="21"/>
                <w:highlight w:val="none"/>
              </w:rPr>
              <w:t>5 管道组成件和设备的运输及存放应符合下列规定：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管道组成件和设备在运输、装卸和搬动时，应避免被污染，不得抛、摔、滚、拖等；</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管道组成件和设备严禁与油品、腐蚀性物品或有毒物品混合堆放；</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铝塑复合管、覆塑的铜管、覆塑的不锈钢波纹软管及其管件应存放在通风良好的库房或棚内，不得露天存放，应远离热源且防止阳光直射；</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管子及设备应水平堆放，堆置高度不宜超过2.0m。管件应原箱码堆，堆高不宜超过3层。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3.2.3</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z w:val="21"/>
                <w:szCs w:val="21"/>
                <w:highlight w:val="none"/>
              </w:rPr>
              <w:t>埋地管道敷设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埋地管道敷设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管道与相邻设施净距和埋深应符合设计及有关标准要求。当达不到要求时，应采取有效的保护措施。</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说明：虽然管道与相邻设施的净距等要求在标准中有明确规定，但因设计阶段所依据的基础性信息与工地现场实际情况可能不完全一致，通常需要建设单位、设计单位、施工单位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监理单位在现场施工中加以密切留意和动态控制，当发现净距等不足时，需要通过建设单位请设计单位出设计变更等措施及时调整，以保证净距等满足相关标准要求，消除质量安全隐患。</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《燃气工程项目规范》GB55009-2021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5.1.14 </w:t>
            </w:r>
            <w:r>
              <w:rPr>
                <w:rFonts w:hint="eastAsia" w:ascii="宋体" w:hAnsi="宋体" w:eastAsia="宋体" w:cs="宋体"/>
                <w:color w:val="auto"/>
                <w:sz w:val="21"/>
                <w:szCs w:val="21"/>
                <w:highlight w:val="none"/>
                <w:lang w:bidi="zh-TW"/>
              </w:rPr>
              <w:t>埋地输配管道应根据冻土层、路面荷载等条件确定其埋设深度。车行道下输配管道的</w:t>
            </w:r>
            <w:r>
              <w:rPr>
                <w:rFonts w:hint="eastAsia" w:ascii="宋体" w:hAnsi="宋体" w:eastAsia="宋体" w:cs="宋体"/>
                <w:color w:val="auto"/>
                <w:sz w:val="21"/>
                <w:szCs w:val="21"/>
                <w:highlight w:val="none"/>
                <w:lang w:eastAsia="zh-CN" w:bidi="zh-TW"/>
              </w:rPr>
              <w:t>最小值</w:t>
            </w:r>
            <w:r>
              <w:rPr>
                <w:rFonts w:hint="eastAsia" w:ascii="宋体" w:hAnsi="宋体" w:eastAsia="宋体" w:cs="宋体"/>
                <w:color w:val="auto"/>
                <w:sz w:val="21"/>
                <w:szCs w:val="21"/>
                <w:highlight w:val="none"/>
                <w:lang w:bidi="zh-TW"/>
              </w:rPr>
              <w:t>埋深度不应小于</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bidi="en-US"/>
              </w:rPr>
              <w:t>9m，</w:t>
            </w:r>
            <w:r>
              <w:rPr>
                <w:rFonts w:hint="eastAsia" w:ascii="宋体" w:hAnsi="宋体" w:eastAsia="宋体" w:cs="宋体"/>
                <w:color w:val="auto"/>
                <w:sz w:val="21"/>
                <w:szCs w:val="21"/>
                <w:highlight w:val="none"/>
                <w:lang w:bidi="zh-TW"/>
              </w:rPr>
              <w:t>人行道及田地下输配管道的</w:t>
            </w:r>
            <w:r>
              <w:rPr>
                <w:rFonts w:hint="eastAsia" w:ascii="宋体" w:hAnsi="宋体" w:eastAsia="宋体" w:cs="宋体"/>
                <w:color w:val="auto"/>
                <w:sz w:val="21"/>
                <w:szCs w:val="21"/>
                <w:highlight w:val="none"/>
                <w:lang w:eastAsia="zh-CN" w:bidi="zh-TW"/>
              </w:rPr>
              <w:t>最小</w:t>
            </w:r>
            <w:r>
              <w:rPr>
                <w:rFonts w:hint="eastAsia" w:ascii="宋体" w:hAnsi="宋体" w:eastAsia="宋体" w:cs="宋体"/>
                <w:color w:val="auto"/>
                <w:sz w:val="21"/>
                <w:szCs w:val="21"/>
                <w:highlight w:val="none"/>
                <w:lang w:val="en-US" w:eastAsia="zh-CN" w:bidi="zh-TW"/>
              </w:rPr>
              <w:t>直</w:t>
            </w:r>
            <w:r>
              <w:rPr>
                <w:rFonts w:hint="eastAsia" w:ascii="宋体" w:hAnsi="宋体" w:eastAsia="宋体" w:cs="宋体"/>
                <w:color w:val="auto"/>
                <w:sz w:val="21"/>
                <w:szCs w:val="21"/>
                <w:highlight w:val="none"/>
                <w:lang w:bidi="zh-TW"/>
              </w:rPr>
              <w:t>埋深度不应小于</w:t>
            </w:r>
            <w:r>
              <w:rPr>
                <w:rFonts w:hint="eastAsia" w:ascii="宋体" w:hAnsi="宋体" w:eastAsia="宋体" w:cs="宋体"/>
                <w:color w:val="auto"/>
                <w:sz w:val="21"/>
                <w:szCs w:val="21"/>
                <w:highlight w:val="none"/>
                <w:lang w:bidi="en-US"/>
              </w:rPr>
              <w:t>0.6m。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《城镇燃气设计规范》GB50028-2006（2020版）</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u w:val="single"/>
                <w:lang w:bidi="ar"/>
              </w:rPr>
              <w:t>压力不大于1.6MPa的室外燃气管道：</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6.3.3 地下燃气管道不得从建筑物和大型构筑物</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不包括架空的建筑物和大型构筑物</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的下面穿越。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地下燃气管道与建筑物、构筑物或相邻管道之间的水平和垂直净距，不应小于</w:t>
            </w:r>
            <w:r>
              <w:rPr>
                <w:rFonts w:hint="eastAsia" w:ascii="宋体" w:hAnsi="宋体" w:eastAsia="宋体" w:cs="宋体"/>
                <w:color w:val="auto"/>
                <w:kern w:val="0"/>
                <w:sz w:val="21"/>
                <w:szCs w:val="21"/>
                <w:highlight w:val="none"/>
                <w:lang w:eastAsia="zh-CN" w:bidi="ar"/>
              </w:rPr>
              <w:t>表</w:t>
            </w:r>
            <w:r>
              <w:rPr>
                <w:rFonts w:hint="eastAsia" w:ascii="宋体" w:hAnsi="宋体" w:eastAsia="宋体" w:cs="宋体"/>
                <w:color w:val="auto"/>
                <w:kern w:val="0"/>
                <w:sz w:val="21"/>
                <w:szCs w:val="21"/>
                <w:highlight w:val="none"/>
                <w:lang w:bidi="ar"/>
              </w:rPr>
              <w:t>6.3.3-1和</w:t>
            </w:r>
            <w:r>
              <w:rPr>
                <w:rFonts w:hint="eastAsia" w:ascii="宋体" w:hAnsi="宋体" w:eastAsia="宋体" w:cs="宋体"/>
                <w:color w:val="auto"/>
                <w:kern w:val="0"/>
                <w:sz w:val="21"/>
                <w:szCs w:val="21"/>
                <w:highlight w:val="none"/>
                <w:lang w:eastAsia="zh-CN" w:bidi="ar"/>
              </w:rPr>
              <w:t>表</w:t>
            </w:r>
            <w:r>
              <w:rPr>
                <w:rFonts w:hint="eastAsia" w:ascii="宋体" w:hAnsi="宋体" w:eastAsia="宋体" w:cs="宋体"/>
                <w:color w:val="auto"/>
                <w:kern w:val="0"/>
                <w:sz w:val="21"/>
                <w:szCs w:val="21"/>
                <w:highlight w:val="none"/>
                <w:lang w:bidi="ar"/>
              </w:rPr>
              <w:t>6.3.3-2</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规定。</w:t>
            </w:r>
          </w:p>
          <w:p>
            <w:pPr>
              <w:keepNext w:val="0"/>
              <w:keepLines w:val="0"/>
              <w:pageBreakBefore w:val="0"/>
              <w:kinsoku/>
              <w:wordWrap/>
              <w:overflowPunct/>
              <w:topLinePunct w:val="0"/>
              <w:autoSpaceDE/>
              <w:autoSpaceDN/>
              <w:bidi w:val="0"/>
              <w:spacing w:line="260" w:lineRule="atLeast"/>
              <w:ind w:left="0" w:firstLine="305"/>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表6.3.3-1</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地下燃气管道与建筑物、构筑物或相邻管道之间的水平净距</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m</w:t>
            </w:r>
            <w:r>
              <w:rPr>
                <w:rFonts w:hint="eastAsia" w:ascii="宋体" w:hAnsi="宋体" w:eastAsia="宋体" w:cs="宋体"/>
                <w:color w:val="auto"/>
                <w:spacing w:val="-1"/>
                <w:sz w:val="21"/>
                <w:szCs w:val="21"/>
                <w:highlight w:val="none"/>
                <w:lang w:eastAsia="zh-CN"/>
              </w:rPr>
              <w:t>）</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56"/>
              <w:gridCol w:w="2639"/>
              <w:gridCol w:w="1161"/>
              <w:gridCol w:w="1161"/>
              <w:gridCol w:w="1181"/>
              <w:gridCol w:w="1181"/>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2167" w:type="pct"/>
                  <w:gridSpan w:val="2"/>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5"/>
                      <w:sz w:val="21"/>
                      <w:szCs w:val="21"/>
                      <w:highlight w:val="none"/>
                    </w:rPr>
                    <w:t>目</w:t>
                  </w:r>
                </w:p>
              </w:tc>
              <w:tc>
                <w:tcPr>
                  <w:tcW w:w="2832" w:type="pct"/>
                  <w:gridSpan w:val="5"/>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地下燃气管道压力</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MPa</w:t>
                  </w:r>
                  <w:r>
                    <w:rPr>
                      <w:rFonts w:hint="eastAsia" w:ascii="宋体" w:hAnsi="宋体" w:eastAsia="宋体" w:cs="宋体"/>
                      <w:color w:val="auto"/>
                      <w:spacing w:val="2"/>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2167" w:type="pct"/>
                  <w:gridSpan w:val="2"/>
                  <w:vMerge w:val="continue"/>
                  <w:tcBorders>
                    <w:top w:val="nil"/>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536"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position w:val="3"/>
                      <w:sz w:val="21"/>
                      <w:szCs w:val="21"/>
                      <w:highlight w:val="none"/>
                    </w:rPr>
                    <w:t>低压</w:t>
                  </w:r>
                </w:p>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&lt;0.01</w:t>
                  </w:r>
                </w:p>
              </w:tc>
              <w:tc>
                <w:tcPr>
                  <w:tcW w:w="1081"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中压</w:t>
                  </w:r>
                </w:p>
              </w:tc>
              <w:tc>
                <w:tcPr>
                  <w:tcW w:w="1213"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次高压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167" w:type="pct"/>
                  <w:gridSpan w:val="2"/>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536"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p>
                  <w:pPr>
                    <w:keepNext w:val="0"/>
                    <w:keepLines w:val="0"/>
                    <w:pageBreakBefore w:val="0"/>
                    <w:tabs>
                      <w:tab w:val="center" w:pos="309"/>
                    </w:tabs>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≤0.2</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0.8</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949"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建筑物</w:t>
                  </w: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基础</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0.7</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949"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外墙面</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出地面处</w:t>
                  </w:r>
                  <w:r>
                    <w:rPr>
                      <w:rFonts w:hint="eastAsia" w:ascii="宋体" w:hAnsi="宋体" w:eastAsia="宋体" w:cs="宋体"/>
                      <w:color w:val="auto"/>
                      <w:spacing w:val="3"/>
                      <w:sz w:val="21"/>
                      <w:szCs w:val="21"/>
                      <w:highlight w:val="none"/>
                      <w:lang w:eastAsia="zh-CN"/>
                    </w:rPr>
                    <w:t>）</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2167"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给水管</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2167"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污水、雨水排水管</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1.2</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l.2</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949"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电力电缆</w:t>
                  </w:r>
                </w:p>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5"/>
                      <w:sz w:val="21"/>
                      <w:szCs w:val="21"/>
                      <w:highlight w:val="none"/>
                    </w:rPr>
                    <w:t>含电车电缆</w:t>
                  </w:r>
                  <w:r>
                    <w:rPr>
                      <w:rFonts w:hint="eastAsia" w:ascii="宋体" w:hAnsi="宋体" w:eastAsia="宋体" w:cs="宋体"/>
                      <w:color w:val="auto"/>
                      <w:spacing w:val="5"/>
                      <w:sz w:val="21"/>
                      <w:szCs w:val="21"/>
                      <w:highlight w:val="none"/>
                      <w:lang w:eastAsia="zh-CN"/>
                    </w:rPr>
                    <w:t>）</w:t>
                  </w: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直埋</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949"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在导管内</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949"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通信电缆</w:t>
                  </w: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直埋</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l.5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949"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在导管内</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949"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其他燃气管道</w:t>
                  </w: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DN≤300mm</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949"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DN&gt;300mm</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949"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热力管</w:t>
                  </w: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直埋</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949"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在管沟内</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至外壁</w:t>
                  </w:r>
                  <w:r>
                    <w:rPr>
                      <w:rFonts w:hint="eastAsia" w:ascii="宋体" w:hAnsi="宋体" w:eastAsia="宋体" w:cs="宋体"/>
                      <w:color w:val="auto"/>
                      <w:spacing w:val="3"/>
                      <w:sz w:val="21"/>
                      <w:szCs w:val="21"/>
                      <w:highlight w:val="none"/>
                      <w:lang w:eastAsia="zh-CN"/>
                    </w:rPr>
                    <w:t>）</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49"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电杆</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塔</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pacing w:val="2"/>
                      <w:sz w:val="21"/>
                      <w:szCs w:val="21"/>
                      <w:highlight w:val="none"/>
                    </w:rPr>
                    <w:t>基础</w:t>
                  </w: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≤35kV</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949"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121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&gt;35kV</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2167"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通信照明电杆</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至电杆中心</w:t>
                  </w:r>
                  <w:r>
                    <w:rPr>
                      <w:rFonts w:hint="eastAsia" w:ascii="宋体" w:hAnsi="宋体" w:eastAsia="宋体" w:cs="宋体"/>
                      <w:color w:val="auto"/>
                      <w:spacing w:val="-1"/>
                      <w:sz w:val="21"/>
                      <w:szCs w:val="21"/>
                      <w:highlight w:val="none"/>
                      <w:lang w:eastAsia="zh-CN"/>
                    </w:rPr>
                    <w:t>）</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2167"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铁路路堤坡脚</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jc w:val="center"/>
              </w:trPr>
              <w:tc>
                <w:tcPr>
                  <w:tcW w:w="2167"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有轨电车钢轨</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2167"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街树</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至树中心</w:t>
                  </w:r>
                  <w:r>
                    <w:rPr>
                      <w:rFonts w:hint="eastAsia" w:ascii="宋体" w:hAnsi="宋体" w:eastAsia="宋体" w:cs="宋体"/>
                      <w:color w:val="auto"/>
                      <w:spacing w:val="4"/>
                      <w:sz w:val="21"/>
                      <w:szCs w:val="21"/>
                      <w:highlight w:val="none"/>
                      <w:lang w:eastAsia="zh-CN"/>
                    </w:rPr>
                    <w:t>）</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0.75</w:t>
                  </w:r>
                </w:p>
              </w:tc>
              <w:tc>
                <w:tcPr>
                  <w:tcW w:w="53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0.75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0.75</w:t>
                  </w:r>
                </w:p>
              </w:tc>
              <w:tc>
                <w:tcPr>
                  <w:tcW w:w="54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1.2</w:t>
                  </w:r>
                </w:p>
              </w:tc>
              <w:tc>
                <w:tcPr>
                  <w:tcW w:w="66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1.2</w:t>
                  </w:r>
                </w:p>
              </w:tc>
            </w:tr>
          </w:tbl>
          <w:p>
            <w:pPr>
              <w:keepNext w:val="0"/>
              <w:keepLines w:val="0"/>
              <w:pageBreakBefore w:val="0"/>
              <w:kinsoku/>
              <w:wordWrap/>
              <w:overflowPunct/>
              <w:topLinePunct w:val="0"/>
              <w:autoSpaceDE/>
              <w:autoSpaceDN/>
              <w:bidi w:val="0"/>
              <w:spacing w:line="260" w:lineRule="atLeast"/>
              <w:ind w:left="0" w:firstLine="305"/>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表6.3.3-2地下燃气管道与构筑物或相邻管道之间垂直净距</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m</w:t>
            </w:r>
            <w:r>
              <w:rPr>
                <w:rFonts w:hint="eastAsia" w:ascii="宋体" w:hAnsi="宋体" w:eastAsia="宋体" w:cs="宋体"/>
                <w:color w:val="auto"/>
                <w:spacing w:val="-1"/>
                <w:sz w:val="21"/>
                <w:szCs w:val="21"/>
                <w:highlight w:val="none"/>
                <w:lang w:eastAsia="zh-CN"/>
              </w:rPr>
              <w:t>）</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63"/>
              <w:gridCol w:w="2615"/>
              <w:gridCol w:w="5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2436"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5"/>
                      <w:sz w:val="21"/>
                      <w:szCs w:val="21"/>
                      <w:highlight w:val="none"/>
                    </w:rPr>
                    <w:t>目</w:t>
                  </w:r>
                </w:p>
              </w:tc>
              <w:tc>
                <w:tcPr>
                  <w:tcW w:w="256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地下燃气管道</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当有套管时，以套管计</w:t>
                  </w:r>
                  <w:r>
                    <w:rPr>
                      <w:rFonts w:hint="eastAsia" w:ascii="宋体" w:hAnsi="宋体" w:eastAsia="宋体" w:cs="宋体"/>
                      <w:color w:val="auto"/>
                      <w:spacing w:val="1"/>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2436"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给水管、排水管或其他燃气管道</w:t>
                  </w:r>
                </w:p>
              </w:tc>
              <w:tc>
                <w:tcPr>
                  <w:tcW w:w="256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2436"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热力管、热力管的管沟底</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或顶</w:t>
                  </w:r>
                  <w:r>
                    <w:rPr>
                      <w:rFonts w:hint="eastAsia" w:ascii="宋体" w:hAnsi="宋体" w:eastAsia="宋体" w:cs="宋体"/>
                      <w:color w:val="auto"/>
                      <w:spacing w:val="-1"/>
                      <w:sz w:val="21"/>
                      <w:szCs w:val="21"/>
                      <w:highlight w:val="none"/>
                      <w:lang w:eastAsia="zh-CN"/>
                    </w:rPr>
                    <w:t>）</w:t>
                  </w:r>
                </w:p>
              </w:tc>
              <w:tc>
                <w:tcPr>
                  <w:tcW w:w="256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29"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电缆</w:t>
                  </w:r>
                </w:p>
              </w:tc>
              <w:tc>
                <w:tcPr>
                  <w:tcW w:w="120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埋</w:t>
                  </w:r>
                </w:p>
              </w:tc>
              <w:tc>
                <w:tcPr>
                  <w:tcW w:w="256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229"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p>
              </w:tc>
              <w:tc>
                <w:tcPr>
                  <w:tcW w:w="120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在导管内</w:t>
                  </w:r>
                </w:p>
              </w:tc>
              <w:tc>
                <w:tcPr>
                  <w:tcW w:w="256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2436"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铁路</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轨底</w:t>
                  </w:r>
                  <w:r>
                    <w:rPr>
                      <w:rFonts w:hint="eastAsia" w:ascii="宋体" w:hAnsi="宋体" w:eastAsia="宋体" w:cs="宋体"/>
                      <w:color w:val="auto"/>
                      <w:spacing w:val="5"/>
                      <w:sz w:val="21"/>
                      <w:szCs w:val="21"/>
                      <w:highlight w:val="none"/>
                      <w:lang w:eastAsia="zh-CN"/>
                    </w:rPr>
                    <w:t>）</w:t>
                  </w:r>
                </w:p>
              </w:tc>
              <w:tc>
                <w:tcPr>
                  <w:tcW w:w="256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436"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有轨电车</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轨底</w:t>
                  </w:r>
                  <w:r>
                    <w:rPr>
                      <w:rFonts w:hint="eastAsia" w:ascii="宋体" w:hAnsi="宋体" w:eastAsia="宋体" w:cs="宋体"/>
                      <w:color w:val="auto"/>
                      <w:spacing w:val="4"/>
                      <w:sz w:val="21"/>
                      <w:szCs w:val="21"/>
                      <w:highlight w:val="none"/>
                      <w:lang w:eastAsia="zh-CN"/>
                    </w:rPr>
                    <w:t>）</w:t>
                  </w:r>
                </w:p>
              </w:tc>
              <w:tc>
                <w:tcPr>
                  <w:tcW w:w="256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1.00</w:t>
                  </w:r>
                </w:p>
              </w:tc>
            </w:tr>
          </w:tbl>
          <w:p>
            <w:pPr>
              <w:keepNext w:val="0"/>
              <w:keepLines w:val="0"/>
              <w:pageBreakBefore w:val="0"/>
              <w:widowControl/>
              <w:kinsoku/>
              <w:wordWrap/>
              <w:overflowPunct/>
              <w:topLinePunct w:val="0"/>
              <w:autoSpaceDE/>
              <w:autoSpaceDN/>
              <w:bidi w:val="0"/>
              <w:spacing w:line="260" w:lineRule="atLeast"/>
              <w:ind w:left="0" w:firstLine="211" w:firstLineChars="10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注</w:t>
            </w:r>
            <w:r>
              <w:rPr>
                <w:rFonts w:hint="eastAsia" w:ascii="宋体" w:hAnsi="宋体" w:eastAsia="宋体" w:cs="宋体"/>
                <w:color w:val="auto"/>
                <w:kern w:val="0"/>
                <w:sz w:val="21"/>
                <w:szCs w:val="21"/>
                <w:highlight w:val="none"/>
                <w:lang w:bidi="ar"/>
              </w:rPr>
              <w:t xml:space="preserve">： 1 当次高压燃气管道压力与表中数不相同时，可采用直线方程内插法确定水平净距。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 如受地形限制不能满足表6.3.3-1和表6.3.3-2时，经与有关部门协商，采取有效的安全防护措施后，表6.3.3-1</w:t>
            </w:r>
            <w:r>
              <w:rPr>
                <w:rFonts w:hint="eastAsia" w:ascii="宋体" w:hAnsi="宋体" w:eastAsia="宋体" w:cs="宋体"/>
                <w:color w:val="auto"/>
                <w:kern w:val="0"/>
                <w:sz w:val="21"/>
                <w:szCs w:val="21"/>
                <w:highlight w:val="none"/>
                <w:lang w:eastAsia="zh-CN" w:bidi="ar"/>
              </w:rPr>
              <w:t>和表</w:t>
            </w:r>
            <w:r>
              <w:rPr>
                <w:rFonts w:hint="eastAsia" w:ascii="宋体" w:hAnsi="宋体" w:eastAsia="宋体" w:cs="宋体"/>
                <w:color w:val="auto"/>
                <w:kern w:val="0"/>
                <w:sz w:val="21"/>
                <w:szCs w:val="21"/>
                <w:highlight w:val="none"/>
                <w:lang w:bidi="ar"/>
              </w:rPr>
              <w:t>6.3.3-2规定的净距，均可适当缩小，但低压管道不应</w:t>
            </w:r>
            <w:r>
              <w:rPr>
                <w:rFonts w:hint="eastAsia" w:ascii="宋体" w:hAnsi="宋体" w:eastAsia="宋体" w:cs="宋体"/>
                <w:color w:val="auto"/>
                <w:kern w:val="0"/>
                <w:sz w:val="21"/>
                <w:szCs w:val="21"/>
                <w:highlight w:val="none"/>
                <w:lang w:eastAsia="zh-CN" w:bidi="ar"/>
              </w:rPr>
              <w:t>影响</w:t>
            </w:r>
            <w:r>
              <w:rPr>
                <w:rFonts w:hint="eastAsia" w:ascii="宋体" w:hAnsi="宋体" w:eastAsia="宋体" w:cs="宋体"/>
                <w:color w:val="auto"/>
                <w:kern w:val="0"/>
                <w:sz w:val="21"/>
                <w:szCs w:val="21"/>
                <w:highlight w:val="none"/>
                <w:lang w:bidi="ar"/>
              </w:rPr>
              <w:t>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构</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筑物和相邻管道基础的稳固性，中压管道距建筑物基础不应小于0.5m 且距建筑物外墙面不应小于1m</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次高压燃气管道距建筑物外墙面不应小于3.0m。其中当对次高压 燃气管道采取有效的安全防护措施或当管道壁厚不小于9.5mm时，管道距建筑物外墙面不应小于6.5m；当管壁厚度不小于1l.9mm时，管道距建筑物外墙面不应小于3.0m。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 6.3.3-1</w:t>
            </w:r>
            <w:r>
              <w:rPr>
                <w:rFonts w:hint="eastAsia" w:ascii="宋体" w:hAnsi="宋体" w:eastAsia="宋体" w:cs="宋体"/>
                <w:color w:val="auto"/>
                <w:kern w:val="0"/>
                <w:sz w:val="21"/>
                <w:szCs w:val="21"/>
                <w:highlight w:val="none"/>
                <w:lang w:eastAsia="zh-CN" w:bidi="ar"/>
              </w:rPr>
              <w:t>和表</w:t>
            </w:r>
            <w:r>
              <w:rPr>
                <w:rFonts w:hint="eastAsia" w:ascii="宋体" w:hAnsi="宋体" w:eastAsia="宋体" w:cs="宋体"/>
                <w:color w:val="auto"/>
                <w:kern w:val="0"/>
                <w:sz w:val="21"/>
                <w:szCs w:val="21"/>
                <w:highlight w:val="none"/>
                <w:lang w:bidi="ar"/>
              </w:rPr>
              <w:t xml:space="preserve">6.3.3-2 规定除地下燃气管道与热力管的净距不适于聚乙烯燃气管道和钢骨架聚乙烯塑料复合管外，其他规定均适用于聚乙烯燃气管道和钢骨架聚乙烯塑料复合管道。聚乙烯燃气管道与热力管道的净距应按国家现行标准《聚乙烯燃气管道工程技术规程》CJJ63执行。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 地下燃气管道与电杆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塔</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基础之间的水平净距，还应满足本规范表6.7.5地下燃气管道与交流电力线接地体的净距规定。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6.7.5 地下燃气管道与交流电力线接地体的净距不应小于6.7.5</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规定。</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表6.7.5 地下燃气管道与交流电力线接地体的净距</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m</w:t>
            </w:r>
            <w:r>
              <w:rPr>
                <w:rFonts w:hint="eastAsia" w:ascii="宋体" w:hAnsi="宋体" w:eastAsia="宋体" w:cs="宋体"/>
                <w:color w:val="auto"/>
                <w:kern w:val="0"/>
                <w:sz w:val="21"/>
                <w:szCs w:val="21"/>
                <w:highlight w:val="none"/>
                <w:lang w:eastAsia="zh-CN" w:bidi="ar"/>
              </w:rPr>
              <w:t>）</w:t>
            </w:r>
          </w:p>
          <w:tbl>
            <w:tblPr>
              <w:tblStyle w:val="12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41"/>
              <w:gridCol w:w="1894"/>
              <w:gridCol w:w="1894"/>
              <w:gridCol w:w="1911"/>
              <w:gridCol w:w="1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63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电压等级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kV</w:t>
                  </w:r>
                  <w:r>
                    <w:rPr>
                      <w:rFonts w:hint="eastAsia" w:ascii="宋体" w:hAnsi="宋体" w:eastAsia="宋体" w:cs="宋体"/>
                      <w:color w:val="auto"/>
                      <w:kern w:val="0"/>
                      <w:sz w:val="21"/>
                      <w:szCs w:val="21"/>
                      <w:highlight w:val="none"/>
                      <w:lang w:eastAsia="zh-CN" w:bidi="ar"/>
                    </w:rPr>
                    <w:t>）</w:t>
                  </w:r>
                </w:p>
              </w:tc>
              <w:tc>
                <w:tcPr>
                  <w:tcW w:w="87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c>
                <w:tcPr>
                  <w:tcW w:w="87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w:t>
                  </w:r>
                </w:p>
              </w:tc>
              <w:tc>
                <w:tcPr>
                  <w:tcW w:w="882"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110</w:t>
                  </w:r>
                </w:p>
              </w:tc>
              <w:tc>
                <w:tcPr>
                  <w:tcW w:w="73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3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铁塔或电杆接地体</w:t>
                  </w:r>
                </w:p>
              </w:tc>
              <w:tc>
                <w:tcPr>
                  <w:tcW w:w="87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87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882"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73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63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电站或变电所接地体</w:t>
                  </w:r>
                </w:p>
              </w:tc>
              <w:tc>
                <w:tcPr>
                  <w:tcW w:w="87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87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w:t>
                  </w:r>
                </w:p>
              </w:tc>
              <w:tc>
                <w:tcPr>
                  <w:tcW w:w="882"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w:t>
                  </w:r>
                </w:p>
              </w:tc>
              <w:tc>
                <w:tcPr>
                  <w:tcW w:w="734"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w:t>
                  </w:r>
                </w:p>
              </w:tc>
            </w:tr>
          </w:tbl>
          <w:p>
            <w:pPr>
              <w:keepNext w:val="0"/>
              <w:keepLines w:val="0"/>
              <w:pageBreakBefore w:val="0"/>
              <w:kinsoku/>
              <w:wordWrap/>
              <w:overflowPunct/>
              <w:topLinePunct w:val="0"/>
              <w:autoSpaceDE/>
              <w:autoSpaceDN/>
              <w:bidi w:val="0"/>
              <w:spacing w:line="260" w:lineRule="atLeast"/>
              <w:ind w:left="0" w:firstLine="3"/>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6.3.15 室外架空的燃气管道，可沿建筑物外墙或支柱敷设，并</w:t>
            </w:r>
            <w:r>
              <w:rPr>
                <w:rFonts w:hint="eastAsia" w:ascii="宋体" w:hAnsi="宋体" w:eastAsia="宋体" w:cs="宋体"/>
                <w:color w:val="auto"/>
                <w:spacing w:val="-1"/>
                <w:sz w:val="21"/>
                <w:szCs w:val="21"/>
                <w:highlight w:val="none"/>
              </w:rPr>
              <w:t>应符合下列要求：</w:t>
            </w:r>
          </w:p>
          <w:p>
            <w:pPr>
              <w:keepNext w:val="0"/>
              <w:keepLines w:val="0"/>
              <w:pageBreakBefore w:val="0"/>
              <w:kinsoku/>
              <w:wordWrap/>
              <w:overflowPunct/>
              <w:topLinePunct w:val="0"/>
              <w:autoSpaceDE/>
              <w:autoSpaceDN/>
              <w:bidi w:val="0"/>
              <w:spacing w:line="260" w:lineRule="atLeast"/>
              <w:ind w:left="0" w:firstLine="222" w:firstLineChars="1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 架空燃气管道与铁路、道路、其他管线交叉时的垂直净距不应小于表6.3.15的规定。</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表6.3.15</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架空燃气管道与铁路、道路、其他管线交叉时的垂直间距</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35"/>
              <w:gridCol w:w="2767"/>
              <w:gridCol w:w="2711"/>
              <w:gridCol w:w="17"/>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389" w:hRule="atLeast"/>
                <w:jc w:val="center"/>
              </w:trPr>
              <w:tc>
                <w:tcPr>
                  <w:tcW w:w="2539" w:type="pct"/>
                  <w:gridSpan w:val="2"/>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firstLine="222" w:firstLineChars="1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建筑物和管线名称</w:t>
                  </w:r>
                </w:p>
              </w:tc>
              <w:tc>
                <w:tcPr>
                  <w:tcW w:w="2460" w:type="pct"/>
                  <w:gridSpan w:val="3"/>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最小垂直净距</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m</w:t>
                  </w:r>
                  <w:r>
                    <w:rPr>
                      <w:rFonts w:hint="eastAsia" w:ascii="宋体" w:hAnsi="宋体" w:eastAsia="宋体" w:cs="宋体"/>
                      <w:color w:val="auto"/>
                      <w:spacing w:val="6"/>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394" w:hRule="atLeast"/>
                <w:jc w:val="center"/>
              </w:trPr>
              <w:tc>
                <w:tcPr>
                  <w:tcW w:w="2539" w:type="pct"/>
                  <w:gridSpan w:val="2"/>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p>
              </w:tc>
              <w:tc>
                <w:tcPr>
                  <w:tcW w:w="125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燃气管道下</w:t>
                  </w:r>
                </w:p>
              </w:tc>
              <w:tc>
                <w:tcPr>
                  <w:tcW w:w="120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燃气管道上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374" w:hRule="atLeast"/>
                <w:jc w:val="center"/>
              </w:trPr>
              <w:tc>
                <w:tcPr>
                  <w:tcW w:w="253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铁路轨顶</w:t>
                  </w:r>
                </w:p>
              </w:tc>
              <w:tc>
                <w:tcPr>
                  <w:tcW w:w="125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6.0</w:t>
                  </w:r>
                </w:p>
              </w:tc>
              <w:tc>
                <w:tcPr>
                  <w:tcW w:w="120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354" w:hRule="atLeast"/>
                <w:jc w:val="center"/>
              </w:trPr>
              <w:tc>
                <w:tcPr>
                  <w:tcW w:w="253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城市道路路面</w:t>
                  </w:r>
                </w:p>
              </w:tc>
              <w:tc>
                <w:tcPr>
                  <w:tcW w:w="125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5.5</w:t>
                  </w:r>
                </w:p>
              </w:tc>
              <w:tc>
                <w:tcPr>
                  <w:tcW w:w="120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374" w:hRule="atLeast"/>
                <w:jc w:val="center"/>
              </w:trPr>
              <w:tc>
                <w:tcPr>
                  <w:tcW w:w="253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厂区道路路面</w:t>
                  </w:r>
                </w:p>
              </w:tc>
              <w:tc>
                <w:tcPr>
                  <w:tcW w:w="125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5.0</w:t>
                  </w:r>
                </w:p>
              </w:tc>
              <w:tc>
                <w:tcPr>
                  <w:tcW w:w="120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59" w:hRule="atLeast"/>
                <w:jc w:val="center"/>
              </w:trPr>
              <w:tc>
                <w:tcPr>
                  <w:tcW w:w="253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人行道路路面</w:t>
                  </w:r>
                </w:p>
              </w:tc>
              <w:tc>
                <w:tcPr>
                  <w:tcW w:w="1259"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w:t>
                  </w:r>
                </w:p>
              </w:tc>
              <w:tc>
                <w:tcPr>
                  <w:tcW w:w="120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2539" w:type="pct"/>
                  <w:gridSpan w:val="2"/>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建筑物和管线名称</w:t>
                  </w:r>
                </w:p>
              </w:tc>
              <w:tc>
                <w:tcPr>
                  <w:tcW w:w="2460" w:type="pct"/>
                  <w:gridSpan w:val="3"/>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最小垂直净距</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m</w:t>
                  </w:r>
                  <w:r>
                    <w:rPr>
                      <w:rFonts w:hint="eastAsia" w:ascii="宋体" w:hAnsi="宋体" w:eastAsia="宋体" w:cs="宋体"/>
                      <w:color w:val="auto"/>
                      <w:spacing w:val="6"/>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539" w:type="pct"/>
                  <w:gridSpan w:val="2"/>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p>
              </w:tc>
              <w:tc>
                <w:tcPr>
                  <w:tcW w:w="125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燃气管道下</w:t>
                  </w:r>
                </w:p>
              </w:tc>
              <w:tc>
                <w:tcPr>
                  <w:tcW w:w="1208"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燃气管道上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262"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架空电力线、电压</w:t>
                  </w:r>
                </w:p>
              </w:tc>
              <w:tc>
                <w:tcPr>
                  <w:tcW w:w="127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3kV以下</w:t>
                  </w:r>
                </w:p>
              </w:tc>
              <w:tc>
                <w:tcPr>
                  <w:tcW w:w="125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c>
                <w:tcPr>
                  <w:tcW w:w="1208"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262" w:type="pct"/>
                  <w:vMerge w:val="continue"/>
                  <w:tcBorders>
                    <w:top w:val="nil"/>
                    <w:bottom w:val="nil"/>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p>
              </w:tc>
              <w:tc>
                <w:tcPr>
                  <w:tcW w:w="127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3~10kV</w:t>
                  </w:r>
                </w:p>
              </w:tc>
              <w:tc>
                <w:tcPr>
                  <w:tcW w:w="125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c>
                <w:tcPr>
                  <w:tcW w:w="1208"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262"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p>
              </w:tc>
              <w:tc>
                <w:tcPr>
                  <w:tcW w:w="127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35～66kV</w:t>
                  </w:r>
                </w:p>
              </w:tc>
              <w:tc>
                <w:tcPr>
                  <w:tcW w:w="125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p>
              </w:tc>
              <w:tc>
                <w:tcPr>
                  <w:tcW w:w="1208"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62"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其他管道，管径</w:t>
                  </w:r>
                </w:p>
              </w:tc>
              <w:tc>
                <w:tcPr>
                  <w:tcW w:w="127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≤300mm</w:t>
                  </w:r>
                </w:p>
              </w:tc>
              <w:tc>
                <w:tcPr>
                  <w:tcW w:w="125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同管道直径，但不小于0.10</w:t>
                  </w:r>
                </w:p>
              </w:tc>
              <w:tc>
                <w:tcPr>
                  <w:tcW w:w="1208"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同左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262"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p>
              </w:tc>
              <w:tc>
                <w:tcPr>
                  <w:tcW w:w="1277"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&gt;300mm</w:t>
                  </w:r>
                </w:p>
              </w:tc>
              <w:tc>
                <w:tcPr>
                  <w:tcW w:w="1251"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0.30</w:t>
                  </w:r>
                </w:p>
              </w:tc>
              <w:tc>
                <w:tcPr>
                  <w:tcW w:w="1208" w:type="pct"/>
                  <w:gridSpan w:val="2"/>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666" w:firstLineChars="3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0.30</w:t>
                  </w:r>
                </w:p>
              </w:tc>
            </w:tr>
          </w:tbl>
          <w:p>
            <w:pPr>
              <w:keepNext w:val="0"/>
              <w:keepLines w:val="0"/>
              <w:pageBreakBefore w:val="0"/>
              <w:widowControl/>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注：1 厂区内部的燃气管道，在保证安全的情况下，管底至道路路面的垂直净距可取4.5m；管底至铁路轨顶的垂直净距，可取5.5m.在车辆和人行道以外的地区，可在从地面到管底高度不小于0.35m的低支柱上敷设燃气管道。</w:t>
            </w:r>
          </w:p>
          <w:p>
            <w:pPr>
              <w:keepNext w:val="0"/>
              <w:keepLines w:val="0"/>
              <w:pageBreakBefore w:val="0"/>
              <w:widowControl/>
              <w:kinsoku/>
              <w:wordWrap/>
              <w:overflowPunct/>
              <w:topLinePunct w:val="0"/>
              <w:autoSpaceDE/>
              <w:autoSpaceDN/>
              <w:bidi w:val="0"/>
              <w:adjustRightInd/>
              <w:snapToGrid/>
              <w:spacing w:line="260" w:lineRule="atLeast"/>
              <w:ind w:left="0" w:firstLine="224" w:firstLineChars="100"/>
              <w:jc w:val="left"/>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 电气机车铁路除外。</w:t>
            </w:r>
          </w:p>
          <w:p>
            <w:pPr>
              <w:keepNext w:val="0"/>
              <w:keepLines w:val="0"/>
              <w:pageBreakBefore w:val="0"/>
              <w:widowControl/>
              <w:kinsoku/>
              <w:wordWrap/>
              <w:overflowPunct/>
              <w:topLinePunct w:val="0"/>
              <w:autoSpaceDE/>
              <w:autoSpaceDN/>
              <w:bidi w:val="0"/>
              <w:adjustRightInd/>
              <w:snapToGrid/>
              <w:spacing w:line="260" w:lineRule="atLeast"/>
              <w:ind w:left="0" w:firstLine="200" w:firstLineChars="100"/>
              <w:jc w:val="left"/>
              <w:textAlignment w:val="auto"/>
              <w:rPr>
                <w:rFonts w:hint="eastAsia" w:ascii="宋体" w:hAnsi="宋体" w:eastAsia="宋体" w:cs="宋体"/>
                <w:b/>
                <w:bCs/>
                <w:color w:val="auto"/>
                <w:spacing w:val="10"/>
                <w:w w:val="101"/>
                <w:sz w:val="21"/>
                <w:szCs w:val="21"/>
                <w:highlight w:val="none"/>
                <w14:textOutline w14:w="3810" w14:cap="flat" w14:cmpd="sng" w14:algn="ctr">
                  <w14:solidFill>
                    <w14:srgbClr w14:val="000000"/>
                  </w14:solidFill>
                  <w14:prstDash w14:val="solid"/>
                  <w14:miter w14:val="0"/>
                </w14:textOutline>
              </w:rPr>
            </w:pPr>
            <w:r>
              <w:rPr>
                <w:rFonts w:hint="eastAsia" w:ascii="宋体" w:hAnsi="宋体" w:eastAsia="宋体" w:cs="宋体"/>
                <w:color w:val="auto"/>
                <w:spacing w:val="-5"/>
                <w:sz w:val="21"/>
                <w:szCs w:val="21"/>
                <w:highlight w:val="none"/>
              </w:rPr>
              <w:t>3 架空电力线与燃气管道的交叉垂直净距尚应考虑导线的最大垂度。</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rPr>
              <w:t>压力大于1.6MPa的室外燃气管道：</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6.4.11 一级或二级地区地下燃气管道与建筑物之间的水平净距不应小于表6.4.11的规定。</w:t>
            </w:r>
          </w:p>
          <w:p>
            <w:pPr>
              <w:keepNext w:val="0"/>
              <w:keepLines w:val="0"/>
              <w:pageBreakBefore w:val="0"/>
              <w:kinsoku/>
              <w:wordWrap/>
              <w:overflowPunct/>
              <w:topLinePunct w:val="0"/>
              <w:autoSpaceDE/>
              <w:autoSpaceDN/>
              <w:bidi w:val="0"/>
              <w:spacing w:line="260" w:lineRule="atLeast"/>
              <w:ind w:left="0" w:firstLine="25"/>
              <w:jc w:val="center"/>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表6.4.11</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rPr>
              <w:t>一级或二级地区地下燃气管道与建筑物之间的水平净距</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m</w:t>
            </w:r>
            <w:r>
              <w:rPr>
                <w:rFonts w:hint="eastAsia" w:ascii="宋体" w:hAnsi="宋体" w:eastAsia="宋体" w:cs="宋体"/>
                <w:color w:val="auto"/>
                <w:spacing w:val="7"/>
                <w:sz w:val="21"/>
                <w:szCs w:val="21"/>
                <w:highlight w:val="none"/>
                <w:lang w:eastAsia="zh-CN"/>
              </w:rPr>
              <w:t>）</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21"/>
              <w:gridCol w:w="2336"/>
              <w:gridCol w:w="2336"/>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625" w:type="pct"/>
                  <w:vMerge w:val="restart"/>
                  <w:tcBorders>
                    <w:top w:val="single" w:color="000000" w:sz="2" w:space="0"/>
                    <w:bottom w:val="nil"/>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燃气管道公称直径 DN</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mm</w:t>
                  </w:r>
                  <w:r>
                    <w:rPr>
                      <w:rFonts w:hint="eastAsia" w:ascii="宋体" w:hAnsi="宋体" w:eastAsia="宋体" w:cs="宋体"/>
                      <w:color w:val="auto"/>
                      <w:spacing w:val="7"/>
                      <w:sz w:val="21"/>
                      <w:szCs w:val="21"/>
                      <w:highlight w:val="none"/>
                      <w:lang w:eastAsia="zh-CN"/>
                    </w:rPr>
                    <w:t>）</w:t>
                  </w:r>
                </w:p>
              </w:tc>
              <w:tc>
                <w:tcPr>
                  <w:tcW w:w="3374" w:type="pct"/>
                  <w:gridSpan w:val="3"/>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地下燃气管道压力</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MPa</w:t>
                  </w:r>
                  <w:r>
                    <w:rPr>
                      <w:rFonts w:hint="eastAsia" w:ascii="宋体" w:hAnsi="宋体" w:eastAsia="宋体" w:cs="宋体"/>
                      <w:color w:val="auto"/>
                      <w:spacing w:val="7"/>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25" w:type="pct"/>
                  <w:vMerge w:val="continue"/>
                  <w:tcBorders>
                    <w:top w:val="nil"/>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p>
              </w:tc>
              <w:tc>
                <w:tcPr>
                  <w:tcW w:w="107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1.61</w:t>
                  </w:r>
                </w:p>
              </w:tc>
              <w:tc>
                <w:tcPr>
                  <w:tcW w:w="107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2.50</w:t>
                  </w:r>
                </w:p>
              </w:tc>
              <w:tc>
                <w:tcPr>
                  <w:tcW w:w="121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jc w:val="center"/>
              </w:trPr>
              <w:tc>
                <w:tcPr>
                  <w:tcW w:w="1625"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900&lt;DN≤1050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750&lt;DN≤900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600&lt;&lt;DN≤750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450&lt;DN≤600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300&lt;DN≤450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150&lt;DN≤300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DN≤150</w:t>
                  </w:r>
                </w:p>
              </w:tc>
              <w:tc>
                <w:tcPr>
                  <w:tcW w:w="107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53</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31</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24</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19</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14</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11</w:t>
                  </w:r>
                </w:p>
              </w:tc>
              <w:tc>
                <w:tcPr>
                  <w:tcW w:w="107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60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47</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37</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28</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23</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18</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13</w:t>
                  </w:r>
                </w:p>
              </w:tc>
              <w:tc>
                <w:tcPr>
                  <w:tcW w:w="1218"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70</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57</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45</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35</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28</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22</w:t>
                  </w:r>
                </w:p>
                <w:p>
                  <w:pPr>
                    <w:keepNext w:val="0"/>
                    <w:keepLines w:val="0"/>
                    <w:pageBreakBefore w:val="0"/>
                    <w:kinsoku/>
                    <w:wordWrap/>
                    <w:overflowPunct/>
                    <w:topLinePunct w:val="0"/>
                    <w:autoSpaceDE/>
                    <w:autoSpaceDN/>
                    <w:bidi w:val="0"/>
                    <w:spacing w:line="260" w:lineRule="atLeast"/>
                    <w:ind w:left="0" w:firstLine="25"/>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15</w:t>
                  </w:r>
                </w:p>
              </w:tc>
            </w:tr>
          </w:tbl>
          <w:p>
            <w:pPr>
              <w:keepNext w:val="0"/>
              <w:keepLines w:val="0"/>
              <w:pageBreakBefore w:val="0"/>
              <w:kinsoku/>
              <w:wordWrap/>
              <w:overflowPunct/>
              <w:topLinePunct w:val="0"/>
              <w:autoSpaceDE/>
              <w:autoSpaceDN/>
              <w:bidi w:val="0"/>
              <w:spacing w:line="260" w:lineRule="atLeast"/>
              <w:ind w:left="0" w:firstLine="204" w:firstLineChars="10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注：1 当燃气管道强度设计系数不大于0.4时，一级或二级地区地下燃气管道与建筑物之间的水平净距可按表6.4.12确定。</w:t>
            </w:r>
          </w:p>
          <w:p>
            <w:pPr>
              <w:keepNext w:val="0"/>
              <w:keepLines w:val="0"/>
              <w:pageBreakBefore w:val="0"/>
              <w:kinsoku/>
              <w:wordWrap/>
              <w:overflowPunct/>
              <w:topLinePunct w:val="0"/>
              <w:autoSpaceDE/>
              <w:autoSpaceDN/>
              <w:bidi w:val="0"/>
              <w:spacing w:line="260" w:lineRule="atLeast"/>
              <w:ind w:left="0" w:firstLine="204" w:firstLineChars="10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 xml:space="preserve">2 水平净距是指管道外壁到建筑物出地面处外墙面的距离。建筑物是指平常有人的建筑物。                                                     </w:t>
            </w:r>
          </w:p>
          <w:p>
            <w:pPr>
              <w:keepNext w:val="0"/>
              <w:keepLines w:val="0"/>
              <w:pageBreakBefore w:val="0"/>
              <w:kinsoku/>
              <w:wordWrap/>
              <w:overflowPunct/>
              <w:topLinePunct w:val="0"/>
              <w:autoSpaceDE/>
              <w:autoSpaceDN/>
              <w:bidi w:val="0"/>
              <w:spacing w:line="260" w:lineRule="atLeast"/>
              <w:ind w:left="0" w:firstLine="204" w:firstLineChars="100"/>
              <w:jc w:val="left"/>
              <w:rPr>
                <w:rFonts w:hint="eastAsia" w:ascii="宋体" w:hAnsi="宋体" w:eastAsia="宋体" w:cs="宋体"/>
                <w:b/>
                <w:bCs/>
                <w:color w:val="auto"/>
                <w:spacing w:val="10"/>
                <w:w w:val="101"/>
                <w:sz w:val="21"/>
                <w:szCs w:val="21"/>
                <w:highlight w:val="none"/>
                <w14:textOutline w14:w="3810" w14:cap="flat" w14:cmpd="sng" w14:algn="ctr">
                  <w14:solidFill>
                    <w14:srgbClr w14:val="000000"/>
                  </w14:solidFill>
                  <w14:prstDash w14:val="solid"/>
                  <w14:miter w14:val="0"/>
                </w14:textOutline>
              </w:rPr>
            </w:pPr>
            <w:r>
              <w:rPr>
                <w:rFonts w:hint="eastAsia" w:ascii="宋体" w:hAnsi="宋体" w:eastAsia="宋体" w:cs="宋体"/>
                <w:color w:val="auto"/>
                <w:spacing w:val="-3"/>
                <w:sz w:val="21"/>
                <w:szCs w:val="21"/>
                <w:highlight w:val="none"/>
              </w:rPr>
              <w:t>3 当燃气管道压力与表中数不相同时，可采用直线方程内插法确定3当燃气管道压力与表中数不相同时，可采用直线方程内插法确定水平净距。</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6.4.12 三级地区地下燃气管道与建筑物之间的水平净距不应小于表6.4.12</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规定。</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表6.4.12 三级地区地下燃气管道与建筑物之间的水平净距</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m</w:t>
            </w:r>
            <w:r>
              <w:rPr>
                <w:rFonts w:hint="eastAsia" w:ascii="宋体" w:hAnsi="宋体" w:eastAsia="宋体" w:cs="宋体"/>
                <w:color w:val="auto"/>
                <w:kern w:val="0"/>
                <w:sz w:val="21"/>
                <w:szCs w:val="21"/>
                <w:highlight w:val="none"/>
                <w:lang w:eastAsia="zh-CN" w:bidi="ar"/>
              </w:rPr>
              <w:t>）</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93"/>
              <w:gridCol w:w="2048"/>
              <w:gridCol w:w="2048"/>
              <w:gridCol w:w="2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2166" w:type="pct"/>
                  <w:vMerge w:val="restart"/>
                  <w:tcBorders>
                    <w:top w:val="single" w:color="000000" w:sz="2" w:space="0"/>
                    <w:bottom w:val="nil"/>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燃气管道公称直径和壁厚δ</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mm)</w:t>
                  </w:r>
                </w:p>
              </w:tc>
              <w:tc>
                <w:tcPr>
                  <w:tcW w:w="2833" w:type="pct"/>
                  <w:gridSpan w:val="3"/>
                  <w:tcBorders>
                    <w:top w:val="single" w:color="000000" w:sz="2" w:space="0"/>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地下燃气管道压力</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MPa</w:t>
                  </w:r>
                  <w:r>
                    <w:rPr>
                      <w:rFonts w:hint="eastAsia" w:ascii="宋体" w:hAnsi="宋体" w:eastAsia="宋体" w:cs="宋体"/>
                      <w:color w:val="auto"/>
                      <w:kern w:val="0"/>
                      <w:sz w:val="21"/>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2166" w:type="pct"/>
                  <w:vMerge w:val="continue"/>
                  <w:tcBorders>
                    <w:top w:val="nil"/>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p>
              </w:tc>
              <w:tc>
                <w:tcPr>
                  <w:tcW w:w="945" w:type="pct"/>
                  <w:tcBorders>
                    <w:top w:val="single" w:color="000000" w:sz="2" w:space="0"/>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1.61</w:t>
                  </w:r>
                </w:p>
              </w:tc>
              <w:tc>
                <w:tcPr>
                  <w:tcW w:w="945" w:type="pct"/>
                  <w:tcBorders>
                    <w:top w:val="single" w:color="000000" w:sz="2" w:space="0"/>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2.50</w:t>
                  </w:r>
                </w:p>
              </w:tc>
              <w:tc>
                <w:tcPr>
                  <w:tcW w:w="942" w:type="pct"/>
                  <w:tcBorders>
                    <w:top w:val="single" w:color="000000" w:sz="2" w:space="0"/>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2166" w:type="pct"/>
                  <w:tcBorders>
                    <w:top w:val="single" w:color="000000" w:sz="2" w:space="0"/>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 所有管径δ&lt;9.5</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 所有管径9.5≤δ&lt;11.9</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 所有管径6&gt;11.9</w:t>
                  </w:r>
                </w:p>
              </w:tc>
              <w:tc>
                <w:tcPr>
                  <w:tcW w:w="945" w:type="pct"/>
                  <w:tcBorders>
                    <w:top w:val="single" w:color="000000" w:sz="2" w:space="0"/>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13.5</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6.5</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3.0</w:t>
                  </w:r>
                </w:p>
              </w:tc>
              <w:tc>
                <w:tcPr>
                  <w:tcW w:w="945" w:type="pct"/>
                  <w:tcBorders>
                    <w:top w:val="single" w:color="000000" w:sz="2" w:space="0"/>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15.0</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7.5</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5.0</w:t>
                  </w:r>
                </w:p>
              </w:tc>
              <w:tc>
                <w:tcPr>
                  <w:tcW w:w="942" w:type="pct"/>
                  <w:tcBorders>
                    <w:top w:val="single" w:color="000000" w:sz="2" w:space="0"/>
                    <w:bottom w:val="single" w:color="000000" w:sz="2" w:space="0"/>
                  </w:tcBorders>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17.0</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9.0</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8.0</w:t>
                  </w:r>
                </w:p>
              </w:tc>
            </w:tr>
          </w:tbl>
          <w:p>
            <w:pPr>
              <w:keepNext w:val="0"/>
              <w:keepLines w:val="0"/>
              <w:pageBreakBefore w:val="0"/>
              <w:kinsoku/>
              <w:wordWrap/>
              <w:overflowPunct/>
              <w:topLinePunct w:val="0"/>
              <w:autoSpaceDE/>
              <w:autoSpaceDN/>
              <w:bidi w:val="0"/>
              <w:spacing w:line="260" w:lineRule="atLeast"/>
              <w:ind w:left="0" w:firstLine="204" w:firstLineChars="10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注：1 当对燃气管道采取有效的保护措施时，δ&lt;9.5mm</w:t>
            </w:r>
            <w:r>
              <w:rPr>
                <w:rFonts w:hint="eastAsia" w:ascii="宋体" w:hAnsi="宋体" w:eastAsia="宋体" w:cs="宋体"/>
                <w:color w:val="auto"/>
                <w:spacing w:val="-3"/>
                <w:sz w:val="21"/>
                <w:szCs w:val="21"/>
                <w:highlight w:val="none"/>
                <w:lang w:eastAsia="zh-CN"/>
              </w:rPr>
              <w:t>的</w:t>
            </w:r>
            <w:r>
              <w:rPr>
                <w:rFonts w:hint="eastAsia" w:ascii="宋体" w:hAnsi="宋体" w:eastAsia="宋体" w:cs="宋体"/>
                <w:color w:val="auto"/>
                <w:spacing w:val="-3"/>
                <w:sz w:val="21"/>
                <w:szCs w:val="21"/>
                <w:highlight w:val="none"/>
              </w:rPr>
              <w:t xml:space="preserve">燃气管道也可采用表中B行的水平净距。 </w:t>
            </w:r>
          </w:p>
          <w:p>
            <w:pPr>
              <w:keepNext w:val="0"/>
              <w:keepLines w:val="0"/>
              <w:pageBreakBefore w:val="0"/>
              <w:kinsoku/>
              <w:wordWrap/>
              <w:overflowPunct/>
              <w:topLinePunct w:val="0"/>
              <w:autoSpaceDE/>
              <w:autoSpaceDN/>
              <w:bidi w:val="0"/>
              <w:spacing w:line="260" w:lineRule="atLeast"/>
              <w:ind w:left="0" w:firstLine="204" w:firstLineChars="10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 xml:space="preserve">2 水平净距是指管道外壁到建筑物出地面处外墙面的距离。建筑物是指平常有人的建筑物。 </w:t>
            </w:r>
          </w:p>
          <w:p>
            <w:pPr>
              <w:keepNext w:val="0"/>
              <w:keepLines w:val="0"/>
              <w:pageBreakBefore w:val="0"/>
              <w:kinsoku/>
              <w:wordWrap/>
              <w:overflowPunct/>
              <w:topLinePunct w:val="0"/>
              <w:autoSpaceDE/>
              <w:autoSpaceDN/>
              <w:bidi w:val="0"/>
              <w:spacing w:line="260" w:lineRule="atLeast"/>
              <w:ind w:left="0" w:firstLine="204" w:firstLineChars="10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3 当燃气管道压力与表中数不相同时，可采用直线方程内插法确定水平净距。</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6.4.13 高压地下燃气管道与构筑物或相邻管道之间的水平和垂直净距，不应小于表6.3.3-1和6.3.3</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2次高压A的规定。但高压A和高压B地下燃气管道与铁路路堤坡脚的水平净距分别不应小于8m和6m；与有轨电车钢轨的水平净距分别不应小于4m和3m。</w:t>
            </w:r>
          </w:p>
          <w:p>
            <w:pPr>
              <w:keepNext w:val="0"/>
              <w:keepLines w:val="0"/>
              <w:pageBreakBefore w:val="0"/>
              <w:kinsoku/>
              <w:wordWrap/>
              <w:overflowPunct/>
              <w:topLinePunct w:val="0"/>
              <w:autoSpaceDE/>
              <w:autoSpaceDN/>
              <w:bidi w:val="0"/>
              <w:spacing w:line="260" w:lineRule="atLeast"/>
              <w:ind w:left="0" w:firstLine="224" w:firstLineChars="100"/>
              <w:jc w:val="left"/>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注：当达不到本条净距要求时，采取有效的防护措施后，净距可适当缩小。</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6.3.4 地下燃气管道埋设的最小覆土厚度</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路面至管顶</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应符合下列要求：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 埋设在机动车道下时，不得小</w:t>
            </w: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O.9m；</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 埋设在非机动车车道</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含人行道</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下时，不得小于</w:t>
            </w:r>
            <w:r>
              <w:rPr>
                <w:rFonts w:hint="eastAsia" w:ascii="宋体" w:hAnsi="宋体" w:eastAsia="宋体" w:cs="宋体"/>
                <w:color w:val="auto"/>
                <w:kern w:val="0"/>
                <w:sz w:val="21"/>
                <w:szCs w:val="21"/>
                <w:highlight w:val="none"/>
                <w:lang w:val="en-US" w:eastAsia="zh-CN" w:bidi="ar"/>
              </w:rPr>
              <w:t>0.6</w:t>
            </w:r>
            <w:r>
              <w:rPr>
                <w:rFonts w:hint="eastAsia" w:ascii="宋体" w:hAnsi="宋体" w:eastAsia="宋体" w:cs="宋体"/>
                <w:color w:val="auto"/>
                <w:kern w:val="0"/>
                <w:sz w:val="21"/>
                <w:szCs w:val="21"/>
                <w:highlight w:val="none"/>
                <w:lang w:bidi="ar"/>
              </w:rPr>
              <w:t xml:space="preserve">m；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 埋设在机动车不可能到达的地方时，不得小于</w:t>
            </w:r>
            <w:r>
              <w:rPr>
                <w:rFonts w:hint="eastAsia" w:ascii="宋体" w:hAnsi="宋体" w:eastAsia="宋体" w:cs="宋体"/>
                <w:color w:val="auto"/>
                <w:kern w:val="0"/>
                <w:sz w:val="21"/>
                <w:szCs w:val="21"/>
                <w:highlight w:val="none"/>
                <w:lang w:val="en-US" w:eastAsia="zh-CN" w:bidi="ar"/>
              </w:rPr>
              <w:t>0.3</w:t>
            </w:r>
            <w:r>
              <w:rPr>
                <w:rFonts w:hint="eastAsia" w:ascii="宋体" w:hAnsi="宋体" w:eastAsia="宋体" w:cs="宋体"/>
                <w:color w:val="auto"/>
                <w:kern w:val="0"/>
                <w:sz w:val="21"/>
                <w:szCs w:val="21"/>
                <w:highlight w:val="none"/>
                <w:lang w:bidi="ar"/>
              </w:rPr>
              <w:t xml:space="preserve">m；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 埋设在水田下时，不得小于</w:t>
            </w:r>
            <w:r>
              <w:rPr>
                <w:rFonts w:hint="eastAsia" w:ascii="宋体" w:hAnsi="宋体" w:eastAsia="宋体" w:cs="宋体"/>
                <w:color w:val="auto"/>
                <w:kern w:val="0"/>
                <w:sz w:val="21"/>
                <w:szCs w:val="21"/>
                <w:highlight w:val="none"/>
                <w:lang w:val="en-US" w:eastAsia="zh-CN" w:bidi="ar"/>
              </w:rPr>
              <w:t>0.8</w:t>
            </w:r>
            <w:r>
              <w:rPr>
                <w:rFonts w:hint="eastAsia" w:ascii="宋体" w:hAnsi="宋体" w:eastAsia="宋体" w:cs="宋体"/>
                <w:color w:val="auto"/>
                <w:kern w:val="0"/>
                <w:sz w:val="21"/>
                <w:szCs w:val="21"/>
                <w:highlight w:val="none"/>
                <w:lang w:bidi="ar"/>
              </w:rPr>
              <w:t xml:space="preserve">m。 </w:t>
            </w:r>
          </w:p>
          <w:p>
            <w:pPr>
              <w:keepNext w:val="0"/>
              <w:keepLines w:val="0"/>
              <w:pageBreakBefore w:val="0"/>
              <w:kinsoku/>
              <w:wordWrap/>
              <w:overflowPunct/>
              <w:topLinePunct w:val="0"/>
              <w:autoSpaceDE/>
              <w:autoSpaceDN/>
              <w:bidi w:val="0"/>
              <w:adjustRightInd w:val="0"/>
              <w:spacing w:line="260" w:lineRule="atLeast"/>
              <w:ind w:left="0" w:firstLine="210" w:firstLineChars="1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bidi="ar"/>
              </w:rPr>
              <w:t>注：当不能满足上述规定时，应采取有效的安全防护措施。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4.3.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聚乙烯燃气管道不得从建筑物或大型构筑物的下面穿越（不包括架空的建筑物和立交桥、城市轨道交通的高架桥等大型构筑物）；不得在堆积易燃、易爆材料和具有腐蚀性液体的场地下面穿越；不得与非燃气管道或电缆同沟敷设。</w:t>
            </w:r>
          </w:p>
          <w:p>
            <w:pPr>
              <w:pStyle w:val="115"/>
              <w:keepNext w:val="0"/>
              <w:keepLines w:val="0"/>
              <w:pageBreakBefore w:val="0"/>
              <w:tabs>
                <w:tab w:val="left" w:pos="285"/>
              </w:tabs>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4.3.2 </w:t>
            </w:r>
            <w:r>
              <w:rPr>
                <w:rFonts w:hint="eastAsia" w:ascii="宋体" w:hAnsi="宋体" w:eastAsia="宋体" w:cs="宋体"/>
                <w:color w:val="auto"/>
                <w:sz w:val="21"/>
                <w:szCs w:val="21"/>
                <w:highlight w:val="none"/>
              </w:rPr>
              <w:t>聚乙烯燃气管道与市政热力管道之间的水平净距和垂直净距，不应小于表</w:t>
            </w:r>
            <w:r>
              <w:rPr>
                <w:rFonts w:hint="eastAsia" w:ascii="宋体" w:hAnsi="宋体" w:eastAsia="宋体" w:cs="宋体"/>
                <w:color w:val="auto"/>
                <w:sz w:val="21"/>
                <w:szCs w:val="21"/>
                <w:highlight w:val="none"/>
                <w:lang w:val="en-US" w:eastAsia="zh-CN" w:bidi="en-US"/>
              </w:rPr>
              <w:t>4.3.2-1</w:t>
            </w:r>
            <w:r>
              <w:rPr>
                <w:rFonts w:hint="eastAsia" w:ascii="宋体" w:hAnsi="宋体" w:eastAsia="宋体" w:cs="宋体"/>
                <w:color w:val="auto"/>
                <w:sz w:val="21"/>
                <w:szCs w:val="21"/>
                <w:highlight w:val="none"/>
              </w:rPr>
              <w:t>和表4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en-US"/>
              </w:rPr>
              <w:t>3.2-2</w:t>
            </w:r>
            <w:r>
              <w:rPr>
                <w:rFonts w:hint="eastAsia" w:ascii="宋体" w:hAnsi="宋体" w:eastAsia="宋体" w:cs="宋体"/>
                <w:color w:val="auto"/>
                <w:sz w:val="21"/>
                <w:szCs w:val="21"/>
                <w:highlight w:val="none"/>
              </w:rPr>
              <w:t>的规定，并应保证燃气管道外壁温度不大于</w:t>
            </w:r>
            <w:r>
              <w:rPr>
                <w:rFonts w:hint="eastAsia" w:ascii="宋体" w:hAnsi="宋体" w:eastAsia="宋体" w:cs="宋体"/>
                <w:color w:val="auto"/>
                <w:sz w:val="21"/>
                <w:szCs w:val="21"/>
                <w:highlight w:val="none"/>
                <w:lang w:val="en-US" w:eastAsia="zh-CN" w:bidi="en-US"/>
              </w:rPr>
              <w:t>40℃；</w:t>
            </w:r>
            <w:r>
              <w:rPr>
                <w:rFonts w:hint="eastAsia" w:ascii="宋体" w:hAnsi="宋体" w:eastAsia="宋体" w:cs="宋体"/>
                <w:color w:val="auto"/>
                <w:sz w:val="21"/>
                <w:szCs w:val="21"/>
                <w:highlight w:val="none"/>
              </w:rPr>
              <w:t>与建筑物、构筑物或其他相邻管道之间的水平净距和垂直净距，应符合现行国家标准《城镇燃气设计规范》</w:t>
            </w:r>
            <w:r>
              <w:rPr>
                <w:rFonts w:hint="eastAsia" w:ascii="宋体" w:hAnsi="宋体" w:eastAsia="宋体" w:cs="宋体"/>
                <w:color w:val="auto"/>
                <w:sz w:val="21"/>
                <w:szCs w:val="21"/>
                <w:highlight w:val="none"/>
                <w:lang w:val="en-US" w:eastAsia="zh-CN" w:bidi="en-US"/>
              </w:rPr>
              <w:t>GB</w:t>
            </w:r>
            <w:r>
              <w:rPr>
                <w:rFonts w:hint="eastAsia" w:ascii="宋体" w:hAnsi="宋体" w:eastAsia="宋体" w:cs="宋体"/>
                <w:color w:val="auto"/>
                <w:sz w:val="21"/>
                <w:szCs w:val="21"/>
                <w:highlight w:val="none"/>
              </w:rPr>
              <w:t>50028的有关规定。当直埋蒸汽热力管道保温层外壁温度不大于</w:t>
            </w:r>
            <w:r>
              <w:rPr>
                <w:rFonts w:hint="eastAsia" w:ascii="宋体" w:hAnsi="宋体" w:eastAsia="宋体" w:cs="宋体"/>
                <w:color w:val="auto"/>
                <w:sz w:val="21"/>
                <w:szCs w:val="21"/>
                <w:highlight w:val="none"/>
                <w:lang w:val="en-US" w:eastAsia="zh-CN" w:bidi="en-US"/>
              </w:rPr>
              <w:t>60℃</w:t>
            </w:r>
            <w:r>
              <w:rPr>
                <w:rFonts w:hint="eastAsia" w:ascii="宋体" w:hAnsi="宋体" w:eastAsia="宋体" w:cs="宋体"/>
                <w:color w:val="auto"/>
                <w:sz w:val="21"/>
                <w:szCs w:val="21"/>
                <w:highlight w:val="none"/>
              </w:rPr>
              <w:t>时，聚乙烯管道采取有效的隔热措施，表</w:t>
            </w:r>
            <w:r>
              <w:rPr>
                <w:rFonts w:hint="eastAsia" w:ascii="宋体" w:hAnsi="宋体" w:eastAsia="宋体" w:cs="宋体"/>
                <w:color w:val="auto"/>
                <w:sz w:val="21"/>
                <w:szCs w:val="21"/>
                <w:highlight w:val="none"/>
                <w:lang w:val="en-US" w:eastAsia="zh-CN" w:bidi="en-US"/>
              </w:rPr>
              <w:t>4.3.2-1</w:t>
            </w:r>
            <w:r>
              <w:rPr>
                <w:rFonts w:hint="eastAsia" w:ascii="宋体" w:hAnsi="宋体" w:eastAsia="宋体" w:cs="宋体"/>
                <w:color w:val="auto"/>
                <w:sz w:val="21"/>
                <w:szCs w:val="21"/>
                <w:highlight w:val="none"/>
              </w:rPr>
              <w:t>中水平</w:t>
            </w:r>
            <w:r>
              <w:rPr>
                <w:rFonts w:hint="eastAsia" w:ascii="宋体" w:hAnsi="宋体" w:eastAsia="宋体" w:cs="宋体"/>
                <w:color w:val="auto"/>
                <w:sz w:val="21"/>
                <w:szCs w:val="21"/>
                <w:highlight w:val="none"/>
                <w:lang w:eastAsia="zh-CN"/>
              </w:rPr>
              <w:t>净</w:t>
            </w:r>
            <w:r>
              <w:rPr>
                <w:rFonts w:hint="eastAsia" w:ascii="宋体" w:hAnsi="宋体" w:eastAsia="宋体" w:cs="宋体"/>
                <w:color w:val="auto"/>
                <w:sz w:val="21"/>
                <w:szCs w:val="21"/>
                <w:highlight w:val="none"/>
              </w:rPr>
              <w:t>距可减少50%。</w:t>
            </w:r>
          </w:p>
          <w:p>
            <w:pPr>
              <w:pStyle w:val="122"/>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表</w:t>
            </w:r>
            <w:r>
              <w:rPr>
                <w:rFonts w:hint="eastAsia" w:ascii="宋体" w:hAnsi="宋体" w:eastAsia="宋体" w:cs="宋体"/>
                <w:b w:val="0"/>
                <w:bCs w:val="0"/>
                <w:i w:val="0"/>
                <w:iCs w:val="0"/>
                <w:color w:val="auto"/>
                <w:sz w:val="21"/>
                <w:szCs w:val="21"/>
                <w:highlight w:val="none"/>
                <w:lang w:val="en-US" w:eastAsia="zh-CN" w:bidi="en-US"/>
              </w:rPr>
              <w:t xml:space="preserve">4.3.2-1 </w:t>
            </w:r>
            <w:r>
              <w:rPr>
                <w:rFonts w:hint="eastAsia" w:ascii="宋体" w:hAnsi="宋体" w:eastAsia="宋体" w:cs="宋体"/>
                <w:b w:val="0"/>
                <w:bCs w:val="0"/>
                <w:i w:val="0"/>
                <w:iCs w:val="0"/>
                <w:color w:val="auto"/>
                <w:sz w:val="21"/>
                <w:szCs w:val="21"/>
                <w:highlight w:val="none"/>
                <w:lang w:val="zh-CN" w:eastAsia="zh-CN" w:bidi="zh-CN"/>
              </w:rPr>
              <w:t>聚乙烯</w:t>
            </w:r>
            <w:r>
              <w:rPr>
                <w:rFonts w:hint="eastAsia" w:ascii="宋体" w:hAnsi="宋体" w:eastAsia="宋体" w:cs="宋体"/>
                <w:b w:val="0"/>
                <w:bCs w:val="0"/>
                <w:i w:val="0"/>
                <w:iCs w:val="0"/>
                <w:color w:val="auto"/>
                <w:sz w:val="21"/>
                <w:szCs w:val="21"/>
                <w:highlight w:val="none"/>
              </w:rPr>
              <w:t>燃气管道与市政热力管道之间的水平净距</w:t>
            </w:r>
          </w:p>
          <w:tbl>
            <w:tblPr>
              <w:tblStyle w:val="20"/>
              <w:tblW w:w="4999" w:type="pct"/>
              <w:jc w:val="center"/>
              <w:tblLayout w:type="autofit"/>
              <w:tblCellMar>
                <w:top w:w="0" w:type="dxa"/>
                <w:left w:w="10" w:type="dxa"/>
                <w:bottom w:w="0" w:type="dxa"/>
                <w:right w:w="10" w:type="dxa"/>
              </w:tblCellMar>
            </w:tblPr>
            <w:tblGrid>
              <w:gridCol w:w="1286"/>
              <w:gridCol w:w="2687"/>
              <w:gridCol w:w="1581"/>
              <w:gridCol w:w="891"/>
              <w:gridCol w:w="1394"/>
              <w:gridCol w:w="1379"/>
              <w:gridCol w:w="1624"/>
            </w:tblGrid>
            <w:tr>
              <w:tblPrEx>
                <w:tblCellMar>
                  <w:top w:w="0" w:type="dxa"/>
                  <w:left w:w="10" w:type="dxa"/>
                  <w:bottom w:w="0" w:type="dxa"/>
                  <w:right w:w="10" w:type="dxa"/>
                </w:tblCellMar>
              </w:tblPrEx>
              <w:trPr>
                <w:trHeight w:val="328" w:hRule="exact"/>
                <w:jc w:val="center"/>
              </w:trPr>
              <w:tc>
                <w:tcPr>
                  <w:tcW w:w="2561" w:type="pct"/>
                  <w:gridSpan w:val="3"/>
                  <w:vMerge w:val="restar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项目</w:t>
                  </w:r>
                </w:p>
              </w:tc>
              <w:tc>
                <w:tcPr>
                  <w:tcW w:w="2438" w:type="pct"/>
                  <w:gridSpan w:val="4"/>
                  <w:tcBorders>
                    <w:top w:val="single" w:color="auto" w:sz="4" w:space="0"/>
                    <w:left w:val="single" w:color="auto" w:sz="4" w:space="0"/>
                    <w:righ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地下燃气管道</w:t>
                  </w:r>
                  <w:r>
                    <w:rPr>
                      <w:rFonts w:hint="eastAsia" w:ascii="宋体" w:hAnsi="宋体" w:eastAsia="宋体" w:cs="宋体"/>
                      <w:color w:val="auto"/>
                      <w:sz w:val="21"/>
                      <w:szCs w:val="21"/>
                      <w:highlight w:val="none"/>
                      <w:lang w:val="en-US" w:eastAsia="en-US" w:bidi="zh-CN"/>
                    </w:rPr>
                    <w:t>（m）</w:t>
                  </w:r>
                </w:p>
              </w:tc>
            </w:tr>
            <w:tr>
              <w:tblPrEx>
                <w:tblCellMar>
                  <w:top w:w="0" w:type="dxa"/>
                  <w:left w:w="10" w:type="dxa"/>
                  <w:bottom w:w="0" w:type="dxa"/>
                  <w:right w:w="10" w:type="dxa"/>
                </w:tblCellMar>
              </w:tblPrEx>
              <w:trPr>
                <w:trHeight w:val="291" w:hRule="exact"/>
                <w:jc w:val="center"/>
              </w:trPr>
              <w:tc>
                <w:tcPr>
                  <w:tcW w:w="2561" w:type="pct"/>
                  <w:gridSpan w:val="3"/>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p>
              </w:tc>
              <w:tc>
                <w:tcPr>
                  <w:tcW w:w="411" w:type="pct"/>
                  <w:vMerge w:val="restar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低压</w:t>
                  </w:r>
                </w:p>
              </w:tc>
              <w:tc>
                <w:tcPr>
                  <w:tcW w:w="1279" w:type="pct"/>
                  <w:gridSpan w:val="2"/>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中压</w:t>
                  </w:r>
                </w:p>
              </w:tc>
              <w:tc>
                <w:tcPr>
                  <w:tcW w:w="747" w:type="pct"/>
                  <w:tcBorders>
                    <w:top w:val="single" w:color="auto" w:sz="4" w:space="0"/>
                    <w:left w:val="single" w:color="auto" w:sz="4" w:space="0"/>
                    <w:righ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次高压</w:t>
                  </w:r>
                </w:p>
              </w:tc>
            </w:tr>
            <w:tr>
              <w:tblPrEx>
                <w:tblCellMar>
                  <w:top w:w="0" w:type="dxa"/>
                  <w:left w:w="10" w:type="dxa"/>
                  <w:bottom w:w="0" w:type="dxa"/>
                  <w:right w:w="10" w:type="dxa"/>
                </w:tblCellMar>
              </w:tblPrEx>
              <w:trPr>
                <w:trHeight w:val="305" w:hRule="exact"/>
                <w:jc w:val="center"/>
              </w:trPr>
              <w:tc>
                <w:tcPr>
                  <w:tcW w:w="2561" w:type="pct"/>
                  <w:gridSpan w:val="3"/>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p>
              </w:tc>
              <w:tc>
                <w:tcPr>
                  <w:tcW w:w="411"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p>
              </w:tc>
              <w:tc>
                <w:tcPr>
                  <w:tcW w:w="643"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B</w:t>
                  </w:r>
                </w:p>
              </w:tc>
              <w:tc>
                <w:tcPr>
                  <w:tcW w:w="635"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A</w:t>
                  </w:r>
                </w:p>
              </w:tc>
              <w:tc>
                <w:tcPr>
                  <w:tcW w:w="747" w:type="pct"/>
                  <w:tcBorders>
                    <w:top w:val="single" w:color="auto" w:sz="4" w:space="0"/>
                    <w:left w:val="single" w:color="auto" w:sz="4" w:space="0"/>
                    <w:righ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B</w:t>
                  </w:r>
                </w:p>
              </w:tc>
            </w:tr>
            <w:tr>
              <w:tblPrEx>
                <w:tblCellMar>
                  <w:top w:w="0" w:type="dxa"/>
                  <w:left w:w="10" w:type="dxa"/>
                  <w:bottom w:w="0" w:type="dxa"/>
                  <w:right w:w="10" w:type="dxa"/>
                </w:tblCellMar>
              </w:tblPrEx>
              <w:trPr>
                <w:trHeight w:val="309" w:hRule="exact"/>
                <w:jc w:val="center"/>
              </w:trPr>
              <w:tc>
                <w:tcPr>
                  <w:tcW w:w="593" w:type="pct"/>
                  <w:vMerge w:val="restar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热力管</w:t>
                  </w:r>
                </w:p>
              </w:tc>
              <w:tc>
                <w:tcPr>
                  <w:tcW w:w="1239" w:type="pct"/>
                  <w:vMerge w:val="restar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直理敷设</w:t>
                  </w:r>
                </w:p>
              </w:tc>
              <w:tc>
                <w:tcPr>
                  <w:tcW w:w="728"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热水</w:t>
                  </w:r>
                </w:p>
              </w:tc>
              <w:tc>
                <w:tcPr>
                  <w:tcW w:w="411"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1.0</w:t>
                  </w:r>
                </w:p>
              </w:tc>
              <w:tc>
                <w:tcPr>
                  <w:tcW w:w="643"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26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1.0</w:t>
                  </w:r>
                </w:p>
              </w:tc>
              <w:tc>
                <w:tcPr>
                  <w:tcW w:w="635"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26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1.0</w:t>
                  </w:r>
                </w:p>
              </w:tc>
              <w:tc>
                <w:tcPr>
                  <w:tcW w:w="747" w:type="pct"/>
                  <w:tcBorders>
                    <w:top w:val="single" w:color="auto" w:sz="4" w:space="0"/>
                    <w:left w:val="single" w:color="auto" w:sz="4" w:space="0"/>
                    <w:righ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1.5</w:t>
                  </w:r>
                </w:p>
              </w:tc>
            </w:tr>
            <w:tr>
              <w:tblPrEx>
                <w:tblCellMar>
                  <w:top w:w="0" w:type="dxa"/>
                  <w:left w:w="10" w:type="dxa"/>
                  <w:bottom w:w="0" w:type="dxa"/>
                  <w:right w:w="10" w:type="dxa"/>
                </w:tblCellMar>
              </w:tblPrEx>
              <w:trPr>
                <w:trHeight w:val="324" w:hRule="exact"/>
                <w:jc w:val="center"/>
              </w:trPr>
              <w:tc>
                <w:tcPr>
                  <w:tcW w:w="593"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p>
              </w:tc>
              <w:tc>
                <w:tcPr>
                  <w:tcW w:w="1239"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p>
              </w:tc>
              <w:tc>
                <w:tcPr>
                  <w:tcW w:w="728" w:type="pct"/>
                  <w:tcBorders>
                    <w:top w:val="single" w:color="auto" w:sz="4" w:space="0"/>
                    <w:left w:val="single" w:color="auto" w:sz="4" w:space="0"/>
                  </w:tcBorders>
                  <w:shd w:val="clear" w:color="auto" w:fill="FFFFFF"/>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蒸汽</w:t>
                  </w:r>
                </w:p>
              </w:tc>
              <w:tc>
                <w:tcPr>
                  <w:tcW w:w="411"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2.0</w:t>
                  </w:r>
                </w:p>
              </w:tc>
              <w:tc>
                <w:tcPr>
                  <w:tcW w:w="643"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26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2.0</w:t>
                  </w:r>
                </w:p>
              </w:tc>
              <w:tc>
                <w:tcPr>
                  <w:tcW w:w="635" w:type="pct"/>
                  <w:tcBorders>
                    <w:top w:val="single" w:color="auto" w:sz="4" w:space="0"/>
                    <w:lef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26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2.0</w:t>
                  </w:r>
                </w:p>
              </w:tc>
              <w:tc>
                <w:tcPr>
                  <w:tcW w:w="747" w:type="pct"/>
                  <w:tcBorders>
                    <w:top w:val="single" w:color="auto" w:sz="4" w:space="0"/>
                    <w:left w:val="single" w:color="auto" w:sz="4" w:space="0"/>
                    <w:righ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en-US" w:bidi="zh-CN"/>
                    </w:rPr>
                    <w:t>3</w:t>
                  </w:r>
                  <w:r>
                    <w:rPr>
                      <w:rFonts w:hint="eastAsia" w:ascii="宋体" w:hAnsi="宋体" w:eastAsia="宋体" w:cs="宋体"/>
                      <w:color w:val="auto"/>
                      <w:sz w:val="21"/>
                      <w:szCs w:val="21"/>
                      <w:highlight w:val="none"/>
                      <w:lang w:val="en-US" w:eastAsia="en-US" w:bidi="zh-CN"/>
                    </w:rPr>
                    <w:t>.</w:t>
                  </w:r>
                  <w:r>
                    <w:rPr>
                      <w:rFonts w:hint="eastAsia" w:ascii="宋体" w:hAnsi="宋体" w:eastAsia="宋体" w:cs="宋体"/>
                      <w:color w:val="auto"/>
                      <w:sz w:val="21"/>
                      <w:szCs w:val="21"/>
                      <w:highlight w:val="none"/>
                      <w:lang w:val="zh-CN" w:eastAsia="zh-CN" w:bidi="zh-CN"/>
                    </w:rPr>
                    <w:t>0</w:t>
                  </w:r>
                </w:p>
              </w:tc>
            </w:tr>
            <w:tr>
              <w:tblPrEx>
                <w:tblCellMar>
                  <w:top w:w="0" w:type="dxa"/>
                  <w:left w:w="10" w:type="dxa"/>
                  <w:bottom w:w="0" w:type="dxa"/>
                  <w:right w:w="10" w:type="dxa"/>
                </w:tblCellMar>
              </w:tblPrEx>
              <w:trPr>
                <w:trHeight w:val="365" w:hRule="exact"/>
                <w:jc w:val="center"/>
              </w:trPr>
              <w:tc>
                <w:tcPr>
                  <w:tcW w:w="593" w:type="pct"/>
                  <w:vMerge w:val="continue"/>
                  <w:tcBorders>
                    <w:left w:val="single" w:color="auto" w:sz="4" w:space="0"/>
                    <w:bottom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CN" w:bidi="zh-CN"/>
                    </w:rPr>
                  </w:pPr>
                </w:p>
              </w:tc>
              <w:tc>
                <w:tcPr>
                  <w:tcW w:w="1967" w:type="pct"/>
                  <w:gridSpan w:val="2"/>
                  <w:tcBorders>
                    <w:top w:val="single" w:color="auto" w:sz="4" w:space="0"/>
                    <w:left w:val="single" w:color="auto" w:sz="4" w:space="0"/>
                    <w:bottom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管沟内敷设（至管沟外壁）</w:t>
                  </w:r>
                </w:p>
              </w:tc>
              <w:tc>
                <w:tcPr>
                  <w:tcW w:w="411" w:type="pct"/>
                  <w:tcBorders>
                    <w:top w:val="single" w:color="auto" w:sz="4" w:space="0"/>
                    <w:left w:val="single" w:color="auto" w:sz="4" w:space="0"/>
                    <w:bottom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1.0</w:t>
                  </w:r>
                </w:p>
              </w:tc>
              <w:tc>
                <w:tcPr>
                  <w:tcW w:w="643" w:type="pct"/>
                  <w:tcBorders>
                    <w:top w:val="single" w:color="auto" w:sz="4" w:space="0"/>
                    <w:left w:val="single" w:color="auto" w:sz="4" w:space="0"/>
                    <w:bottom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26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1.5</w:t>
                  </w:r>
                </w:p>
              </w:tc>
              <w:tc>
                <w:tcPr>
                  <w:tcW w:w="635" w:type="pct"/>
                  <w:tcBorders>
                    <w:top w:val="single" w:color="auto" w:sz="4" w:space="0"/>
                    <w:left w:val="single" w:color="auto" w:sz="4" w:space="0"/>
                    <w:bottom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26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w:t>
                  </w:r>
                </w:p>
              </w:tc>
              <w:tc>
                <w:tcPr>
                  <w:tcW w:w="747" w:type="pct"/>
                  <w:tcBorders>
                    <w:top w:val="single" w:color="auto" w:sz="4" w:space="0"/>
                    <w:left w:val="single" w:color="auto" w:sz="4" w:space="0"/>
                    <w:bottom w:val="single" w:color="auto" w:sz="4" w:space="0"/>
                    <w:right w:val="single" w:color="auto" w:sz="4" w:space="0"/>
                  </w:tcBorders>
                  <w:shd w:val="clear" w:color="auto" w:fill="FFFFFF"/>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2.0</w:t>
                  </w:r>
                </w:p>
              </w:tc>
            </w:tr>
          </w:tbl>
          <w:p>
            <w:pPr>
              <w:pStyle w:val="122"/>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b w:val="0"/>
                <w:bCs w:val="0"/>
                <w:i w:val="0"/>
                <w:iCs w:val="0"/>
                <w:color w:val="auto"/>
                <w:sz w:val="21"/>
                <w:szCs w:val="21"/>
                <w:highlight w:val="none"/>
                <w:lang w:val="en-US" w:eastAsia="zh-CN" w:bidi="en-US"/>
              </w:rPr>
            </w:pPr>
            <w:r>
              <w:rPr>
                <w:rFonts w:hint="eastAsia" w:ascii="宋体" w:hAnsi="宋体" w:eastAsia="宋体" w:cs="宋体"/>
                <w:b w:val="0"/>
                <w:bCs w:val="0"/>
                <w:i w:val="0"/>
                <w:iCs w:val="0"/>
                <w:color w:val="auto"/>
                <w:sz w:val="21"/>
                <w:szCs w:val="21"/>
                <w:highlight w:val="none"/>
                <w:lang w:val="en-US" w:eastAsia="zh-CN" w:bidi="en-US"/>
              </w:rPr>
              <w:t>表4.3.2-2</w:t>
            </w:r>
            <w:r>
              <w:rPr>
                <w:rFonts w:hint="eastAsia" w:cs="宋体"/>
                <w:b w:val="0"/>
                <w:bCs w:val="0"/>
                <w:i w:val="0"/>
                <w:iCs w:val="0"/>
                <w:color w:val="auto"/>
                <w:sz w:val="21"/>
                <w:szCs w:val="21"/>
                <w:highlight w:val="none"/>
                <w:lang w:val="en-US" w:eastAsia="zh-CN" w:bidi="en-US"/>
              </w:rPr>
              <w:t xml:space="preserve"> </w:t>
            </w:r>
            <w:r>
              <w:rPr>
                <w:rFonts w:hint="eastAsia" w:ascii="宋体" w:hAnsi="宋体" w:eastAsia="宋体" w:cs="宋体"/>
                <w:b w:val="0"/>
                <w:bCs w:val="0"/>
                <w:i w:val="0"/>
                <w:iCs w:val="0"/>
                <w:color w:val="auto"/>
                <w:sz w:val="21"/>
                <w:szCs w:val="21"/>
                <w:highlight w:val="none"/>
                <w:lang w:val="en-US" w:eastAsia="zh-CN" w:bidi="en-US"/>
              </w:rPr>
              <w:t>聚乙烯燃气管道与市政热力管道之冋的垂直净距</w:t>
            </w:r>
          </w:p>
          <w:tbl>
            <w:tblPr>
              <w:tblStyle w:val="20"/>
              <w:tblW w:w="4999" w:type="pct"/>
              <w:jc w:val="center"/>
              <w:tblLayout w:type="autofit"/>
              <w:tblCellMar>
                <w:top w:w="0" w:type="dxa"/>
                <w:left w:w="10" w:type="dxa"/>
                <w:bottom w:w="0" w:type="dxa"/>
                <w:right w:w="10" w:type="dxa"/>
              </w:tblCellMar>
            </w:tblPr>
            <w:tblGrid>
              <w:gridCol w:w="961"/>
              <w:gridCol w:w="3318"/>
              <w:gridCol w:w="6563"/>
            </w:tblGrid>
            <w:tr>
              <w:tblPrEx>
                <w:tblCellMar>
                  <w:top w:w="0" w:type="dxa"/>
                  <w:left w:w="10" w:type="dxa"/>
                  <w:bottom w:w="0" w:type="dxa"/>
                  <w:right w:w="10" w:type="dxa"/>
                </w:tblCellMar>
              </w:tblPrEx>
              <w:trPr>
                <w:trHeight w:val="335" w:hRule="exact"/>
                <w:jc w:val="center"/>
              </w:trPr>
              <w:tc>
                <w:tcPr>
                  <w:tcW w:w="1973" w:type="pct"/>
                  <w:gridSpan w:val="2"/>
                  <w:tcBorders>
                    <w:top w:val="single" w:color="auto" w:sz="4" w:space="0"/>
                    <w:lef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026" w:type="pct"/>
                  <w:tcBorders>
                    <w:top w:val="single" w:color="auto" w:sz="4" w:space="0"/>
                    <w:left w:val="single" w:color="auto" w:sz="4" w:space="0"/>
                    <w:right w:val="single" w:color="auto" w:sz="4" w:space="0"/>
                  </w:tcBorders>
                  <w:shd w:val="clear" w:color="auto" w:fill="FFFFFF"/>
                  <w:vAlign w:val="bottom"/>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地下燃气管道（当有套管时，从套管外径计）</w:t>
                  </w:r>
                  <w:r>
                    <w:rPr>
                      <w:rFonts w:hint="eastAsia" w:ascii="宋体" w:hAnsi="宋体" w:eastAsia="宋体" w:cs="宋体"/>
                      <w:color w:val="auto"/>
                      <w:sz w:val="21"/>
                      <w:szCs w:val="21"/>
                      <w:highlight w:val="none"/>
                      <w:lang w:val="en-US" w:eastAsia="zh-CN"/>
                    </w:rPr>
                    <w:t>(m)</w:t>
                  </w:r>
                </w:p>
              </w:tc>
            </w:tr>
            <w:tr>
              <w:tblPrEx>
                <w:tblCellMar>
                  <w:top w:w="0" w:type="dxa"/>
                  <w:left w:w="10" w:type="dxa"/>
                  <w:bottom w:w="0" w:type="dxa"/>
                  <w:right w:w="10" w:type="dxa"/>
                </w:tblCellMar>
              </w:tblPrEx>
              <w:trPr>
                <w:trHeight w:val="329" w:hRule="exact"/>
                <w:jc w:val="center"/>
              </w:trPr>
              <w:tc>
                <w:tcPr>
                  <w:tcW w:w="443" w:type="pct"/>
                  <w:vMerge w:val="restar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热力管</w:t>
                  </w:r>
                </w:p>
              </w:tc>
              <w:tc>
                <w:tcPr>
                  <w:tcW w:w="1529"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燃气管在</w:t>
                  </w:r>
                  <w:r>
                    <w:rPr>
                      <w:rFonts w:hint="eastAsia" w:ascii="宋体" w:hAnsi="宋体" w:eastAsia="宋体" w:cs="宋体"/>
                      <w:color w:val="auto"/>
                      <w:sz w:val="21"/>
                      <w:szCs w:val="21"/>
                      <w:highlight w:val="none"/>
                      <w:lang w:eastAsia="zh-CN"/>
                    </w:rPr>
                    <w:t>直</w:t>
                  </w:r>
                  <w:r>
                    <w:rPr>
                      <w:rFonts w:hint="eastAsia" w:ascii="宋体" w:hAnsi="宋体" w:eastAsia="宋体" w:cs="宋体"/>
                      <w:color w:val="auto"/>
                      <w:sz w:val="21"/>
                      <w:szCs w:val="21"/>
                      <w:highlight w:val="none"/>
                    </w:rPr>
                    <w:t>埋</w:t>
                  </w:r>
                  <w:r>
                    <w:rPr>
                      <w:rFonts w:hint="eastAsia" w:ascii="宋体" w:hAnsi="宋体" w:eastAsia="宋体" w:cs="宋体"/>
                      <w:color w:val="auto"/>
                      <w:sz w:val="21"/>
                      <w:szCs w:val="21"/>
                      <w:highlight w:val="none"/>
                      <w:lang w:eastAsia="zh-CN"/>
                    </w:rPr>
                    <w:t>管</w:t>
                  </w:r>
                  <w:r>
                    <w:rPr>
                      <w:rFonts w:hint="eastAsia" w:ascii="宋体" w:hAnsi="宋体" w:eastAsia="宋体" w:cs="宋体"/>
                      <w:color w:val="auto"/>
                      <w:sz w:val="21"/>
                      <w:szCs w:val="21"/>
                      <w:highlight w:val="none"/>
                    </w:rPr>
                    <w:t>上方</w:t>
                  </w:r>
                </w:p>
              </w:tc>
              <w:tc>
                <w:tcPr>
                  <w:tcW w:w="3026"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rPr>
                    <w:t>0.5</w:t>
                  </w: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套</w:t>
                  </w:r>
                  <w:r>
                    <w:rPr>
                      <w:rFonts w:hint="eastAsia" w:ascii="宋体" w:hAnsi="宋体" w:eastAsia="宋体" w:cs="宋体"/>
                      <w:color w:val="auto"/>
                      <w:sz w:val="21"/>
                      <w:szCs w:val="21"/>
                      <w:highlight w:val="none"/>
                    </w:rPr>
                    <w:t>管）</w:t>
                  </w:r>
                </w:p>
              </w:tc>
            </w:tr>
            <w:tr>
              <w:tblPrEx>
                <w:tblCellMar>
                  <w:top w:w="0" w:type="dxa"/>
                  <w:left w:w="10" w:type="dxa"/>
                  <w:bottom w:w="0" w:type="dxa"/>
                  <w:right w:w="10" w:type="dxa"/>
                </w:tblCellMar>
              </w:tblPrEx>
              <w:trPr>
                <w:trHeight w:val="363" w:hRule="exact"/>
                <w:jc w:val="center"/>
              </w:trPr>
              <w:tc>
                <w:tcPr>
                  <w:tcW w:w="443"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zh-TW" w:eastAsia="zh-TW" w:bidi="zh-TW"/>
                    </w:rPr>
                  </w:pPr>
                </w:p>
              </w:tc>
              <w:tc>
                <w:tcPr>
                  <w:tcW w:w="1529"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燃气管在直埋管下方</w:t>
                  </w:r>
                </w:p>
              </w:tc>
              <w:tc>
                <w:tcPr>
                  <w:tcW w:w="3026"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rPr>
                    <w:t>1.0</w:t>
                  </w:r>
                  <w:r>
                    <w:rPr>
                      <w:rFonts w:hint="eastAsia" w:ascii="宋体" w:hAnsi="宋体" w:eastAsia="宋体" w:cs="宋体"/>
                      <w:color w:val="auto"/>
                      <w:sz w:val="21"/>
                      <w:szCs w:val="21"/>
                      <w:highlight w:val="none"/>
                    </w:rPr>
                    <w:t>（加套管）</w:t>
                  </w:r>
                </w:p>
              </w:tc>
            </w:tr>
            <w:tr>
              <w:tblPrEx>
                <w:tblCellMar>
                  <w:top w:w="0" w:type="dxa"/>
                  <w:left w:w="10" w:type="dxa"/>
                  <w:bottom w:w="0" w:type="dxa"/>
                  <w:right w:w="10" w:type="dxa"/>
                </w:tblCellMar>
              </w:tblPrEx>
              <w:trPr>
                <w:trHeight w:val="552" w:hRule="exact"/>
                <w:jc w:val="center"/>
              </w:trPr>
              <w:tc>
                <w:tcPr>
                  <w:tcW w:w="443" w:type="pct"/>
                  <w:vMerge w:val="continue"/>
                  <w:tcBorders>
                    <w:left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529"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w:t>
                  </w:r>
                  <w:r>
                    <w:rPr>
                      <w:rFonts w:hint="eastAsia" w:ascii="宋体" w:hAnsi="宋体" w:eastAsia="宋体" w:cs="宋体"/>
                      <w:color w:val="auto"/>
                      <w:sz w:val="21"/>
                      <w:szCs w:val="21"/>
                      <w:highlight w:val="none"/>
                      <w:lang w:eastAsia="zh-CN"/>
                    </w:rPr>
                    <w:t>管</w:t>
                  </w:r>
                  <w:r>
                    <w:rPr>
                      <w:rFonts w:hint="eastAsia" w:ascii="宋体" w:hAnsi="宋体" w:eastAsia="宋体" w:cs="宋体"/>
                      <w:color w:val="auto"/>
                      <w:sz w:val="21"/>
                      <w:szCs w:val="21"/>
                      <w:highlight w:val="none"/>
                    </w:rPr>
                    <w:t>在管沟上方</w:t>
                  </w:r>
                </w:p>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eastAsia="zh-CN"/>
                    </w:rPr>
                    <w:t>管</w:t>
                  </w:r>
                  <w:r>
                    <w:rPr>
                      <w:rFonts w:hint="eastAsia" w:ascii="宋体" w:hAnsi="宋体" w:eastAsia="宋体" w:cs="宋体"/>
                      <w:color w:val="auto"/>
                      <w:sz w:val="21"/>
                      <w:szCs w:val="21"/>
                      <w:highlight w:val="none"/>
                    </w:rPr>
                    <w:t>沟外壁）</w:t>
                  </w:r>
                </w:p>
              </w:tc>
              <w:tc>
                <w:tcPr>
                  <w:tcW w:w="3026"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（加套管）或</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（无套管）</w:t>
                  </w:r>
                </w:p>
              </w:tc>
            </w:tr>
            <w:tr>
              <w:tblPrEx>
                <w:tblCellMar>
                  <w:top w:w="0" w:type="dxa"/>
                  <w:left w:w="10" w:type="dxa"/>
                  <w:bottom w:w="0" w:type="dxa"/>
                  <w:right w:w="10" w:type="dxa"/>
                </w:tblCellMar>
              </w:tblPrEx>
              <w:trPr>
                <w:trHeight w:val="579" w:hRule="exact"/>
                <w:jc w:val="center"/>
              </w:trPr>
              <w:tc>
                <w:tcPr>
                  <w:tcW w:w="443" w:type="pct"/>
                  <w:vMerge w:val="continue"/>
                  <w:tcBorders>
                    <w:left w:val="single" w:color="auto" w:sz="4" w:space="0"/>
                    <w:bottom w:val="single" w:color="auto" w:sz="4" w:space="0"/>
                  </w:tcBorders>
                  <w:shd w:val="clear" w:color="auto" w:fill="FFFFFF"/>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529" w:type="pct"/>
                  <w:tcBorders>
                    <w:top w:val="single" w:color="auto" w:sz="4" w:space="0"/>
                    <w:left w:val="single" w:color="auto" w:sz="4" w:space="0"/>
                    <w:bottom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w:t>
                  </w:r>
                  <w:r>
                    <w:rPr>
                      <w:rFonts w:hint="eastAsia" w:ascii="宋体" w:hAnsi="宋体" w:eastAsia="宋体" w:cs="宋体"/>
                      <w:color w:val="auto"/>
                      <w:sz w:val="21"/>
                      <w:szCs w:val="21"/>
                      <w:highlight w:val="none"/>
                      <w:lang w:eastAsia="zh-CN"/>
                    </w:rPr>
                    <w:t>气</w:t>
                  </w:r>
                  <w:r>
                    <w:rPr>
                      <w:rFonts w:hint="eastAsia" w:ascii="宋体" w:hAnsi="宋体" w:eastAsia="宋体" w:cs="宋体"/>
                      <w:color w:val="auto"/>
                      <w:sz w:val="21"/>
                      <w:szCs w:val="21"/>
                      <w:highlight w:val="none"/>
                    </w:rPr>
                    <w:t>管在</w:t>
                  </w:r>
                  <w:r>
                    <w:rPr>
                      <w:rFonts w:hint="eastAsia" w:ascii="宋体" w:hAnsi="宋体" w:eastAsia="宋体" w:cs="宋体"/>
                      <w:color w:val="auto"/>
                      <w:sz w:val="21"/>
                      <w:szCs w:val="21"/>
                      <w:highlight w:val="none"/>
                      <w:lang w:eastAsia="zh-CN"/>
                    </w:rPr>
                    <w:t>管沟</w:t>
                  </w:r>
                  <w:r>
                    <w:rPr>
                      <w:rFonts w:hint="eastAsia" w:ascii="宋体" w:hAnsi="宋体" w:eastAsia="宋体" w:cs="宋体"/>
                      <w:color w:val="auto"/>
                      <w:sz w:val="21"/>
                      <w:szCs w:val="21"/>
                      <w:highlight w:val="none"/>
                    </w:rPr>
                    <w:t>下方</w:t>
                  </w:r>
                </w:p>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（至管沟外壁）</w:t>
                  </w:r>
                </w:p>
              </w:tc>
              <w:tc>
                <w:tcPr>
                  <w:tcW w:w="302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（加套管）</w:t>
                  </w:r>
                </w:p>
              </w:tc>
            </w:tr>
          </w:tbl>
          <w:p>
            <w:pPr>
              <w:pStyle w:val="122"/>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套管敷设要求应与现行国家标准《城镇燃气设计规范》</w:t>
            </w:r>
            <w:r>
              <w:rPr>
                <w:rFonts w:hint="eastAsia" w:ascii="宋体" w:hAnsi="宋体" w:eastAsia="宋体" w:cs="宋体"/>
                <w:color w:val="auto"/>
                <w:sz w:val="21"/>
                <w:szCs w:val="21"/>
                <w:highlight w:val="none"/>
                <w:lang w:val="en-US" w:eastAsia="zh-CN" w:bidi="en-US"/>
              </w:rPr>
              <w:t>GB</w:t>
            </w:r>
            <w:r>
              <w:rPr>
                <w:rFonts w:hint="eastAsia" w:ascii="宋体" w:hAnsi="宋体" w:eastAsia="宋体" w:cs="宋体"/>
                <w:color w:val="auto"/>
                <w:sz w:val="21"/>
                <w:szCs w:val="21"/>
                <w:highlight w:val="none"/>
              </w:rPr>
              <w:t>50028的规定</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lang w:val="zh-CN" w:eastAsia="zh-CN" w:bidi="zh-CN"/>
              </w:rPr>
              <w:t>致：</w:t>
            </w:r>
          </w:p>
          <w:p>
            <w:pPr>
              <w:pStyle w:val="122"/>
              <w:keepNext w:val="0"/>
              <w:keepLines w:val="0"/>
              <w:pageBreakBefore w:val="0"/>
              <w:kinsoku/>
              <w:wordWrap/>
              <w:overflowPunct/>
              <w:topLinePunct w:val="0"/>
              <w:autoSpaceDE/>
              <w:autoSpaceDN/>
              <w:bidi w:val="0"/>
              <w:spacing w:line="260" w:lineRule="atLeast"/>
              <w:ind w:left="0" w:firstLine="630" w:firstLineChars="300"/>
              <w:jc w:val="left"/>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rPr>
              <w:t>2当采取措施，保证</w:t>
            </w:r>
            <w:r>
              <w:rPr>
                <w:rFonts w:hint="eastAsia" w:ascii="宋体" w:hAnsi="宋体" w:eastAsia="宋体" w:cs="宋体"/>
                <w:color w:val="auto"/>
                <w:sz w:val="21"/>
                <w:szCs w:val="21"/>
                <w:highlight w:val="none"/>
                <w:lang w:eastAsia="zh-CN"/>
              </w:rPr>
              <w:t>土壤</w:t>
            </w:r>
            <w:r>
              <w:rPr>
                <w:rFonts w:hint="eastAsia" w:ascii="宋体" w:hAnsi="宋体" w:eastAsia="宋体" w:cs="宋体"/>
                <w:color w:val="auto"/>
                <w:sz w:val="21"/>
                <w:szCs w:val="21"/>
                <w:highlight w:val="none"/>
              </w:rPr>
              <w:t>温度小于</w:t>
            </w:r>
            <w:r>
              <w:rPr>
                <w:rFonts w:hint="eastAsia" w:ascii="宋体" w:hAnsi="宋体" w:eastAsia="宋体" w:cs="宋体"/>
                <w:color w:val="auto"/>
                <w:sz w:val="21"/>
                <w:szCs w:val="21"/>
                <w:highlight w:val="none"/>
                <w:lang w:val="en-US" w:eastAsia="zh-CN" w:bidi="en-US"/>
              </w:rPr>
              <w:t>40℃，</w:t>
            </w:r>
            <w:r>
              <w:rPr>
                <w:rFonts w:hint="eastAsia" w:ascii="宋体" w:hAnsi="宋体" w:eastAsia="宋体" w:cs="宋体"/>
                <w:color w:val="auto"/>
                <w:sz w:val="21"/>
                <w:szCs w:val="21"/>
                <w:highlight w:val="none"/>
              </w:rPr>
              <w:t>可适当减少管道与热力管道之间垂直净距。</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4.3.3 </w:t>
            </w:r>
            <w:r>
              <w:rPr>
                <w:rFonts w:hint="eastAsia" w:ascii="宋体" w:hAnsi="宋体" w:eastAsia="宋体" w:cs="宋体"/>
                <w:color w:val="auto"/>
                <w:sz w:val="21"/>
                <w:szCs w:val="21"/>
                <w:highlight w:val="none"/>
              </w:rPr>
              <w:t>聚乙烯燃气管道埋设的最小覆土深度（地面至管顶）应符合下列规定：</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埋设在车行道下，不得小于</w:t>
            </w:r>
            <w:r>
              <w:rPr>
                <w:rFonts w:hint="eastAsia" w:ascii="宋体" w:hAnsi="宋体" w:eastAsia="宋体" w:cs="宋体"/>
                <w:color w:val="auto"/>
                <w:sz w:val="21"/>
                <w:szCs w:val="21"/>
                <w:highlight w:val="none"/>
                <w:lang w:val="en-US" w:eastAsia="zh-CN" w:bidi="en-US"/>
              </w:rPr>
              <w:t>0.9m；</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en-US" w:eastAsia="zh-CN" w:bidi="en-US"/>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color w:val="auto"/>
                <w:sz w:val="21"/>
                <w:szCs w:val="21"/>
                <w:highlight w:val="none"/>
              </w:rPr>
              <w:t>埋设在非车行道（含人行道）下，不得小于</w:t>
            </w:r>
            <w:r>
              <w:rPr>
                <w:rFonts w:hint="eastAsia" w:ascii="宋体" w:hAnsi="宋体" w:eastAsia="宋体" w:cs="宋体"/>
                <w:color w:val="auto"/>
                <w:sz w:val="21"/>
                <w:szCs w:val="21"/>
                <w:highlight w:val="none"/>
                <w:lang w:val="en-US" w:eastAsia="zh-CN" w:bidi="en-US"/>
              </w:rPr>
              <w:t>0.6m；</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埋设在机动车不可能到达的地方时，不得小于</w:t>
            </w:r>
            <w:r>
              <w:rPr>
                <w:rFonts w:hint="eastAsia" w:ascii="宋体" w:hAnsi="宋体" w:eastAsia="宋体" w:cs="宋体"/>
                <w:color w:val="auto"/>
                <w:sz w:val="21"/>
                <w:szCs w:val="21"/>
                <w:highlight w:val="none"/>
                <w:lang w:val="en-US" w:eastAsia="zh-CN" w:bidi="en-US"/>
              </w:rPr>
              <w:t>0.5m；</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埋设在水田下时，不得小于</w:t>
            </w:r>
            <w:r>
              <w:rPr>
                <w:rFonts w:hint="eastAsia" w:ascii="宋体" w:hAnsi="宋体" w:eastAsia="宋体" w:cs="宋体"/>
                <w:color w:val="auto"/>
                <w:sz w:val="21"/>
                <w:szCs w:val="21"/>
                <w:highlight w:val="none"/>
                <w:lang w:val="en-US" w:eastAsia="zh-CN" w:bidi="en-US"/>
              </w:rPr>
              <w:t>0.8m；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rPr>
              <w:t>5 当埋深达不到上述要求时，应采取保护措施。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r>
              <w:rPr>
                <w:rFonts w:hint="eastAsia" w:ascii="宋体" w:hAnsi="宋体" w:eastAsia="宋体" w:cs="宋体"/>
                <w:b w:val="0"/>
                <w:bCs w:val="0"/>
                <w:color w:val="auto"/>
                <w:spacing w:val="-6"/>
                <w:sz w:val="21"/>
                <w:szCs w:val="21"/>
                <w:highlight w:val="none"/>
              </w:rPr>
              <w:t>3.2.3.2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r>
              <w:rPr>
                <w:rFonts w:hint="eastAsia" w:ascii="宋体" w:hAnsi="宋体" w:eastAsia="宋体" w:cs="宋体"/>
                <w:color w:val="auto"/>
                <w:sz w:val="21"/>
                <w:szCs w:val="21"/>
                <w:highlight w:val="none"/>
              </w:rPr>
              <w:t>埋地管道敷设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钢质管道组对、焊接应符合设计及相关标准要求。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《城镇燃气输配工程施工及验收规范》CJJ33-2005</w:t>
            </w:r>
          </w:p>
        </w:tc>
        <w:tc>
          <w:tcPr>
            <w:tcW w:w="11060" w:type="dxa"/>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承担燃气钢质管道、设备焊接的人员，必须具有锅炉压力容器压力管道特种设备操作人员资格证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焊接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焊工合格证书，且在证书的有效期及合格范围内从事焊接工作。间断焊接时间超过6个月，再次上岗前应重新考试；承担其他材质燃气管道安装的人员，必须经过专门培训，并经考试合格，间断安装时间超过6个月，再次上岗前应重新考试和技术评定。当使用的安装设备发生变化时，应针对该设备操作要求进行专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6.4.2.1 钢管下料切割及坡口加工应符合下列规定：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b）碳钢、碳锰钢可采用机械加工方法或火焰切割方法切割和制备坡口。合金钢宜采用机械加工方法切割和制备坡口。若采用火焰切割，切割后应采用机械加工或打磨方法去除热影响区。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c）跨越管道管段加工前应对管段的长度、管径和壁厚进行选配，每根钢管最小长度不宜小于8ｍ。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d）管材、管件切口表面应平整，尺寸应正确，并应无裂纹、重皮、毛刺、凸凹、缩口、熔渣、气化物、铁屑等现象。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f）坡口及边缘20mm内母材应无裂纹、重皮、破损、弧坑、氧化铁、毛刺缺陷及污染物。管道坡口加工尺寸应符合设计要求，设计无要求时应按GB50236的相关规定执行。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g）钢管如有凿痕、槽痕、凹陷、变形等有害缺陷，应按下列方法修复或消除后使用：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1）凿痕、槽痕可用砂轮磨去，但磨剩的厚度不得小于材料标准允许的最小厚度，否则，应将受损部分整段切除；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2）凹陷的深度不得超过公称管径的2%，凹陷位于纵向焊缝或环向焊缝处，应将凹陷处管道受损部分整段切除；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3）变形的管段超过钢管制造标准时，应废弃。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6.4.2.3 管口的组对应符合下列规定：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a）管口组对的坡口型式应符合焊接工艺规程的规定。管道组对应符合表23的规定。</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表23 管道组对规定</w:t>
            </w:r>
          </w:p>
          <w:tbl>
            <w:tblPr>
              <w:tblStyle w:val="121"/>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61"/>
              <w:gridCol w:w="61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检   查   项    目</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规   定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5"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管内清扫</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无污物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管口清理（10mm范围内）和修口</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管口完好无损，无铁锈油污、油漆、毛刺。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5"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管端螺旋焊缝或直缝余高打磨</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端部10mm范围内余高打磨掉，并平缓过渡。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两管口螺旋焊缝或直缝间距</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错开间距大于或等于100mm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错口和错口校正要求</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当壁厚t＜14mm时，不大于1.6m；</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当14mm＜t≤17mm时，不大于2mm；</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当17mm＜t≤21mm时，不大于2.2mm；</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当21mm＜t≤26mm时，不大于2.5mm；</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当t≥26mm时，不大于3mm。</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局部错边均不应大于3mm，错边沿周长均匀分布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钢管短节长度</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不应小于钢管外径值且不应小于0.5m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钢管对接偏差</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不应大于3°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2150" w:type="pct"/>
                  <w:tcBorders>
                    <w:lef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管端斜口</w:t>
                  </w:r>
                </w:p>
              </w:tc>
              <w:tc>
                <w:tcPr>
                  <w:tcW w:w="2849" w:type="pct"/>
                  <w:tcBorders>
                    <w:right w:val="single" w:color="000000" w:sz="6" w:space="0"/>
                  </w:tcBorders>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不能</w:t>
                  </w:r>
                </w:p>
              </w:tc>
            </w:tr>
          </w:tbl>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b）不应使用锤击的方法对管口整形。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c）不等壁厚对焊管端宜采用加过渡管或坡口过渡处理措施。壁厚差小于或等于2mm时可直接焊接，大于2mm时，应采用内削边处理，内坡角度宜为15°～30°，并应按图5进行加工修整。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d）管道连接时，不得采用强力对口。端面的间隙、偏差、错口或不同心等缺陷不得采用加热管道、加偏垫等方法消除。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e)</w:t>
            </w:r>
            <w:r>
              <w:rPr>
                <w:rFonts w:hint="eastAsia" w:ascii="宋体" w:hAnsi="宋体" w:eastAsia="宋体" w:cs="宋体"/>
                <w:color w:val="auto"/>
                <w:kern w:val="0"/>
                <w:sz w:val="21"/>
                <w:szCs w:val="21"/>
                <w:highlight w:val="none"/>
                <w:lang w:bidi="ar"/>
              </w:rPr>
              <w:t xml:space="preserve">当允许在根焊道完成前撤离对口器时，则在卸下对口器前，完成的根焊道应均匀分布于管口圆周，且每段焊道长度和间距近似相等；如使用内对口器，应在卸去内对口器张力前焊完全部根焊道；在外对口器撤离前，完成的根焊道应均匀分布于管口圆周，焊道累计长度应不少于管周长的50%。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f）弯管吊装安装时，弯管上的吊点设置不应少于3个且绑扎牢固，安装过程中不得出现弯管突然翻转现象。</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h</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钢质燃气管道穿越化粪池、窖井、雨、污水井、电缆井、热力井、人防工事等地下设施且与各设施净距小于1m时，应增设套管，套管管径宜大于穿越管二级管径以上，套管长度为套管两端与各地下设施最外侧垂直净距，宜大于2m。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6.4.2.4 钢制管道焊接应符合下列规定：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a）一般规定：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1）在进行正式焊接施工前，应根据评定合格的焊接工艺编制焊接工艺规程。焊接工艺规程在管道焊接作业时应严格执行。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焊接所用设备应配有指示焊接工艺参数的电流表、电压表，气压表和流量表应读数准确并能够满足焊接工艺要求，具有良好的工作状态和安全性，适合于野外工作条件。不符合要求的焊接设备应予以更换或维修。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3）新建管道与原有管道停气或带气接线前应调查原有管道的材质情况，根据材质情况确定符合的焊接工艺或进行焊接工艺评定。焊接工艺评定应符合 NB/T47014的相关规定。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管道焊缝距离支管或管接头的开孔边缘不应小于50mm，且不应小于孔径。当无法避免在管道焊缝上开孔或开孔补强时，应对开孔直径1.5倍或开孔补强板直径范围内的焊缝进行射线或超声检测，补强板覆盖的焊缝应磨平，管孔边缘不应存在焊缝缺陷。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5）管道环焊缝距支、吊架净距不得小于50mm。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6）施焊时不应在坡口以外的管壁上引弧；焊机地线与管道连接应采用专用卡具，防止地线与管壁产生电弧而烧伤管材；对于防腐管，焊前应在焊缝两端的管口缠绕一周宽度为0.5m的保护层。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施焊时焊接的环境温度应符合焊件焊接所需的温度，并不影响焊工的操作技能。同时焊条电弧焊、自保护药芯焊丝电弧焊、埋弧焊焊接时的风速不应大于8m/s；钨极惰性气体保护电弧焊、熔化极气体保护电弧焊和二氧化碳气体保护焊，风速不应大于2m/s；低氢型焊条电弧焊，风速不应大于5m/s；当超过规定时应有防风设施。焊接电弧1m范围内的相对湿度不得大于90%。</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c）焊前预热：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2）需要预热的焊件，其层间温度应不低于预热温度，碳钢和低合金钢的最高预热温度和道间温度不宜大于250℃；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3）当焊接两种具有不同预热要求的材料时，应以预热要求较高的材料为准；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预热应均匀达到要求，层间温度宜用相同的加热方式保持，在实际施焊期间温度不应降至最低值以下。预热宜选用合适的测温工具，保证在焊接前和焊接过程中及时获得温度数据。温度测量仪表应经检定或校准合格。</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ｅ）焊接过程控制：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1）管道焊接应符合焊接工艺规程的要求；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2）根焊完成后应立即进行填充焊；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3）管道接头应进行打磨，相邻两层的接头不得重叠，应错开30mm以上；各焊道宜连续焊接，焊接过程中，应控制道间温度；焊道上的焊渣，在下一道焊接前应清除干净；焊口完成后应清除表面焊渣和飞溅物；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4）焊口宜当日焊完，当日不能完成的应至少完成管壁厚的50%，且不应少于3层；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5）在焊接作业中，焊工应对自己所焊的焊道进行自检和修补工作，每处修补长度不应小于50mm；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6）对需要后热或热处理的焊缝，应按焊接工艺规程的规定进行处理；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f）焊缝缺陷的清除和修补：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1）焊缝缺陷的清除和修补应符合 NB/T47014的要求；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2）电弧烧痕应打磨掉，打磨后剩余壁厚应不小于材料标准允许的最小厚度，否则应将含有电弧烧痕的这部分钢管整段切除；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3）焊缝在同一部位的返修，不应超过2次。根部只允许返修1次，非裂纹性缺陷修补长度不应小于50mm，否则应将该焊缝切除。返修后，按原标准检测。裂纹性缺陷应切除。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埋地管道敷设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钢管焊缝质量外观检查、无损检测及合格等级、返修等应符合设计及相关标准要求。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《城镇燃气输配工程施工及验收规范》CJJ33-2005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5.2.6 管道焊接完成后，强度试验及严密性试验之前，必须对所有焊缝进行外观检查和对焊缝内部质量进行检验，外观检查应在内部质量检验前进行。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7.2.3.3.1 无损检测应在目视检查合格后进行。</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7.2.3.3.2 钢质管道无损检测应符合下列规定：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a）无损检测应按NB/T47013.2-2015、NB/T47013.3-2015、NB/T47013.4-2015、NB/T47013.5-2015的规定进行；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b）除设计文件另有规定外，现场焊接的管道及管道组成件的对接环焊缝、对接式支管连接焊缝应进行射线检测或超声检测；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c）射线检测复验、抽查时，若发现不合格焊口，应对该焊工或流水作业焊工组在该日或该检查段中焊接的焊口加倍检查，如再有不合格的焊口，则对其余的焊口进行100%的射线检测；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d）管道采用全自动超声检测时，可不进行射线检测复查；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e）</w:t>
            </w:r>
            <w:r>
              <w:rPr>
                <w:rFonts w:hint="eastAsia" w:ascii="宋体" w:hAnsi="宋体" w:eastAsia="宋体" w:cs="宋体"/>
                <w:color w:val="auto"/>
                <w:kern w:val="0"/>
                <w:sz w:val="21"/>
                <w:szCs w:val="21"/>
                <w:highlight w:val="none"/>
                <w:lang w:bidi="ar"/>
              </w:rPr>
              <w:t>要抽查的无损检测焊接接头位置及检查点应由监理选择或批准。</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7.3.1.3 焊缝检查、检测比例及合格标准应符合表30的规定，并应符合下列要求：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a）管道焊缝外观检查的合格标准应符合GB50683-2011的规定；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b）管道焊缝无损检验的合格标准应符合NB/T47013.2-2015和NB/T47013.3-2015的规定；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c）有延迟裂纹倾向的管道焊口应在24h后进行无损检测。</w:t>
            </w:r>
          </w:p>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表30 焊缝质量检验比例及合格标准</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1335"/>
              <w:gridCol w:w="1337"/>
              <w:gridCol w:w="1335"/>
              <w:gridCol w:w="1337"/>
              <w:gridCol w:w="133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Merge w:val="restar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233" w:type="pct"/>
                  <w:gridSpan w:val="2"/>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焊缝外观</w:t>
                  </w:r>
                </w:p>
              </w:tc>
              <w:tc>
                <w:tcPr>
                  <w:tcW w:w="1233" w:type="pct"/>
                  <w:gridSpan w:val="2"/>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射线检测</w:t>
                  </w:r>
                </w:p>
              </w:tc>
              <w:tc>
                <w:tcPr>
                  <w:tcW w:w="1235" w:type="pct"/>
                  <w:gridSpan w:val="2"/>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vMerge w:val="continue"/>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比例</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合格标准</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比例</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合格标准</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比例</w:t>
                  </w:r>
                </w:p>
              </w:tc>
              <w:tc>
                <w:tcPr>
                  <w:tcW w:w="618"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设计压力大于4.0MPa在三类地区及以上管道焊口</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8"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设计压力小于或等于4.0MPa且大于0.4MPa 管道焊口</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8"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设计压力小于或等于0.4MPa管道焊口</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w:t>
                  </w:r>
                </w:p>
              </w:tc>
              <w:tc>
                <w:tcPr>
                  <w:tcW w:w="1235" w:type="pct"/>
                  <w:gridSpan w:val="2"/>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穿越或跨越铁路、公路、河流、桥梁、城市地铁等地的管道焊口</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8"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车行道下、套管和过街沟内全部管道</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1235" w:type="pct"/>
                  <w:gridSpan w:val="2"/>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固定焊口</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8"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设计压力小于或等于4.0MPa液态液化石油气管道焊口</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8"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综合管廊内的管道</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8"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有延迟裂纹倾向的管道焊口</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616"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18" w:type="pct"/>
                </w:tcPr>
                <w:p>
                  <w:pPr>
                    <w:pStyle w:val="17"/>
                    <w:keepNext w:val="0"/>
                    <w:keepLines w:val="0"/>
                    <w:pageBreakBefore w:val="0"/>
                    <w:kinsoku/>
                    <w:wordWrap/>
                    <w:overflowPunct/>
                    <w:topLinePunct w:val="0"/>
                    <w:autoSpaceDE/>
                    <w:autoSpaceDN/>
                    <w:bidi w:val="0"/>
                    <w:spacing w:before="0" w:beforeAutospacing="0" w:after="0" w:afterAutospacing="0"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w:t>
                  </w:r>
                </w:p>
              </w:tc>
            </w:tr>
          </w:tbl>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7.3.1.4 对焊缝进行抽查时，同一项目每位焊工不应少于一条焊缝，并应侧重抽查固定焊口。每出现一道不合格焊缝，应增加检测同一焊工两道焊缝，二次抽检仍出现不合格时，应对该焊工本项目同批施焊的全部焊缝进行检验，且应采用同样的检验方法。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7.3.1.5 对检验不合格的焊缝应进行现场返修，并应对全部返修的焊缝进行无损探伤检验。同一焊缝返修次数不应超过2次，根部缺陷只允许返修1次。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3.2.3.4</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埋地管道敷设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埋地钢质管道敷设应符合设计和相关标准要求。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5.1.21 </w:t>
            </w:r>
            <w:r>
              <w:rPr>
                <w:rFonts w:hint="eastAsia" w:ascii="宋体" w:hAnsi="宋体" w:eastAsia="宋体" w:cs="宋体"/>
                <w:color w:val="auto"/>
                <w:sz w:val="21"/>
                <w:szCs w:val="21"/>
                <w:highlight w:val="none"/>
                <w:lang w:bidi="zh-TW"/>
              </w:rPr>
              <w:t>埋地钢质输配管道埋设前，应对防腐层进行100%外观检查，防腐层表面不得出现气泡、破损、裂纹、剥离等缺陷。不符合质量要求时，应返工处理直至合格。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《城镇燃气输配工程施工及验收规范》CJJ33-2005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5.4.8 管道对口前应将管道、管件内部清理干净，不得存有杂物。每次收工时，敞口管端应临时封堵。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5.1.3.2.8 当钢管采用弹性弯曲敷设时，应符合下列要求：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b）在相邻的反向弯曲管段之间应采用直管段连接，直管段长度不应小于钢管的外径，且不应小于500mm。</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5.1.3.2.9 热煨弯管和冷弯管不应使用褶皱弯和虾米弯，管道对接偏差不应大于3°。</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6.4.2.2钢管安装应符合下列规定：</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b）管道安装前，管道、管件、阀门等内部已清理干净、无杂物。对管内有特殊要求的管道，其质量应符合设计文件的规定。</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ｅ）管道固定口连头：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1）固定口连头前应及时将管道临时封堵装置、护口器、防尘盖等拆除方可进行连头工作；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2）固定口留头位置地形宜选择在地势较高处，沟底比设计深度加深500mm～800mm，连头处人行通道修成阶梯形，沟壁应坚实，对不良地质应加设防护装置；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3）固定口连头前，两侧宜各留出60m管线不回填，并且连头处两管头应对中，连头宜有2根～3根管长度；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4）固定口连头应参与整体管道试压，若“固定口”两侧管道已分段试压合格，该焊口应经双百无损检测；</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6.4.2.6 管道下管应符合下列规定：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管道应采用起重设备进行下沟，不得使用推土机或撬杠等非起重工具；采用多台起重设备下沟时，起重设备不宜少于3台，起吊点距离管道环焊缝不应小于2m。起吊高度以1m为宜，吊点间距应符合GB50369的相关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c）管道下沟时，应注意避免与沟壁碰撞，以防止擦伤防腐层。管道应与沟底充分结合，局部悬空应用细土填塞密实。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埋地管道敷设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r>
              <w:rPr>
                <w:rFonts w:hint="eastAsia" w:ascii="宋体" w:hAnsi="宋体" w:eastAsia="宋体" w:cs="宋体"/>
                <w:color w:val="auto"/>
                <w:sz w:val="21"/>
                <w:szCs w:val="21"/>
                <w:highlight w:val="none"/>
              </w:rPr>
              <w:t>聚乙烯燃气管道的敷设应符合设计和相关标准要求。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1.0.3 </w:t>
            </w:r>
            <w:r>
              <w:rPr>
                <w:rFonts w:hint="eastAsia" w:ascii="宋体" w:hAnsi="宋体" w:eastAsia="宋体" w:cs="宋体"/>
                <w:color w:val="auto"/>
                <w:sz w:val="21"/>
                <w:szCs w:val="21"/>
                <w:highlight w:val="none"/>
              </w:rPr>
              <w:t>聚乙烯燃气管道严禁明设。</w:t>
            </w:r>
          </w:p>
          <w:p>
            <w:pPr>
              <w:pStyle w:val="115"/>
              <w:keepNext w:val="0"/>
              <w:keepLines w:val="0"/>
              <w:pageBreakBefore w:val="0"/>
              <w:tabs>
                <w:tab w:val="left" w:pos="530"/>
              </w:tabs>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5.1.2 </w:t>
            </w:r>
            <w:r>
              <w:rPr>
                <w:rFonts w:hint="eastAsia" w:ascii="宋体" w:hAnsi="宋体" w:eastAsia="宋体" w:cs="宋体"/>
                <w:color w:val="auto"/>
                <w:sz w:val="21"/>
                <w:szCs w:val="21"/>
                <w:highlight w:val="none"/>
              </w:rPr>
              <w:t>聚乙烯燃气管道的连接应符合下列规定：</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聚乙烯管材与管件、阀门的连接应采用热熔对接或电熔连接（电熔承插连接、电</w:t>
            </w:r>
            <w:r>
              <w:rPr>
                <w:rFonts w:hint="eastAsia" w:ascii="宋体" w:hAnsi="宋体" w:eastAsia="宋体" w:cs="宋体"/>
                <w:color w:val="auto"/>
                <w:sz w:val="21"/>
                <w:szCs w:val="21"/>
                <w:highlight w:val="none"/>
                <w:lang w:eastAsia="zh-CN"/>
              </w:rPr>
              <w:t>熔</w:t>
            </w:r>
            <w:r>
              <w:rPr>
                <w:rFonts w:hint="eastAsia" w:ascii="宋体" w:hAnsi="宋体" w:eastAsia="宋体" w:cs="宋体"/>
                <w:color w:val="auto"/>
                <w:sz w:val="21"/>
                <w:szCs w:val="21"/>
                <w:highlight w:val="none"/>
              </w:rPr>
              <w:t>鞍形连接）方式，不得采用螺纹连接或粘接。</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聚乙烯管材与金属管道或金属附件连接时，应采用钢塑转换管件连接或法兰连接；当采用法兰连接时，宜设置</w:t>
            </w:r>
            <w:r>
              <w:rPr>
                <w:rFonts w:hint="eastAsia" w:ascii="宋体" w:hAnsi="宋体" w:eastAsia="宋体" w:cs="宋体"/>
                <w:color w:val="auto"/>
                <w:sz w:val="21"/>
                <w:szCs w:val="21"/>
                <w:highlight w:val="none"/>
                <w:lang w:eastAsia="zh-CN"/>
              </w:rPr>
              <w:t>检查井</w:t>
            </w:r>
            <w:r>
              <w:rPr>
                <w:rFonts w:hint="eastAsia" w:ascii="宋体" w:hAnsi="宋体" w:eastAsia="宋体" w:cs="宋体"/>
                <w:color w:val="auto"/>
                <w:sz w:val="21"/>
                <w:szCs w:val="21"/>
                <w:highlight w:val="none"/>
              </w:rPr>
              <w:t>。</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聚乙烯管材、管件和阀门的连接在下列情况下应采用电熔连接：</w:t>
            </w:r>
          </w:p>
          <w:p>
            <w:pPr>
              <w:pStyle w:val="123"/>
              <w:keepNext w:val="0"/>
              <w:keepLines w:val="0"/>
              <w:pageBreakBefore w:val="0"/>
              <w:widowControl w:val="0"/>
              <w:numPr>
                <w:ilvl w:val="0"/>
                <w:numId w:val="9"/>
              </w:numPr>
              <w:tabs>
                <w:tab w:val="left" w:pos="987"/>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lang w:val="zh-TW" w:bidi="zh-TW"/>
              </w:rPr>
            </w:pPr>
            <w:r>
              <w:rPr>
                <w:rFonts w:hint="eastAsia" w:ascii="宋体" w:hAnsi="宋体" w:eastAsia="宋体" w:cs="宋体"/>
                <w:color w:val="auto"/>
                <w:sz w:val="21"/>
                <w:szCs w:val="21"/>
                <w:highlight w:val="none"/>
                <w:lang w:val="zh-TW" w:eastAsia="zh-TW" w:bidi="zh-TW"/>
              </w:rPr>
              <w:t>不同级别</w:t>
            </w:r>
            <w:r>
              <w:rPr>
                <w:rFonts w:hint="eastAsia" w:ascii="宋体" w:hAnsi="宋体" w:eastAsia="宋体" w:cs="宋体"/>
                <w:color w:val="auto"/>
                <w:sz w:val="21"/>
                <w:szCs w:val="21"/>
                <w:highlight w:val="none"/>
                <w:lang w:bidi="zh-TW"/>
              </w:rPr>
              <w:t>（PE80</w:t>
            </w:r>
            <w:r>
              <w:rPr>
                <w:rFonts w:hint="eastAsia" w:ascii="宋体" w:hAnsi="宋体" w:eastAsia="宋体" w:cs="宋体"/>
                <w:color w:val="auto"/>
                <w:sz w:val="21"/>
                <w:szCs w:val="21"/>
                <w:highlight w:val="none"/>
                <w:lang w:val="zh-TW" w:eastAsia="zh-TW" w:bidi="zh-TW"/>
              </w:rPr>
              <w:t>与</w:t>
            </w:r>
            <w:r>
              <w:rPr>
                <w:rFonts w:hint="eastAsia" w:ascii="宋体" w:hAnsi="宋体" w:eastAsia="宋体" w:cs="宋体"/>
                <w:color w:val="auto"/>
                <w:sz w:val="21"/>
                <w:szCs w:val="21"/>
                <w:highlight w:val="none"/>
                <w:lang w:bidi="zh-TW"/>
              </w:rPr>
              <w:t>PE100）</w:t>
            </w:r>
            <w:r>
              <w:rPr>
                <w:rFonts w:hint="eastAsia" w:ascii="宋体" w:hAnsi="宋体" w:eastAsia="宋体" w:cs="宋体"/>
                <w:color w:val="auto"/>
                <w:sz w:val="21"/>
                <w:szCs w:val="21"/>
                <w:highlight w:val="none"/>
                <w:lang w:val="zh-TW" w:bidi="zh-TW"/>
              </w:rPr>
              <w:t>；</w:t>
            </w:r>
          </w:p>
          <w:p>
            <w:pPr>
              <w:pStyle w:val="123"/>
              <w:keepNext w:val="0"/>
              <w:keepLines w:val="0"/>
              <w:pageBreakBefore w:val="0"/>
              <w:widowControl w:val="0"/>
              <w:numPr>
                <w:ilvl w:val="0"/>
                <w:numId w:val="9"/>
              </w:numPr>
              <w:tabs>
                <w:tab w:val="left" w:pos="987"/>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bidi="zh-TW"/>
              </w:rPr>
              <w:t>熔体质量流动速率差值大于等于</w:t>
            </w:r>
            <w:r>
              <w:rPr>
                <w:rFonts w:hint="eastAsia" w:ascii="宋体" w:hAnsi="宋体" w:eastAsia="宋体" w:cs="宋体"/>
                <w:color w:val="auto"/>
                <w:sz w:val="21"/>
                <w:szCs w:val="21"/>
                <w:highlight w:val="none"/>
                <w:lang w:eastAsia="zh-TW" w:bidi="zh-TW"/>
              </w:rPr>
              <w:t>0.5g/10min（190℃</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eastAsia="zh-TW" w:bidi="zh-TW"/>
              </w:rPr>
              <w:t>5kg）；</w:t>
            </w:r>
          </w:p>
          <w:p>
            <w:pPr>
              <w:pStyle w:val="123"/>
              <w:keepNext w:val="0"/>
              <w:keepLines w:val="0"/>
              <w:pageBreakBefore w:val="0"/>
              <w:widowControl w:val="0"/>
              <w:numPr>
                <w:ilvl w:val="0"/>
                <w:numId w:val="9"/>
              </w:numPr>
              <w:tabs>
                <w:tab w:val="left" w:pos="987"/>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rPr>
              <w:t>焊接端部标准尺寸比（</w:t>
            </w:r>
            <w:r>
              <w:rPr>
                <w:rFonts w:hint="eastAsia" w:ascii="宋体" w:hAnsi="宋体" w:eastAsia="宋体" w:cs="宋体"/>
                <w:color w:val="auto"/>
                <w:sz w:val="21"/>
                <w:szCs w:val="21"/>
                <w:highlight w:val="none"/>
                <w:lang w:val="en-US" w:bidi="en-US"/>
              </w:rPr>
              <w:t>SDR）</w:t>
            </w:r>
            <w:r>
              <w:rPr>
                <w:rFonts w:hint="eastAsia" w:ascii="宋体" w:hAnsi="宋体" w:eastAsia="宋体" w:cs="宋体"/>
                <w:color w:val="auto"/>
                <w:sz w:val="21"/>
                <w:szCs w:val="21"/>
                <w:highlight w:val="none"/>
              </w:rPr>
              <w:t>不同；</w:t>
            </w:r>
          </w:p>
          <w:p>
            <w:pPr>
              <w:pStyle w:val="123"/>
              <w:keepNext w:val="0"/>
              <w:keepLines w:val="0"/>
              <w:pageBreakBefore w:val="0"/>
              <w:widowControl w:val="0"/>
              <w:numPr>
                <w:ilvl w:val="0"/>
                <w:numId w:val="9"/>
              </w:numPr>
              <w:tabs>
                <w:tab w:val="left" w:pos="987"/>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rPr>
              <w:t>公称外径小于</w:t>
            </w:r>
            <w:r>
              <w:rPr>
                <w:rFonts w:hint="eastAsia" w:ascii="宋体" w:hAnsi="宋体" w:eastAsia="宋体" w:cs="宋体"/>
                <w:color w:val="auto"/>
                <w:sz w:val="21"/>
                <w:szCs w:val="21"/>
                <w:highlight w:val="none"/>
                <w:lang w:val="en-US"/>
              </w:rPr>
              <w:t>90mm</w:t>
            </w:r>
            <w:r>
              <w:rPr>
                <w:rFonts w:hint="eastAsia" w:ascii="宋体" w:hAnsi="宋体" w:eastAsia="宋体" w:cs="宋体"/>
                <w:color w:val="auto"/>
                <w:sz w:val="21"/>
                <w:szCs w:val="21"/>
                <w:highlight w:val="none"/>
              </w:rPr>
              <w:t>或壁厚小于</w:t>
            </w:r>
            <w:r>
              <w:rPr>
                <w:rFonts w:hint="eastAsia" w:ascii="宋体" w:hAnsi="宋体" w:eastAsia="宋体" w:cs="宋体"/>
                <w:color w:val="auto"/>
                <w:sz w:val="21"/>
                <w:szCs w:val="21"/>
                <w:highlight w:val="none"/>
                <w:lang w:val="en-US"/>
              </w:rPr>
              <w:t>6mm</w:t>
            </w:r>
            <w:r>
              <w:rPr>
                <w:rFonts w:hint="eastAsia" w:ascii="宋体" w:hAnsi="宋体" w:eastAsia="宋体" w:cs="宋体"/>
                <w:color w:val="auto"/>
                <w:sz w:val="21"/>
                <w:szCs w:val="21"/>
                <w:highlight w:val="none"/>
                <w:lang w:val="en-US" w:bidi="en-US"/>
              </w:rPr>
              <w:t>。</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5.1.3 </w:t>
            </w:r>
            <w:r>
              <w:rPr>
                <w:rFonts w:hint="eastAsia" w:ascii="宋体" w:hAnsi="宋体" w:eastAsia="宋体" w:cs="宋体"/>
                <w:color w:val="auto"/>
                <w:sz w:val="21"/>
                <w:szCs w:val="21"/>
                <w:highlight w:val="none"/>
              </w:rPr>
              <w:t>聚乙烯燃气管道连接应根据不同连接形式选用专用的</w:t>
            </w:r>
            <w:r>
              <w:rPr>
                <w:rFonts w:hint="eastAsia" w:ascii="宋体" w:hAnsi="宋体" w:eastAsia="宋体" w:cs="宋体"/>
                <w:color w:val="auto"/>
                <w:sz w:val="21"/>
                <w:szCs w:val="21"/>
                <w:highlight w:val="none"/>
                <w:lang w:eastAsia="zh-CN"/>
              </w:rPr>
              <w:t>熔</w:t>
            </w:r>
            <w:r>
              <w:rPr>
                <w:rFonts w:hint="eastAsia" w:ascii="宋体" w:hAnsi="宋体" w:eastAsia="宋体" w:cs="宋体"/>
                <w:color w:val="auto"/>
                <w:sz w:val="21"/>
                <w:szCs w:val="21"/>
                <w:highlight w:val="none"/>
              </w:rPr>
              <w:t>接设备。连接时，严禁采用明火加热。热熔对接熔接设备应符合现行国家标准《塑料管材和管件聚乙烯系统熔接设备第1部分：热焰对接》</w:t>
            </w:r>
            <w:r>
              <w:rPr>
                <w:rFonts w:hint="eastAsia" w:ascii="宋体" w:hAnsi="宋体" w:eastAsia="宋体" w:cs="宋体"/>
                <w:color w:val="auto"/>
                <w:sz w:val="21"/>
                <w:szCs w:val="21"/>
                <w:highlight w:val="none"/>
                <w:lang w:val="en-US" w:eastAsia="zh-CN" w:bidi="en-US"/>
              </w:rPr>
              <w:t>GB/T</w:t>
            </w:r>
            <w:r>
              <w:rPr>
                <w:rFonts w:hint="eastAsia" w:ascii="宋体" w:hAnsi="宋体" w:eastAsia="宋体" w:cs="宋体"/>
                <w:color w:val="auto"/>
                <w:sz w:val="21"/>
                <w:szCs w:val="21"/>
                <w:highlight w:val="none"/>
                <w:lang w:val="en-US" w:eastAsia="zh-CN" w:bidi="en-US"/>
              </w:rPr>
              <w:t>20674.1</w:t>
            </w:r>
            <w:r>
              <w:rPr>
                <w:rFonts w:hint="eastAsia" w:ascii="宋体" w:hAnsi="宋体" w:eastAsia="宋体" w:cs="宋体"/>
                <w:color w:val="auto"/>
                <w:sz w:val="21"/>
                <w:szCs w:val="21"/>
                <w:highlight w:val="none"/>
              </w:rPr>
              <w:t>的有关规定；电橢连接熔接设备应符合现行国家标准《塑料管材和管件聚乙烯系统橢接设备第2部分：电熔连接》</w:t>
            </w:r>
            <w:r>
              <w:rPr>
                <w:rFonts w:hint="eastAsia" w:ascii="宋体" w:hAnsi="宋体" w:eastAsia="宋体" w:cs="宋体"/>
                <w:color w:val="auto"/>
                <w:sz w:val="21"/>
                <w:szCs w:val="21"/>
                <w:highlight w:val="none"/>
                <w:lang w:val="en-US" w:eastAsia="zh-CN" w:bidi="en-US"/>
              </w:rPr>
              <w:t>GB/T</w:t>
            </w:r>
            <w:r>
              <w:rPr>
                <w:rFonts w:hint="eastAsia" w:ascii="宋体" w:hAnsi="宋体" w:eastAsia="宋体" w:cs="宋体"/>
                <w:color w:val="auto"/>
                <w:sz w:val="21"/>
                <w:szCs w:val="21"/>
                <w:highlight w:val="none"/>
                <w:lang w:val="en-US" w:eastAsia="zh-CN" w:bidi="en-US"/>
              </w:rPr>
              <w:t>20674.</w:t>
            </w:r>
            <w:r>
              <w:rPr>
                <w:rFonts w:hint="eastAsia" w:ascii="宋体" w:hAnsi="宋体" w:eastAsia="宋体" w:cs="宋体"/>
                <w:color w:val="auto"/>
                <w:sz w:val="21"/>
                <w:szCs w:val="21"/>
                <w:highlight w:val="none"/>
              </w:rPr>
              <w:t>2的有关规定。熔接设备应定期进行校准和检定，周期不应超过1年。对于电压不稳定区域应增加稳压装置。</w:t>
            </w:r>
          </w:p>
          <w:p>
            <w:pPr>
              <w:pStyle w:val="115"/>
              <w:keepNext w:val="0"/>
              <w:keepLines w:val="0"/>
              <w:pageBreakBefore w:val="0"/>
              <w:kinsoku/>
              <w:wordWrap/>
              <w:overflowPunct/>
              <w:topLinePunct w:val="0"/>
              <w:autoSpaceDE/>
              <w:autoSpaceDN/>
              <w:bidi w:val="0"/>
              <w:spacing w:line="260" w:lineRule="atLeast"/>
              <w:ind w:left="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5.1.4 </w:t>
            </w:r>
            <w:r>
              <w:rPr>
                <w:rFonts w:hint="eastAsia" w:ascii="宋体" w:hAnsi="宋体" w:eastAsia="宋体" w:cs="宋体"/>
                <w:color w:val="auto"/>
                <w:sz w:val="21"/>
                <w:szCs w:val="21"/>
                <w:highlight w:val="none"/>
              </w:rPr>
              <w:t>聚乙烯燃气管道热</w:t>
            </w:r>
            <w:r>
              <w:rPr>
                <w:rFonts w:hint="eastAsia" w:ascii="宋体" w:hAnsi="宋体" w:eastAsia="宋体" w:cs="宋体"/>
                <w:color w:val="auto"/>
                <w:sz w:val="21"/>
                <w:szCs w:val="21"/>
                <w:highlight w:val="none"/>
                <w:lang w:eastAsia="zh-CN"/>
              </w:rPr>
              <w:t>熔</w:t>
            </w:r>
            <w:r>
              <w:rPr>
                <w:rFonts w:hint="eastAsia" w:ascii="宋体" w:hAnsi="宋体" w:eastAsia="宋体" w:cs="宋体"/>
                <w:color w:val="auto"/>
                <w:sz w:val="21"/>
                <w:szCs w:val="21"/>
                <w:highlight w:val="none"/>
              </w:rPr>
              <w:t>连接或电熔连接的环境温度宜在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en-US"/>
              </w:rPr>
              <w:t>40℃</w:t>
            </w:r>
            <w:r>
              <w:rPr>
                <w:rFonts w:hint="eastAsia" w:ascii="宋体" w:hAnsi="宋体" w:eastAsia="宋体" w:cs="宋体"/>
                <w:color w:val="auto"/>
                <w:sz w:val="21"/>
                <w:szCs w:val="21"/>
                <w:highlight w:val="none"/>
              </w:rPr>
              <w:t>范围内，并应符合下列规定：</w:t>
            </w:r>
          </w:p>
          <w:p>
            <w:pPr>
              <w:pStyle w:val="115"/>
              <w:keepNext w:val="0"/>
              <w:keepLines w:val="0"/>
              <w:pageBreakBefore w:val="0"/>
              <w:kinsoku/>
              <w:wordWrap/>
              <w:overflowPunct/>
              <w:topLinePunct w:val="0"/>
              <w:autoSpaceDE/>
              <w:autoSpaceDN/>
              <w:bidi w:val="0"/>
              <w:spacing w:line="260" w:lineRule="atLeast"/>
              <w:ind w:left="210" w:leftChars="10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当环境温度低于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en-US"/>
              </w:rPr>
              <w:t>5'C</w:t>
            </w:r>
            <w:r>
              <w:rPr>
                <w:rFonts w:hint="eastAsia" w:ascii="宋体" w:hAnsi="宋体" w:eastAsia="宋体" w:cs="宋体"/>
                <w:color w:val="auto"/>
                <w:sz w:val="21"/>
                <w:szCs w:val="21"/>
                <w:highlight w:val="none"/>
              </w:rPr>
              <w:t>时，应</w:t>
            </w:r>
            <w:r>
              <w:rPr>
                <w:rFonts w:hint="eastAsia" w:ascii="宋体" w:hAnsi="宋体" w:eastAsia="宋体" w:cs="宋体"/>
                <w:color w:val="auto"/>
                <w:sz w:val="21"/>
                <w:szCs w:val="21"/>
                <w:highlight w:val="none"/>
                <w:lang w:eastAsia="zh-CN"/>
              </w:rPr>
              <w:t>采取</w:t>
            </w:r>
            <w:r>
              <w:rPr>
                <w:rFonts w:hint="eastAsia" w:ascii="宋体" w:hAnsi="宋体" w:eastAsia="宋体" w:cs="宋体"/>
                <w:color w:val="auto"/>
                <w:sz w:val="21"/>
                <w:szCs w:val="21"/>
                <w:highlight w:val="none"/>
              </w:rPr>
              <w:t>保温措施；</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当风力大于5级时，应采取防风措施；</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夏季应采取遮阳措施；</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雨天应采取防雨措施。</w:t>
            </w:r>
          </w:p>
          <w:p>
            <w:pPr>
              <w:pStyle w:val="115"/>
              <w:keepNext w:val="0"/>
              <w:keepLines w:val="0"/>
              <w:pageBreakBefore w:val="0"/>
              <w:tabs>
                <w:tab w:val="left" w:pos="1000"/>
              </w:tabs>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5.1.5</w:t>
            </w:r>
            <w:r>
              <w:rPr>
                <w:rFonts w:hint="eastAsia" w:ascii="宋体" w:hAnsi="宋体" w:eastAsia="宋体" w:cs="宋体"/>
                <w:color w:val="auto"/>
                <w:sz w:val="21"/>
                <w:szCs w:val="21"/>
                <w:highlight w:val="none"/>
                <w:lang w:val="en-US" w:eastAsia="zh-CN" w:bidi="en-US"/>
              </w:rPr>
              <w:t xml:space="preserve"> </w:t>
            </w:r>
            <w:r>
              <w:rPr>
                <w:rFonts w:hint="eastAsia" w:ascii="宋体" w:hAnsi="宋体" w:eastAsia="宋体" w:cs="宋体"/>
                <w:color w:val="auto"/>
                <w:sz w:val="21"/>
                <w:szCs w:val="21"/>
                <w:highlight w:val="none"/>
              </w:rPr>
              <w:t>聚乙烯管道连接时，管材的切割应采用专用割刀或切管工具，切割端面应垂直于管道轴线，并应平整、光滑、无毛刺。</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5.5.3 </w:t>
            </w:r>
            <w:r>
              <w:rPr>
                <w:rFonts w:hint="eastAsia" w:ascii="宋体" w:hAnsi="宋体" w:eastAsia="宋体" w:cs="宋体"/>
                <w:color w:val="auto"/>
                <w:sz w:val="21"/>
                <w:szCs w:val="21"/>
                <w:highlight w:val="none"/>
              </w:rPr>
              <w:t>钢塑转换管件的钢管端与钢管焊接时，应对钢塑过渡段采取降温措施。</w:t>
            </w:r>
          </w:p>
          <w:p>
            <w:pPr>
              <w:pStyle w:val="115"/>
              <w:keepNext w:val="0"/>
              <w:keepLines w:val="0"/>
              <w:pageBreakBefore w:val="0"/>
              <w:tabs>
                <w:tab w:val="left" w:pos="1000"/>
              </w:tabs>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5.5.4 </w:t>
            </w:r>
            <w:r>
              <w:rPr>
                <w:rFonts w:hint="eastAsia" w:ascii="宋体" w:hAnsi="宋体" w:eastAsia="宋体" w:cs="宋体"/>
                <w:color w:val="auto"/>
                <w:sz w:val="21"/>
                <w:szCs w:val="21"/>
                <w:highlight w:val="none"/>
              </w:rPr>
              <w:t>钢塑转换管件连接后应对接头进行防腐处理，防腐等级应</w:t>
            </w:r>
            <w:r>
              <w:rPr>
                <w:rFonts w:hint="eastAsia" w:ascii="宋体" w:hAnsi="宋体" w:eastAsia="宋体" w:cs="宋体"/>
                <w:color w:val="auto"/>
                <w:sz w:val="21"/>
                <w:szCs w:val="21"/>
                <w:highlight w:val="none"/>
                <w:lang w:eastAsia="zh-CN"/>
              </w:rPr>
              <w:t>满足</w:t>
            </w:r>
            <w:r>
              <w:rPr>
                <w:rFonts w:hint="eastAsia" w:ascii="宋体" w:hAnsi="宋体" w:eastAsia="宋体" w:cs="宋体"/>
                <w:color w:val="auto"/>
                <w:sz w:val="21"/>
                <w:szCs w:val="21"/>
                <w:highlight w:val="none"/>
              </w:rPr>
              <w:t>设计要求，并应检验合格。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bidi="zh-CN"/>
              </w:rPr>
              <w:t>6.</w:t>
            </w:r>
            <w:r>
              <w:rPr>
                <w:rFonts w:hint="eastAsia" w:ascii="宋体" w:hAnsi="宋体" w:eastAsia="宋体" w:cs="宋体"/>
                <w:color w:val="auto"/>
                <w:sz w:val="21"/>
                <w:szCs w:val="21"/>
                <w:highlight w:val="none"/>
                <w:lang w:bidi="en-US"/>
              </w:rPr>
              <w:t>4.</w:t>
            </w:r>
            <w:r>
              <w:rPr>
                <w:rFonts w:hint="eastAsia" w:ascii="宋体" w:hAnsi="宋体" w:eastAsia="宋体" w:cs="宋体"/>
                <w:color w:val="auto"/>
                <w:sz w:val="21"/>
                <w:szCs w:val="21"/>
                <w:highlight w:val="none"/>
                <w:lang w:val="zh-CN" w:bidi="zh-CN"/>
              </w:rPr>
              <w:t>6</w:t>
            </w:r>
            <w:r>
              <w:rPr>
                <w:rFonts w:hint="eastAsia" w:ascii="宋体" w:hAnsi="宋体" w:eastAsia="宋体" w:cs="宋体"/>
                <w:color w:val="auto"/>
                <w:sz w:val="21"/>
                <w:szCs w:val="21"/>
                <w:highlight w:val="none"/>
                <w:lang w:bidi="zh-CN"/>
              </w:rPr>
              <w:t xml:space="preserve"> </w:t>
            </w:r>
            <w:r>
              <w:rPr>
                <w:rFonts w:hint="eastAsia" w:ascii="宋体" w:hAnsi="宋体" w:eastAsia="宋体" w:cs="宋体"/>
                <w:color w:val="auto"/>
                <w:sz w:val="21"/>
                <w:szCs w:val="21"/>
                <w:highlight w:val="none"/>
              </w:rPr>
              <w:t>对于埋深无法满足本标准第</w:t>
            </w:r>
            <w:r>
              <w:rPr>
                <w:rFonts w:hint="eastAsia" w:ascii="宋体" w:hAnsi="宋体" w:eastAsia="宋体" w:cs="宋体"/>
                <w:color w:val="auto"/>
                <w:sz w:val="21"/>
                <w:szCs w:val="21"/>
                <w:highlight w:val="none"/>
                <w:lang w:bidi="en-US"/>
              </w:rPr>
              <w:t>4.3.3</w:t>
            </w:r>
            <w:r>
              <w:rPr>
                <w:rFonts w:hint="eastAsia" w:ascii="宋体" w:hAnsi="宋体" w:eastAsia="宋体" w:cs="宋体"/>
                <w:color w:val="auto"/>
                <w:sz w:val="21"/>
                <w:szCs w:val="21"/>
                <w:highlight w:val="none"/>
              </w:rPr>
              <w:t>条要求的中压和低压庭院管道，可采取砌筑沟槽保护等方法</w:t>
            </w:r>
            <w:r>
              <w:rPr>
                <w:rFonts w:hint="eastAsia" w:ascii="宋体" w:hAnsi="宋体" w:eastAsia="宋体" w:cs="宋体"/>
                <w:color w:val="auto"/>
                <w:sz w:val="21"/>
                <w:szCs w:val="21"/>
                <w:highlight w:val="none"/>
                <w:lang w:val="zh-CN" w:bidi="zh-CN"/>
              </w:rPr>
              <w:t>敷设，</w:t>
            </w:r>
            <w:r>
              <w:rPr>
                <w:rFonts w:hint="eastAsia" w:ascii="宋体" w:hAnsi="宋体" w:eastAsia="宋体" w:cs="宋体"/>
                <w:color w:val="auto"/>
                <w:sz w:val="21"/>
                <w:szCs w:val="21"/>
                <w:highlight w:val="none"/>
              </w:rPr>
              <w:t>当采用砌筑</w:t>
            </w:r>
            <w:r>
              <w:rPr>
                <w:rFonts w:hint="eastAsia" w:ascii="宋体" w:hAnsi="宋体" w:eastAsia="宋体" w:cs="宋体"/>
                <w:color w:val="auto"/>
                <w:sz w:val="21"/>
                <w:szCs w:val="21"/>
                <w:highlight w:val="none"/>
                <w:lang w:eastAsia="zh-CN"/>
              </w:rPr>
              <w:t>沟槽</w:t>
            </w:r>
            <w:r>
              <w:rPr>
                <w:rFonts w:hint="eastAsia" w:ascii="宋体" w:hAnsi="宋体" w:eastAsia="宋体" w:cs="宋体"/>
                <w:color w:val="auto"/>
                <w:sz w:val="21"/>
                <w:szCs w:val="21"/>
                <w:highlight w:val="none"/>
              </w:rPr>
              <w:t>方式敷设时，沟槽中的管道应自然蜿蜒敷设，且管道四周的沟槽内应填满砂，沟槽上部应加设盖板。对于高出地表的沟槽应加设醒目标志。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埋地管道敷设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聚乙烯燃气管道的热熔焊接应符合设计和相关标准要求。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5.2.2 </w:t>
            </w:r>
            <w:r>
              <w:rPr>
                <w:rFonts w:hint="eastAsia" w:ascii="宋体" w:hAnsi="宋体" w:eastAsia="宋体" w:cs="宋体"/>
                <w:color w:val="auto"/>
                <w:sz w:val="21"/>
                <w:szCs w:val="21"/>
                <w:highlight w:val="none"/>
              </w:rPr>
              <w:t>热熔对接连接的操作应符合下列规定</w:t>
            </w:r>
            <w:r>
              <w:rPr>
                <w:rFonts w:hint="eastAsia" w:ascii="宋体" w:hAnsi="宋体" w:eastAsia="宋体" w:cs="宋体"/>
                <w:color w:val="auto"/>
                <w:sz w:val="21"/>
                <w:szCs w:val="21"/>
                <w:highlight w:val="none"/>
                <w:lang w:val="zh-CN" w:eastAsia="zh-CN" w:bidi="zh-CN"/>
              </w:rPr>
              <w:t>：</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应根据聚乙烯管材、管件或阀门的规格选用适应的机架和夹具。</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在固定连接件时，应将连接件的连接端伸出夹具，伸出的自由长度不应小于公称外径的10%。</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移动夹具应使待连接件的端面接触，并应校直到同一轴线上，错边量不应大于壁厚的10%。</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连接部位应擦净，并应保持干燥，待连接件端面应进行</w:t>
            </w:r>
            <w:r>
              <w:rPr>
                <w:rFonts w:hint="eastAsia" w:ascii="宋体" w:hAnsi="宋体" w:eastAsia="宋体" w:cs="宋体"/>
                <w:color w:val="auto"/>
                <w:sz w:val="21"/>
                <w:szCs w:val="21"/>
                <w:highlight w:val="none"/>
                <w:lang w:eastAsia="zh-CN"/>
              </w:rPr>
              <w:t>铣</w:t>
            </w:r>
            <w:r>
              <w:rPr>
                <w:rFonts w:hint="eastAsia" w:ascii="宋体" w:hAnsi="宋体" w:eastAsia="宋体" w:cs="宋体"/>
                <w:color w:val="auto"/>
                <w:sz w:val="21"/>
                <w:szCs w:val="21"/>
                <w:highlight w:val="none"/>
              </w:rPr>
              <w:t>削，使其与轴线垂直。连续切屑的平均厚度不宜大于</w:t>
            </w:r>
            <w:r>
              <w:rPr>
                <w:rFonts w:hint="eastAsia" w:ascii="宋体" w:hAnsi="宋体" w:eastAsia="宋体" w:cs="宋体"/>
                <w:color w:val="auto"/>
                <w:sz w:val="21"/>
                <w:szCs w:val="21"/>
                <w:highlight w:val="none"/>
                <w:lang w:val="en-US" w:eastAsia="zh-CN" w:bidi="en-US"/>
              </w:rPr>
              <w:t>0.2mm，铣</w:t>
            </w:r>
            <w:r>
              <w:rPr>
                <w:rFonts w:hint="eastAsia" w:ascii="宋体" w:hAnsi="宋体" w:eastAsia="宋体" w:cs="宋体"/>
                <w:color w:val="auto"/>
                <w:sz w:val="21"/>
                <w:szCs w:val="21"/>
                <w:highlight w:val="none"/>
              </w:rPr>
              <w:t>削后的熔接面应保持洁净。</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铣</w:t>
            </w:r>
            <w:r>
              <w:rPr>
                <w:rFonts w:hint="eastAsia" w:ascii="宋体" w:hAnsi="宋体" w:eastAsia="宋体" w:cs="宋体"/>
                <w:color w:val="auto"/>
                <w:sz w:val="21"/>
                <w:szCs w:val="21"/>
                <w:highlight w:val="none"/>
              </w:rPr>
              <w:t>削完成后，移动夹具应使待连接件对接管口闭合。待连接件的错边量不应大于壁厚的10%，且接口端面对接面最大间隙应符合表</w:t>
            </w:r>
            <w:r>
              <w:rPr>
                <w:rFonts w:hint="eastAsia" w:ascii="宋体" w:hAnsi="宋体" w:eastAsia="宋体" w:cs="宋体"/>
                <w:color w:val="auto"/>
                <w:sz w:val="21"/>
                <w:szCs w:val="21"/>
                <w:highlight w:val="none"/>
                <w:lang w:val="en-US" w:eastAsia="zh-CN" w:bidi="en-US"/>
              </w:rPr>
              <w:t>5</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lang w:val="en-US" w:eastAsia="zh-CN" w:bidi="en-US"/>
              </w:rPr>
              <w:t>2</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rPr>
              <w:t>2的规定。</w:t>
            </w:r>
            <w:r>
              <w:rPr>
                <w:rFonts w:hint="eastAsia" w:ascii="宋体" w:hAnsi="宋体" w:eastAsia="宋体" w:cs="宋体"/>
                <w:color w:val="auto"/>
                <w:sz w:val="21"/>
                <w:szCs w:val="21"/>
                <w:highlight w:val="none"/>
              </w:rPr>
              <w:br w:type="page"/>
            </w:r>
          </w:p>
          <w:p>
            <w:pPr>
              <w:pStyle w:val="122"/>
              <w:keepNext w:val="0"/>
              <w:keepLines w:val="0"/>
              <w:pageBreakBefore w:val="0"/>
              <w:kinsoku/>
              <w:wordWrap/>
              <w:overflowPunct/>
              <w:topLinePunct w:val="0"/>
              <w:autoSpaceDE/>
              <w:autoSpaceDN/>
              <w:bidi w:val="0"/>
              <w:spacing w:line="260" w:lineRule="atLeast"/>
              <w:ind w:left="0" w:firstLine="1260" w:firstLineChars="6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bidi="en-US"/>
              </w:rPr>
              <w:t>5.2.</w:t>
            </w:r>
            <w:r>
              <w:rPr>
                <w:rFonts w:hint="eastAsia" w:ascii="宋体" w:hAnsi="宋体" w:eastAsia="宋体" w:cs="宋体"/>
                <w:color w:val="auto"/>
                <w:sz w:val="21"/>
                <w:szCs w:val="21"/>
                <w:highlight w:val="none"/>
                <w:lang w:val="zh-CN" w:eastAsia="zh-CN" w:bidi="zh-CN"/>
              </w:rPr>
              <w:t>2</w:t>
            </w:r>
            <w:r>
              <w:rPr>
                <w:rFonts w:hint="eastAsia" w:ascii="宋体" w:hAnsi="宋体" w:eastAsia="宋体" w:cs="宋体"/>
                <w:color w:val="auto"/>
                <w:sz w:val="21"/>
                <w:szCs w:val="21"/>
                <w:highlight w:val="none"/>
                <w:lang w:val="en-US" w:eastAsia="zh-CN" w:bidi="zh-CN"/>
              </w:rPr>
              <w:t xml:space="preserve"> </w:t>
            </w:r>
            <w:r>
              <w:rPr>
                <w:rFonts w:hint="eastAsia" w:ascii="宋体" w:hAnsi="宋体" w:eastAsia="宋体" w:cs="宋体"/>
                <w:color w:val="auto"/>
                <w:sz w:val="21"/>
                <w:szCs w:val="21"/>
                <w:highlight w:val="none"/>
              </w:rPr>
              <w:t>接口端面对接面最大间隙</w:t>
            </w:r>
          </w:p>
          <w:tbl>
            <w:tblPr>
              <w:tblStyle w:val="20"/>
              <w:tblW w:w="4999" w:type="pct"/>
              <w:jc w:val="center"/>
              <w:tblLayout w:type="autofit"/>
              <w:tblCellMar>
                <w:top w:w="0" w:type="dxa"/>
                <w:left w:w="10" w:type="dxa"/>
                <w:bottom w:w="0" w:type="dxa"/>
                <w:right w:w="10" w:type="dxa"/>
              </w:tblCellMar>
            </w:tblPr>
            <w:tblGrid>
              <w:gridCol w:w="5095"/>
              <w:gridCol w:w="5747"/>
            </w:tblGrid>
            <w:tr>
              <w:tblPrEx>
                <w:tblCellMar>
                  <w:top w:w="0" w:type="dxa"/>
                  <w:left w:w="10" w:type="dxa"/>
                  <w:bottom w:w="0" w:type="dxa"/>
                  <w:right w:w="10" w:type="dxa"/>
                </w:tblCellMar>
              </w:tblPrEx>
              <w:trPr>
                <w:trHeight w:val="354" w:hRule="exact"/>
                <w:jc w:val="center"/>
              </w:trPr>
              <w:tc>
                <w:tcPr>
                  <w:tcW w:w="2349"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管道元件公称外径</w:t>
                  </w:r>
                  <w:r>
                    <w:rPr>
                      <w:rFonts w:hint="eastAsia" w:ascii="宋体" w:hAnsi="宋体" w:eastAsia="宋体" w:cs="宋体"/>
                      <w:color w:val="auto"/>
                      <w:sz w:val="21"/>
                      <w:szCs w:val="21"/>
                      <w:highlight w:val="none"/>
                      <w:lang w:val="en-US" w:eastAsia="zh-CN"/>
                    </w:rPr>
                    <w:t>dn</w:t>
                  </w:r>
                  <w:r>
                    <w:rPr>
                      <w:rFonts w:hint="eastAsia" w:ascii="宋体" w:hAnsi="宋体" w:eastAsia="宋体" w:cs="宋体"/>
                      <w:color w:val="auto"/>
                      <w:sz w:val="21"/>
                      <w:szCs w:val="21"/>
                      <w:highlight w:val="none"/>
                      <w:lang w:val="en-US" w:eastAsia="zh-CN" w:bidi="en-US"/>
                    </w:rPr>
                    <w:t>（mm）</w:t>
                  </w:r>
                </w:p>
              </w:tc>
              <w:tc>
                <w:tcPr>
                  <w:tcW w:w="2650"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接口端面对接面最大间隙</w:t>
                  </w:r>
                  <w:r>
                    <w:rPr>
                      <w:rFonts w:hint="eastAsia" w:ascii="宋体" w:hAnsi="宋体" w:eastAsia="宋体" w:cs="宋体"/>
                      <w:color w:val="auto"/>
                      <w:sz w:val="21"/>
                      <w:szCs w:val="21"/>
                      <w:highlight w:val="none"/>
                      <w:lang w:val="en-US" w:eastAsia="zh-CN" w:bidi="en-US"/>
                    </w:rPr>
                    <w:t>（mm）</w:t>
                  </w:r>
                </w:p>
              </w:tc>
            </w:tr>
            <w:tr>
              <w:tblPrEx>
                <w:tblCellMar>
                  <w:top w:w="0" w:type="dxa"/>
                  <w:left w:w="10" w:type="dxa"/>
                  <w:bottom w:w="0" w:type="dxa"/>
                  <w:right w:w="10" w:type="dxa"/>
                </w:tblCellMar>
              </w:tblPrEx>
              <w:trPr>
                <w:trHeight w:val="289" w:hRule="exact"/>
                <w:jc w:val="center"/>
              </w:trPr>
              <w:tc>
                <w:tcPr>
                  <w:tcW w:w="2349"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dn≤250</w:t>
                  </w:r>
                </w:p>
              </w:tc>
              <w:tc>
                <w:tcPr>
                  <w:tcW w:w="2650"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0.3</w:t>
                  </w:r>
                </w:p>
              </w:tc>
            </w:tr>
            <w:tr>
              <w:tblPrEx>
                <w:tblCellMar>
                  <w:top w:w="0" w:type="dxa"/>
                  <w:left w:w="10" w:type="dxa"/>
                  <w:bottom w:w="0" w:type="dxa"/>
                  <w:right w:w="10" w:type="dxa"/>
                </w:tblCellMar>
              </w:tblPrEx>
              <w:trPr>
                <w:trHeight w:val="319" w:hRule="exact"/>
                <w:jc w:val="center"/>
              </w:trPr>
              <w:tc>
                <w:tcPr>
                  <w:tcW w:w="2349" w:type="pct"/>
                  <w:tcBorders>
                    <w:top w:val="single" w:color="auto" w:sz="4" w:space="0"/>
                    <w:lef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250&lt;dn≤400</w:t>
                  </w:r>
                </w:p>
              </w:tc>
              <w:tc>
                <w:tcPr>
                  <w:tcW w:w="2650" w:type="pct"/>
                  <w:tcBorders>
                    <w:top w:val="single" w:color="auto" w:sz="4" w:space="0"/>
                    <w:left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0.5</w:t>
                  </w:r>
                </w:p>
              </w:tc>
            </w:tr>
            <w:tr>
              <w:tblPrEx>
                <w:tblCellMar>
                  <w:top w:w="0" w:type="dxa"/>
                  <w:left w:w="10" w:type="dxa"/>
                  <w:bottom w:w="0" w:type="dxa"/>
                  <w:right w:w="10" w:type="dxa"/>
                </w:tblCellMar>
              </w:tblPrEx>
              <w:trPr>
                <w:trHeight w:val="369" w:hRule="exact"/>
                <w:jc w:val="center"/>
              </w:trPr>
              <w:tc>
                <w:tcPr>
                  <w:tcW w:w="2349" w:type="pct"/>
                  <w:tcBorders>
                    <w:top w:val="single" w:color="auto" w:sz="4" w:space="0"/>
                    <w:left w:val="single" w:color="auto" w:sz="4" w:space="0"/>
                    <w:bottom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4OO&lt;dn≤63O</w:t>
                  </w:r>
                </w:p>
              </w:tc>
              <w:tc>
                <w:tcPr>
                  <w:tcW w:w="265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1.0</w:t>
                  </w:r>
                </w:p>
              </w:tc>
            </w:tr>
          </w:tbl>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应按热</w:t>
            </w:r>
            <w:r>
              <w:rPr>
                <w:rFonts w:hint="eastAsia" w:ascii="宋体" w:hAnsi="宋体" w:eastAsia="宋体" w:cs="宋体"/>
                <w:color w:val="auto"/>
                <w:sz w:val="21"/>
                <w:szCs w:val="21"/>
                <w:highlight w:val="none"/>
                <w:lang w:eastAsia="zh-CN"/>
              </w:rPr>
              <w:t>熔</w:t>
            </w:r>
            <w:r>
              <w:rPr>
                <w:rFonts w:hint="eastAsia" w:ascii="宋体" w:hAnsi="宋体" w:eastAsia="宋体" w:cs="宋体"/>
                <w:color w:val="auto"/>
                <w:sz w:val="21"/>
                <w:szCs w:val="21"/>
                <w:highlight w:val="none"/>
              </w:rPr>
              <w:t>对接的连接工艺要求加热待连接件端面。</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吸热时间达到规定要求后，应迅速撤出加热板，待连接件加热面熔化应均匀，不得有损伤。</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在规定的时间内使待连接面完全接触，并应保持规定的热熔对接压力。</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接头冷却应采用自然冷却。在保压冷却期间，不得拆开夹具，不得移动连接件或在连接件上施加任何外力。</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rPr>
              <w:t xml:space="preserve">5.2.3 </w:t>
            </w:r>
            <w:r>
              <w:rPr>
                <w:rFonts w:hint="eastAsia" w:ascii="宋体" w:hAnsi="宋体" w:eastAsia="宋体" w:cs="宋体"/>
                <w:color w:val="auto"/>
                <w:sz w:val="21"/>
                <w:szCs w:val="21"/>
                <w:highlight w:val="none"/>
                <w:lang w:bidi="zh-TW"/>
              </w:rPr>
              <w:t>热熔对接连接接头的质量检验应符合下列规定：</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热熔对接连接完成后，应对接头进行100%卷边对称性和接头对正性检验，并应对开挖敷设不少于15%的接头进行卷边切除检验，水平定向钻非开挖施工应进行100%接头卷边切除检验</w:t>
            </w:r>
            <w:r>
              <w:rPr>
                <w:rFonts w:hint="eastAsia" w:ascii="宋体" w:hAnsi="宋体" w:eastAsia="宋体" w:cs="宋体"/>
                <w:color w:val="auto"/>
                <w:sz w:val="21"/>
                <w:szCs w:val="21"/>
                <w:highlight w:val="none"/>
                <w:lang w:eastAsia="zh-CN"/>
              </w:rPr>
              <w:t>。</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卷边对称性检验。沿管道整个圆周内的接口卷边应平滑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均匀、对称，卷边融合线的最低处</w:t>
            </w:r>
            <w:r>
              <w:rPr>
                <w:rFonts w:hint="eastAsia" w:ascii="宋体" w:hAnsi="宋体" w:eastAsia="宋体" w:cs="宋体"/>
                <w:color w:val="auto"/>
                <w:sz w:val="21"/>
                <w:szCs w:val="21"/>
                <w:highlight w:val="none"/>
                <w:lang w:val="en-US" w:eastAsia="zh-CN" w:bidi="en-US"/>
              </w:rPr>
              <w:t>（A）</w:t>
            </w:r>
            <w:r>
              <w:rPr>
                <w:rFonts w:hint="eastAsia" w:ascii="宋体" w:hAnsi="宋体" w:eastAsia="宋体" w:cs="宋体"/>
                <w:color w:val="auto"/>
                <w:sz w:val="21"/>
                <w:szCs w:val="21"/>
                <w:highlight w:val="none"/>
              </w:rPr>
              <w:t>不应低于管道的外表面（图</w:t>
            </w:r>
            <w:r>
              <w:rPr>
                <w:rFonts w:hint="eastAsia" w:ascii="宋体" w:hAnsi="宋体" w:eastAsia="宋体" w:cs="宋体"/>
                <w:color w:val="auto"/>
                <w:sz w:val="21"/>
                <w:szCs w:val="21"/>
                <w:highlight w:val="none"/>
                <w:lang w:val="en-US" w:eastAsia="zh-CN"/>
              </w:rPr>
              <w:t>5.2.3-1</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lang w:eastAsia="zh-CN"/>
              </w:rPr>
              <w:t>。</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接头对正性检验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接口两侧紧邻卷边的外圆周上任何一处的错边量（V）不应超过管道壁厚的10%（图</w:t>
            </w:r>
            <w:r>
              <w:rPr>
                <w:rFonts w:hint="eastAsia" w:ascii="宋体" w:hAnsi="宋体" w:eastAsia="宋体" w:cs="宋体"/>
                <w:color w:val="auto"/>
                <w:sz w:val="21"/>
                <w:szCs w:val="21"/>
                <w:highlight w:val="none"/>
                <w:lang w:val="en-US" w:eastAsia="zh-CN"/>
              </w:rPr>
              <w:t>5.2.3-2</w:t>
            </w:r>
            <w:r>
              <w:rPr>
                <w:rFonts w:hint="eastAsia" w:ascii="宋体" w:hAnsi="宋体" w:eastAsia="宋体" w:cs="宋体"/>
                <w:color w:val="auto"/>
                <w:sz w:val="21"/>
                <w:szCs w:val="21"/>
                <w:highlight w:val="none"/>
                <w:lang w:val="en-US" w:eastAsia="zh-CN" w:bidi="en-US"/>
              </w:rPr>
              <w:t>）。</w:t>
            </w:r>
          </w:p>
          <w:p>
            <w:pPr>
              <w:pStyle w:val="120"/>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anchor distT="88900" distB="278130" distL="0" distR="0" simplePos="0" relativeHeight="251661312" behindDoc="0" locked="0" layoutInCell="1" allowOverlap="1">
                  <wp:simplePos x="0" y="0"/>
                  <wp:positionH relativeFrom="page">
                    <wp:posOffset>1206500</wp:posOffset>
                  </wp:positionH>
                  <wp:positionV relativeFrom="paragraph">
                    <wp:posOffset>-4596765</wp:posOffset>
                  </wp:positionV>
                  <wp:extent cx="1737360" cy="966470"/>
                  <wp:effectExtent l="0" t="0" r="2540" b="11430"/>
                  <wp:wrapTopAndBottom/>
                  <wp:docPr id="39" name="图片 3"/>
                  <wp:cNvGraphicFramePr/>
                  <a:graphic xmlns:a="http://schemas.openxmlformats.org/drawingml/2006/main">
                    <a:graphicData uri="http://schemas.openxmlformats.org/drawingml/2006/picture">
                      <pic:pic xmlns:pic="http://schemas.openxmlformats.org/drawingml/2006/picture">
                        <pic:nvPicPr>
                          <pic:cNvPr id="39" name="图片 3"/>
                          <pic:cNvPicPr/>
                        </pic:nvPicPr>
                        <pic:blipFill>
                          <a:blip r:embed="rId11"/>
                          <a:stretch>
                            <a:fillRect/>
                          </a:stretch>
                        </pic:blipFill>
                        <pic:spPr>
                          <a:xfrm>
                            <a:off x="0" y="0"/>
                            <a:ext cx="1737360" cy="966470"/>
                          </a:xfrm>
                          <a:prstGeom prst="rect">
                            <a:avLst/>
                          </a:prstGeom>
                        </pic:spPr>
                      </pic:pic>
                    </a:graphicData>
                  </a:graphic>
                </wp:anchor>
              </w:drawing>
            </w:r>
            <w:r>
              <w:rPr>
                <w:rFonts w:hint="eastAsia" w:ascii="宋体" w:hAnsi="宋体" w:eastAsia="宋体" w:cs="宋体"/>
                <w:color w:val="auto"/>
                <w:sz w:val="21"/>
                <w:szCs w:val="21"/>
                <w:highlight w:val="none"/>
                <w:lang w:val="en-US" w:eastAsia="zh-CN"/>
              </w:rPr>
              <w:drawing>
                <wp:anchor distT="97155" distB="282575" distL="0" distR="0" simplePos="0" relativeHeight="251661312" behindDoc="0" locked="0" layoutInCell="1" allowOverlap="1">
                  <wp:simplePos x="0" y="0"/>
                  <wp:positionH relativeFrom="page">
                    <wp:posOffset>4305935</wp:posOffset>
                  </wp:positionH>
                  <wp:positionV relativeFrom="paragraph">
                    <wp:posOffset>-4587875</wp:posOffset>
                  </wp:positionV>
                  <wp:extent cx="1749425" cy="1035050"/>
                  <wp:effectExtent l="0" t="0" r="3175" b="6350"/>
                  <wp:wrapTopAndBottom/>
                  <wp:docPr id="43" name="图片 2"/>
                  <wp:cNvGraphicFramePr/>
                  <a:graphic xmlns:a="http://schemas.openxmlformats.org/drawingml/2006/main">
                    <a:graphicData uri="http://schemas.openxmlformats.org/drawingml/2006/picture">
                      <pic:pic xmlns:pic="http://schemas.openxmlformats.org/drawingml/2006/picture">
                        <pic:nvPicPr>
                          <pic:cNvPr id="43" name="图片 2"/>
                          <pic:cNvPicPr/>
                        </pic:nvPicPr>
                        <pic:blipFill>
                          <a:blip r:embed="rId12"/>
                          <a:stretch>
                            <a:fillRect/>
                          </a:stretch>
                        </pic:blipFill>
                        <pic:spPr>
                          <a:xfrm>
                            <a:off x="0" y="0"/>
                            <a:ext cx="1749425" cy="1035050"/>
                          </a:xfrm>
                          <a:prstGeom prst="rect">
                            <a:avLst/>
                          </a:prstGeom>
                        </pic:spPr>
                      </pic:pic>
                    </a:graphicData>
                  </a:graphic>
                </wp:anchor>
              </w:drawing>
            </w:r>
            <w:r>
              <w:rPr>
                <w:rFonts w:hint="eastAsia" w:ascii="宋体" w:hAnsi="宋体" w:eastAsia="宋体" w:cs="宋体"/>
                <w:color w:val="auto"/>
                <w:sz w:val="21"/>
                <w:szCs w:val="21"/>
                <w:highlight w:val="none"/>
                <w:lang w:val="en-US" w:eastAsia="zh-CN"/>
              </w:rPr>
              <w:t xml:space="preserve">图5.2.3-1卷边对称性示意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图5.2.3-2接头对正性示意</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卷边切除检验。在不损伤对接管道的情况下，应使用专用工具切除接口外部的熔接卷边（图</w:t>
            </w:r>
            <w:r>
              <w:rPr>
                <w:rFonts w:hint="eastAsia" w:ascii="宋体" w:hAnsi="宋体" w:eastAsia="宋体" w:cs="宋体"/>
                <w:color w:val="auto"/>
                <w:sz w:val="21"/>
                <w:szCs w:val="21"/>
                <w:highlight w:val="none"/>
                <w:lang w:val="en-US" w:eastAsia="zh-CN"/>
              </w:rPr>
              <w:t>5.2.3-3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卷边切除检验应符合下列规定：</w:t>
            </w:r>
          </w:p>
          <w:p>
            <w:pPr>
              <w:pStyle w:val="115"/>
              <w:keepNext w:val="0"/>
              <w:keepLines w:val="0"/>
              <w:pageBreakBefore w:val="0"/>
              <w:widowControl w:val="0"/>
              <w:tabs>
                <w:tab w:val="left" w:pos="986"/>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rPr>
            </w:pPr>
            <w:bookmarkStart w:id="0" w:name="bookmark89"/>
            <w:r>
              <w:rPr>
                <w:rFonts w:hint="eastAsia" w:ascii="宋体" w:hAnsi="宋体" w:eastAsia="宋体" w:cs="宋体"/>
                <w:color w:val="auto"/>
                <w:sz w:val="21"/>
                <w:szCs w:val="21"/>
                <w:highlight w:val="none"/>
              </w:rPr>
              <w:t>1</w:t>
            </w:r>
            <w:bookmarkEnd w:id="0"/>
            <w:r>
              <w:rPr>
                <w:rFonts w:hint="eastAsia" w:ascii="宋体" w:hAnsi="宋体" w:eastAsia="宋体" w:cs="宋体"/>
                <w:color w:val="auto"/>
                <w:sz w:val="21"/>
                <w:szCs w:val="21"/>
                <w:highlight w:val="none"/>
              </w:rPr>
              <w:t>）卷边应是实心圆滑的，根部较宽（图</w:t>
            </w:r>
            <w:r>
              <w:rPr>
                <w:rFonts w:hint="eastAsia" w:ascii="宋体" w:hAnsi="宋体" w:eastAsia="宋体" w:cs="宋体"/>
                <w:color w:val="auto"/>
                <w:sz w:val="21"/>
                <w:szCs w:val="21"/>
                <w:highlight w:val="none"/>
                <w:lang w:val="en-US" w:eastAsia="zh-CN" w:bidi="en-US"/>
              </w:rPr>
              <w:t>5</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lang w:val="en-US" w:eastAsia="zh-CN" w:bidi="en-US"/>
              </w:rPr>
              <w:t>2</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rPr>
              <w:t>3-4）。</w:t>
            </w:r>
          </w:p>
          <w:p>
            <w:pPr>
              <w:pStyle w:val="115"/>
              <w:keepNext w:val="0"/>
              <w:keepLines w:val="0"/>
              <w:pageBreakBefore w:val="0"/>
              <w:widowControl w:val="0"/>
              <w:tabs>
                <w:tab w:val="left" w:pos="993"/>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rPr>
            </w:pPr>
            <w:bookmarkStart w:id="1" w:name="bookmark90"/>
            <w:r>
              <w:rPr>
                <w:rFonts w:hint="eastAsia" w:ascii="宋体" w:hAnsi="宋体" w:eastAsia="宋体" w:cs="宋体"/>
                <w:color w:val="auto"/>
                <w:sz w:val="21"/>
                <w:szCs w:val="21"/>
                <w:highlight w:val="none"/>
              </w:rPr>
              <w:t>2</w:t>
            </w:r>
            <w:bookmarkEnd w:id="1"/>
            <w:r>
              <w:rPr>
                <w:rFonts w:hint="eastAsia" w:ascii="宋体" w:hAnsi="宋体" w:eastAsia="宋体" w:cs="宋体"/>
                <w:color w:val="auto"/>
                <w:sz w:val="21"/>
                <w:szCs w:val="21"/>
                <w:highlight w:val="none"/>
              </w:rPr>
              <w:t>）卷边切割面中不应有夹杂物、小孔、扭曲和损坏。</w:t>
            </w:r>
          </w:p>
          <w:p>
            <w:pPr>
              <w:pStyle w:val="115"/>
              <w:keepNext w:val="0"/>
              <w:keepLines w:val="0"/>
              <w:pageBreakBefore w:val="0"/>
              <w:kinsoku/>
              <w:wordWrap/>
              <w:overflowPunct/>
              <w:topLinePunct w:val="0"/>
              <w:autoSpaceDE/>
              <w:autoSpaceDN/>
              <w:bidi w:val="0"/>
              <w:spacing w:line="260" w:lineRule="atLeast"/>
              <w:ind w:left="0" w:firstLine="0"/>
              <w:jc w:val="center"/>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rPr>
              <w:drawing>
                <wp:inline distT="0" distB="0" distL="114300" distR="114300">
                  <wp:extent cx="3724910" cy="1210310"/>
                  <wp:effectExtent l="0" t="0" r="8890" b="8890"/>
                  <wp:docPr id="47" name="图片 4"/>
                  <wp:cNvGraphicFramePr/>
                  <a:graphic xmlns:a="http://schemas.openxmlformats.org/drawingml/2006/main">
                    <a:graphicData uri="http://schemas.openxmlformats.org/drawingml/2006/picture">
                      <pic:pic xmlns:pic="http://schemas.openxmlformats.org/drawingml/2006/picture">
                        <pic:nvPicPr>
                          <pic:cNvPr id="47" name="图片 4"/>
                          <pic:cNvPicPr/>
                        </pic:nvPicPr>
                        <pic:blipFill>
                          <a:blip r:embed="rId13"/>
                          <a:stretch>
                            <a:fillRect/>
                          </a:stretch>
                        </pic:blipFill>
                        <pic:spPr>
                          <a:xfrm>
                            <a:off x="0" y="0"/>
                            <a:ext cx="3724910" cy="1210310"/>
                          </a:xfrm>
                          <a:prstGeom prst="rect">
                            <a:avLst/>
                          </a:prstGeom>
                        </pic:spPr>
                      </pic:pic>
                    </a:graphicData>
                  </a:graphic>
                </wp:inline>
              </w:drawing>
            </w:r>
          </w:p>
          <w:p>
            <w:pPr>
              <w:pStyle w:val="115"/>
              <w:keepNext w:val="0"/>
              <w:keepLines w:val="0"/>
              <w:pageBreakBefore w:val="0"/>
              <w:widowControl w:val="0"/>
              <w:tabs>
                <w:tab w:val="left" w:pos="986"/>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每隔</w:t>
            </w:r>
            <w:r>
              <w:rPr>
                <w:rFonts w:hint="eastAsia" w:ascii="宋体" w:hAnsi="宋体" w:eastAsia="宋体" w:cs="宋体"/>
                <w:color w:val="auto"/>
                <w:sz w:val="21"/>
                <w:szCs w:val="21"/>
                <w:highlight w:val="none"/>
                <w:lang w:val="en-US" w:eastAsia="zh-CN"/>
              </w:rPr>
              <w:t>50mm</w:t>
            </w:r>
            <w:r>
              <w:rPr>
                <w:rFonts w:hint="eastAsia" w:ascii="宋体" w:hAnsi="宋体" w:eastAsia="宋体" w:cs="宋体"/>
                <w:color w:val="auto"/>
                <w:sz w:val="21"/>
                <w:szCs w:val="21"/>
                <w:highlight w:val="none"/>
              </w:rPr>
              <w:t>应进行一次180°的背弯检验（图5.2.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卷边切割面中线附近不应有开裂、裂缝，不得露出熔合线。</w:t>
            </w:r>
          </w:p>
          <w:p>
            <w:pPr>
              <w:keepNext w:val="0"/>
              <w:keepLines w:val="0"/>
              <w:pageBreakBefore w:val="0"/>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908050" cy="1322705"/>
                  <wp:effectExtent l="0" t="0" r="6350" b="10795"/>
                  <wp:docPr id="48" name="图片 5"/>
                  <wp:cNvGraphicFramePr/>
                  <a:graphic xmlns:a="http://schemas.openxmlformats.org/drawingml/2006/main">
                    <a:graphicData uri="http://schemas.openxmlformats.org/drawingml/2006/picture">
                      <pic:pic xmlns:pic="http://schemas.openxmlformats.org/drawingml/2006/picture">
                        <pic:nvPicPr>
                          <pic:cNvPr id="48" name="图片 5"/>
                          <pic:cNvPicPr/>
                        </pic:nvPicPr>
                        <pic:blipFill>
                          <a:blip r:embed="rId14"/>
                          <a:stretch>
                            <a:fillRect/>
                          </a:stretch>
                        </pic:blipFill>
                        <pic:spPr>
                          <a:xfrm>
                            <a:off x="0" y="0"/>
                            <a:ext cx="908050" cy="1322705"/>
                          </a:xfrm>
                          <a:prstGeom prst="rect">
                            <a:avLst/>
                          </a:prstGeom>
                        </pic:spPr>
                      </pic:pic>
                    </a:graphicData>
                  </a:graphic>
                </wp:inline>
              </w:drawing>
            </w:r>
          </w:p>
          <w:p>
            <w:pPr>
              <w:pStyle w:val="120"/>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w:t>
            </w:r>
            <w:r>
              <w:rPr>
                <w:rFonts w:hint="eastAsia" w:ascii="宋体" w:hAnsi="宋体" w:eastAsia="宋体" w:cs="宋体"/>
                <w:color w:val="auto"/>
                <w:sz w:val="21"/>
                <w:szCs w:val="21"/>
                <w:highlight w:val="none"/>
                <w:lang w:val="en-US" w:eastAsia="zh-CN" w:bidi="en-US"/>
              </w:rPr>
              <w:t>5</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lang w:val="en-US" w:eastAsia="zh-CN" w:bidi="en-US"/>
              </w:rPr>
              <w:t>2</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lang w:val="en-US" w:eastAsia="zh-CN" w:bidi="en-US"/>
              </w:rPr>
              <w:t>3-5</w:t>
            </w:r>
            <w:r>
              <w:rPr>
                <w:rFonts w:hint="eastAsia" w:ascii="宋体" w:hAnsi="宋体" w:eastAsia="宋体" w:cs="宋体"/>
                <w:color w:val="auto"/>
                <w:sz w:val="21"/>
                <w:szCs w:val="21"/>
                <w:highlight w:val="none"/>
              </w:rPr>
              <w:t>切除卷边背弯试验示意</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当抽样检验的全部接口合格时，应判定该批接口全部合格。当抽样检验的接口</w:t>
            </w:r>
            <w:r>
              <w:rPr>
                <w:rFonts w:hint="eastAsia" w:ascii="宋体" w:hAnsi="宋体" w:eastAsia="宋体" w:cs="宋体"/>
                <w:color w:val="auto"/>
                <w:sz w:val="21"/>
                <w:szCs w:val="21"/>
                <w:highlight w:val="none"/>
                <w:lang w:eastAsia="zh-CN"/>
              </w:rPr>
              <w:t>出现</w:t>
            </w:r>
            <w:r>
              <w:rPr>
                <w:rFonts w:hint="eastAsia" w:ascii="宋体" w:hAnsi="宋体" w:eastAsia="宋体" w:cs="宋体"/>
                <w:color w:val="auto"/>
                <w:sz w:val="21"/>
                <w:szCs w:val="21"/>
                <w:highlight w:val="none"/>
              </w:rPr>
              <w:t>不合格情况时，应判定该接口不合格，并应按下列规定加倍抽样检验：</w:t>
            </w:r>
          </w:p>
          <w:p>
            <w:pPr>
              <w:pStyle w:val="115"/>
              <w:keepNext w:val="0"/>
              <w:keepLines w:val="0"/>
              <w:pageBreakBefore w:val="0"/>
              <w:widowControl w:val="0"/>
              <w:tabs>
                <w:tab w:val="left" w:pos="993"/>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每出现一个不合格接口，应加倍抽检该焊工所焊的同 一批接口，按本标准的规定进行检验。</w:t>
            </w:r>
            <w:bookmarkStart w:id="2" w:name="bookmark93"/>
          </w:p>
          <w:bookmarkEnd w:id="2"/>
          <w:p>
            <w:pPr>
              <w:pStyle w:val="115"/>
              <w:keepNext w:val="0"/>
              <w:keepLines w:val="0"/>
              <w:pageBreakBefore w:val="0"/>
              <w:widowControl w:val="0"/>
              <w:tabs>
                <w:tab w:val="left" w:pos="993"/>
              </w:tabs>
              <w:kinsoku/>
              <w:wordWrap/>
              <w:overflowPunct/>
              <w:topLinePunct w:val="0"/>
              <w:autoSpaceDE/>
              <w:autoSpaceDN/>
              <w:bidi w:val="0"/>
              <w:adjustRightInd/>
              <w:snapToGrid/>
              <w:spacing w:line="260" w:lineRule="atLeast"/>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如第二次抽检仍出现不合格接口时，则应对该焊工所焊的同批接口全部进行检验。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3.2.3.7</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埋地管道敷设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聚乙烯燃气管道的电熔焊接应符合设计和相关标准要求。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5.3.2 </w:t>
            </w:r>
            <w:r>
              <w:rPr>
                <w:rFonts w:hint="eastAsia" w:ascii="宋体" w:hAnsi="宋体" w:eastAsia="宋体" w:cs="宋体"/>
                <w:color w:val="auto"/>
                <w:sz w:val="21"/>
                <w:szCs w:val="21"/>
                <w:highlight w:val="none"/>
                <w:lang w:bidi="zh-TW"/>
              </w:rPr>
              <w:t>电熔承插连接的操作应符合下列规定：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1 管材的连接部位应擦净，并应保持干燥；管件应在焊接 时再拆除封装袋。</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2 当管材的不圆度影响安装时，应采用整圆工具对插入端进行整圆。</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3 应测量电熔管件承口长度，并在管材或插口管件的插入端标出插入长度，刮除插入段表皮的氧化层，刮削表皮厚度宜为0.1mm～0.2mm，并应保持洁净。</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4 将管材或插口管件的插入端插入电熔管件承口内至标记位置，同时应对配合尺寸进行</w:t>
            </w:r>
            <w:r>
              <w:rPr>
                <w:rFonts w:hint="eastAsia" w:ascii="宋体" w:hAnsi="宋体" w:eastAsia="宋体" w:cs="宋体"/>
                <w:color w:val="auto"/>
                <w:sz w:val="21"/>
                <w:szCs w:val="21"/>
                <w:highlight w:val="none"/>
                <w:lang w:eastAsia="zh-CN" w:bidi="zh-TW"/>
              </w:rPr>
              <w:t>检查</w:t>
            </w:r>
            <w:r>
              <w:rPr>
                <w:rFonts w:hint="eastAsia" w:ascii="宋体" w:hAnsi="宋体" w:eastAsia="宋体" w:cs="宋体"/>
                <w:color w:val="auto"/>
                <w:sz w:val="21"/>
                <w:szCs w:val="21"/>
                <w:highlight w:val="none"/>
                <w:lang w:bidi="zh-TW"/>
              </w:rPr>
              <w:t>，避免强力插入。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5 校直待连接的管材和管件，使其在同一轴线上，并应采用专用夹具固定后，方可通电焊接。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6通电加热焊接的电压或电流、加热时间等焊接参数的设定应符合电熔连接熔接设备和电熔管件的使用要求。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7接头冷却应采用自然冷却。在冷却期间，不得拆开夹具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不得移动连接件或在连接件上施加任何外力。</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5.3.3 </w:t>
            </w:r>
            <w:r>
              <w:rPr>
                <w:rFonts w:hint="eastAsia" w:ascii="宋体" w:hAnsi="宋体" w:eastAsia="宋体" w:cs="宋体"/>
                <w:color w:val="auto"/>
                <w:sz w:val="21"/>
                <w:szCs w:val="21"/>
                <w:highlight w:val="none"/>
                <w:lang w:bidi="zh-TW"/>
              </w:rPr>
              <w:t>电熔鞍形连接的操作应符合下列规定：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1 应标记电熔鞍形管件与管道连接的位置，并应</w:t>
            </w:r>
            <w:r>
              <w:rPr>
                <w:rFonts w:hint="eastAsia" w:ascii="宋体" w:hAnsi="宋体" w:eastAsia="宋体" w:cs="宋体"/>
                <w:color w:val="auto"/>
                <w:sz w:val="21"/>
                <w:szCs w:val="21"/>
                <w:highlight w:val="none"/>
                <w:lang w:eastAsia="zh-CN" w:bidi="zh-TW"/>
              </w:rPr>
              <w:t>检查</w:t>
            </w:r>
            <w:r>
              <w:rPr>
                <w:rFonts w:hint="eastAsia" w:ascii="宋体" w:hAnsi="宋体" w:eastAsia="宋体" w:cs="宋体"/>
                <w:color w:val="auto"/>
                <w:sz w:val="21"/>
                <w:szCs w:val="21"/>
                <w:highlight w:val="none"/>
                <w:lang w:bidi="zh-TW"/>
              </w:rPr>
              <w:t>连接位置处管道的不圆度，必要时应采用整圆工具对其进行整圆，</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2 管道连接部位应擦拭干净，并应保持干燥，应刮除管道连接部位表皮氧化层，刮削厚度宜为0.1mm〜0.2mm。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 xml:space="preserve">3 </w:t>
            </w:r>
            <w:r>
              <w:rPr>
                <w:rFonts w:hint="eastAsia" w:ascii="宋体" w:hAnsi="宋体" w:eastAsia="宋体" w:cs="宋体"/>
                <w:color w:val="auto"/>
                <w:sz w:val="21"/>
                <w:szCs w:val="21"/>
                <w:highlight w:val="none"/>
                <w:lang w:eastAsia="zh-CN" w:bidi="zh-TW"/>
              </w:rPr>
              <w:t>检查</w:t>
            </w:r>
            <w:r>
              <w:rPr>
                <w:rFonts w:hint="eastAsia" w:ascii="宋体" w:hAnsi="宋体" w:eastAsia="宋体" w:cs="宋体"/>
                <w:color w:val="auto"/>
                <w:sz w:val="21"/>
                <w:szCs w:val="21"/>
                <w:highlight w:val="none"/>
                <w:lang w:bidi="zh-TW"/>
              </w:rPr>
              <w:t>电熔鞍形管件鞍形面与管道连接部位的适配性，并应</w:t>
            </w:r>
            <w:r>
              <w:rPr>
                <w:rFonts w:hint="eastAsia" w:ascii="宋体" w:hAnsi="宋体" w:eastAsia="宋体" w:cs="宋体"/>
                <w:color w:val="auto"/>
                <w:sz w:val="21"/>
                <w:szCs w:val="21"/>
                <w:highlight w:val="none"/>
                <w:lang w:eastAsia="zh-CN" w:bidi="zh-TW"/>
              </w:rPr>
              <w:t>采用</w:t>
            </w:r>
            <w:r>
              <w:rPr>
                <w:rFonts w:hint="eastAsia" w:ascii="宋体" w:hAnsi="宋体" w:eastAsia="宋体" w:cs="宋体"/>
                <w:color w:val="auto"/>
                <w:sz w:val="21"/>
                <w:szCs w:val="21"/>
                <w:highlight w:val="none"/>
                <w:lang w:bidi="zh-TW"/>
              </w:rPr>
              <w:t>支座或机械装置固定管道连接部位的管段，使其保持直线度和圆度。</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4 通电前，应将电熔鞍形管件用专用夹具固定在管道连接部位。</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5 通电加热时的电压或电流、加热时间等焊接参数应符合电熔连接机具和电熔鞍形管件的使用要求。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6 接头冷却应采取自然冷却。冷却期间，不得拆开夹具，不得移动连接件或在连接件上施加任何外力。</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7 钻孔操作应在支管强度试验和气密性试验合格后进行。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5.3.4 </w:t>
            </w:r>
            <w:r>
              <w:rPr>
                <w:rFonts w:hint="eastAsia" w:ascii="宋体" w:hAnsi="宋体" w:eastAsia="宋体" w:cs="宋体"/>
                <w:color w:val="auto"/>
                <w:sz w:val="21"/>
                <w:szCs w:val="21"/>
                <w:highlight w:val="none"/>
                <w:lang w:bidi="zh-TW"/>
              </w:rPr>
              <w:t>电熔承插连接接头的质量检验应符合下列规定：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1 电熔管件与管材或插口管件的轴线应对正。</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2 管材或插口管件在电熔管件端口处的周边表面应有明显的刮皮痕迹。</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3 电熔管件端口的接缝处不应有熔融料溢出。</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4 电熔管件内的电阻丝不应被挤出。</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5 从电熔管件上的观察孔中应能看到指示柱移动或有少量熔融料溢出，溢料不得呈流淌状。</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6 每个电熔承插连接接头均应进行上述检验，出现与上述</w:t>
            </w:r>
            <w:r>
              <w:rPr>
                <w:rFonts w:hint="eastAsia" w:ascii="宋体" w:hAnsi="宋体" w:eastAsia="宋体" w:cs="宋体"/>
                <w:color w:val="auto"/>
                <w:sz w:val="21"/>
                <w:szCs w:val="21"/>
                <w:highlight w:val="none"/>
                <w:lang w:eastAsia="zh-CN" w:bidi="zh-TW"/>
              </w:rPr>
              <w:t>条</w:t>
            </w:r>
            <w:r>
              <w:rPr>
                <w:rFonts w:hint="eastAsia" w:ascii="宋体" w:hAnsi="宋体" w:eastAsia="宋体" w:cs="宋体"/>
                <w:color w:val="auto"/>
                <w:sz w:val="21"/>
                <w:szCs w:val="21"/>
                <w:highlight w:val="none"/>
                <w:lang w:bidi="zh-TW"/>
              </w:rPr>
              <w:t>款不符合的情况，应判定为不合格。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5.3.5</w:t>
            </w:r>
            <w:r>
              <w:rPr>
                <w:rFonts w:hint="eastAsia" w:ascii="宋体" w:hAnsi="宋体" w:eastAsia="宋体" w:cs="宋体"/>
                <w:color w:val="auto"/>
                <w:sz w:val="21"/>
                <w:szCs w:val="21"/>
                <w:highlight w:val="none"/>
                <w:lang w:bidi="zh-TW"/>
              </w:rPr>
              <w:t>电熔鞍形连接接头的质量检验应符合下列规定：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1 电熔鞍形管件周边的管道表面上应有明显的刮皮痕迹。</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2 鞍形分支或鞍形三通的出口应垂直于管道的中心线。</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3 管道管壁不应塌陷。</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4 熔融料不应从鞍形管件周边溢出。</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5 从鞍形管件上的观察孔中应能看到指示柱移动或有少量熔融料溢出，溢料不得呈流淌状。</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TW"/>
              </w:rPr>
              <w:t>6 每个电熔鞍形连接接头均应进行上述检验，出现与上述条款不符合的情况，应判定为不合格。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6.4.3.2 聚乙烯燃气管道安装施工前，应根据评定合格的焊接工艺编制焊接工艺规程。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6.4.3.3 管道连接前应进行外观检查，管材表面划伤深度不应超过管材壁厚的10%，穿跨越敷设时，管材表面划伤深度不应超过管材壁厚的5%，管件及管道附属设备的外包装应完好。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3.2.4</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z w:val="21"/>
                <w:szCs w:val="21"/>
                <w:highlight w:val="none"/>
              </w:rPr>
              <w:t>架空管道敷设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架空管道敷设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架空管道敷设应符合设计文件和相关标准的要求。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6.4.5.1 管道支、吊架安装前应进行标高和坡降测量并放线，固定后的支、吊架位置应正确，安装应平整、牢固，与管道接触良好。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6.4.5.2 涂料的种类、涂敷次序、层数、各层的表面要求及施工的环境温度应按设计和所选涂料的产品要求进行。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6.4.5.3 管道安装前应涂底漆。涂漆前应清除被涂表面的铁锈、焊渣、毛刺、油、水等污物，涂漆完成后方可进行管道安装。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6.4.5.4 吹扫、压力试验完成后，应补刷底漆并完成管道设备的防腐。</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8.1.5.2 架空管道安全防护应符合下列规定：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a）架空管线与其他建筑墙壁的最小净距不宜小于0.1m；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b）配电箱、线缆与架空管线的最小净距不宜小于0.3m，且不得交叉；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d）架空管线应在支架、支墩或管线转弯处，管线首末端及直线段处设置永久标志牌；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ｅ）架空敷设的金属燃气管道应设防直击雷措施，并符合GB50057的相关要求；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f）架空敷设的金属燃气管道应设防感应雷措施，并应符合如下规定：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1）管道及放散管均应接到防闪电感应的接地装置上；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2）距离建筑物100m的架空管道，应每隔25m左右接地一次，其冲击电阻不应大于30Ω； 并应利用金属支架或钢筋混凝土支架的焊接、绑扎钢筋网作为引下线，其钢筋混凝土基础宜作为接地装置；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3）防雷防静电共用接地装置，接地电阻不大于10Ω。</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8.1.2.10 架空敷设的燃气管道应设置安全警示标志，在可能被车辆碰撞的位置应设置防撞保护设施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并应定期对管道的外防腐层进行检查和维护。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《城镇燃气输配工程施工及验收规范》CJJ33-2005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 固定支架应按设计规定安装，安装补偿器时，应在补偿器预拉伸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之后固定。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5.1.</w:t>
            </w:r>
            <w:r>
              <w:rPr>
                <w:rFonts w:hint="eastAsia" w:ascii="宋体" w:hAnsi="宋体" w:eastAsia="宋体" w:cs="宋体"/>
                <w:color w:val="auto"/>
                <w:sz w:val="21"/>
                <w:szCs w:val="21"/>
                <w:highlight w:val="none"/>
                <w:lang w:bidi="zh-TW"/>
              </w:rPr>
              <w:t>15 当输配管道架空敷设时，应</w:t>
            </w:r>
            <w:r>
              <w:rPr>
                <w:rFonts w:hint="eastAsia" w:ascii="宋体" w:hAnsi="宋体" w:eastAsia="宋体" w:cs="宋体"/>
                <w:color w:val="auto"/>
                <w:sz w:val="21"/>
                <w:szCs w:val="21"/>
                <w:highlight w:val="none"/>
                <w:lang w:eastAsia="zh-CN" w:bidi="zh-TW"/>
              </w:rPr>
              <w:t>采取</w:t>
            </w:r>
            <w:r>
              <w:rPr>
                <w:rFonts w:hint="eastAsia" w:ascii="宋体" w:hAnsi="宋体" w:eastAsia="宋体" w:cs="宋体"/>
                <w:color w:val="auto"/>
                <w:sz w:val="21"/>
                <w:szCs w:val="21"/>
                <w:highlight w:val="none"/>
                <w:lang w:bidi="zh-TW"/>
              </w:rPr>
              <w:t>防止车辆冲撞等外力损害的措施。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3.2.5</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z w:val="21"/>
                <w:szCs w:val="21"/>
                <w:highlight w:val="none"/>
              </w:rPr>
              <w:t>穿跨越管道敷设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穿跨越管道敷设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水域开挖法穿越施工应符合设计和相关标准的要求。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250-2016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 围堰和导流施工应符合下列规定：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rPr>
              <w:t>1 导流</w:t>
            </w:r>
            <w:r>
              <w:rPr>
                <w:rFonts w:hint="eastAsia" w:ascii="宋体" w:hAnsi="宋体" w:eastAsia="宋体" w:cs="宋体"/>
                <w:color w:val="auto"/>
                <w:sz w:val="21"/>
                <w:szCs w:val="21"/>
                <w:highlight w:val="none"/>
                <w:lang w:bidi="zh-TW"/>
              </w:rPr>
              <w:t>沟底应低于入口处河流水面，导流沟宽度应根据河水流量的大小确定，沟底水流方向应的坡度不应小于0.003。导流沟宽度应根据河水流量的大小确定。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TW"/>
              </w:rPr>
              <w:t>2 河流上、下游两截水坝之间的距离应能满足施工作业要求。坝顶应高出施工期水面1.0m～1.5m，且不得超过河岸最低点；断面应为梯形，边坡比宜为1：1～1：2，坝顶宽度应根据河水的深度确定，宜为2m～5m</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5.2.4河底管沟的几何尺寸和质量应符合下列规定：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rPr>
              <w:t>1 河底管</w:t>
            </w:r>
            <w:r>
              <w:rPr>
                <w:rFonts w:hint="eastAsia" w:ascii="宋体" w:hAnsi="宋体" w:eastAsia="宋体" w:cs="宋体"/>
                <w:color w:val="auto"/>
                <w:sz w:val="21"/>
                <w:szCs w:val="21"/>
                <w:highlight w:val="none"/>
                <w:lang w:bidi="zh-TW"/>
              </w:rPr>
              <w:t>沟的沟底宽度和边坡尺寸应根据土石性质、水流 速度、开挖深度和施工方法等因素确定，必要时可进行试挖。当无试验条件和数据时，开挖管沟尺寸可分别按表5.2.4-1和表5.2.4-2确定（表略）。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3 不带水开挖施工时，河底管沟中心线偏移不应大于200mm，管沟深度应符合设计要求，允许偏差应为±200mm。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4 带水开挖穿越施工时，河底管沟中心线偏移不应超过500mm，管沟深度应符合设计要求，允许偏差应为</w:t>
            </w:r>
            <w:r>
              <w:rPr>
                <w:rFonts w:hint="eastAsia" w:ascii="宋体" w:hAnsi="宋体" w:eastAsia="宋体" w:cs="宋体"/>
                <w:color w:val="auto"/>
                <w:sz w:val="21"/>
                <w:szCs w:val="21"/>
                <w:highlight w:val="none"/>
                <w:lang w:val="en-US" w:eastAsia="zh-CN" w:bidi="zh-TW"/>
              </w:rPr>
              <w:t>±</w:t>
            </w:r>
            <w:r>
              <w:rPr>
                <w:rFonts w:hint="eastAsia" w:ascii="宋体" w:hAnsi="宋体" w:eastAsia="宋体" w:cs="宋体"/>
                <w:color w:val="auto"/>
                <w:sz w:val="21"/>
                <w:szCs w:val="21"/>
                <w:highlight w:val="none"/>
                <w:lang w:bidi="zh-TW"/>
              </w:rPr>
              <w:t>300mm。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lang w:bidi="zh-TW"/>
              </w:rPr>
              <w:t xml:space="preserve">5 管沟开挖过程中，应定时测量管沟尺寸。管沟开挖完成后，应对管沟进行测量，并应做好记录。 </w:t>
            </w:r>
            <w:r>
              <w:rPr>
                <w:rFonts w:hint="eastAsia" w:ascii="宋体" w:hAnsi="宋体" w:eastAsia="宋体" w:cs="宋体"/>
                <w:color w:val="auto"/>
                <w:spacing w:val="-2"/>
                <w:sz w:val="21"/>
                <w:szCs w:val="21"/>
                <w:highlight w:val="none"/>
              </w:rPr>
              <w:t xml:space="preserve">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9"/>
                <w:sz w:val="21"/>
                <w:szCs w:val="21"/>
                <w:highlight w:val="none"/>
              </w:rPr>
              <w:t>5.2.7</w:t>
            </w:r>
            <w:r>
              <w:rPr>
                <w:rFonts w:hint="eastAsia" w:ascii="宋体" w:hAnsi="宋体" w:eastAsia="宋体" w:cs="宋体"/>
                <w:color w:val="auto"/>
                <w:spacing w:val="-2"/>
                <w:sz w:val="21"/>
                <w:szCs w:val="21"/>
                <w:highlight w:val="none"/>
              </w:rPr>
              <w:t xml:space="preserve">带水开挖穿越的稳管施工应符合下列规定： </w:t>
            </w:r>
          </w:p>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 管道应按设计要求进行稳管。</w:t>
            </w:r>
          </w:p>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 穿越管段在安放配重块、石笼、浇筑混凝土连续覆盖层时，不应损坏管道的防腐层。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3 复壁管环形空间注水泥浆前，内管应充满水，并应且保持一定的压力。注浆时应在排放口取样，并应测定排放口水泥浆的相对密度，待达到设计相对密度时应停止注浆。</w:t>
            </w:r>
          </w:p>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 水泥浆性能应符合表5.2.7的规定。</w:t>
            </w:r>
          </w:p>
          <w:p>
            <w:pPr>
              <w:keepNext w:val="0"/>
              <w:keepLines w:val="0"/>
              <w:pageBreakBefore w:val="0"/>
              <w:kinsoku/>
              <w:wordWrap/>
              <w:overflowPunct/>
              <w:topLinePunct w:val="0"/>
              <w:autoSpaceDE/>
              <w:autoSpaceDN/>
              <w:bidi w:val="0"/>
              <w:spacing w:line="260" w:lineRule="atLeast"/>
              <w:ind w:left="0" w:firstLine="3090" w:firstLineChars="150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表5.2.7 水泥浆性能</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22"/>
              <w:gridCol w:w="2665"/>
              <w:gridCol w:w="2613"/>
              <w:gridCol w:w="2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210"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流动度</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m</w:t>
                  </w:r>
                  <w:r>
                    <w:rPr>
                      <w:rFonts w:hint="eastAsia" w:ascii="宋体" w:hAnsi="宋体" w:eastAsia="宋体" w:cs="宋体"/>
                      <w:color w:val="auto"/>
                      <w:spacing w:val="-2"/>
                      <w:sz w:val="21"/>
                      <w:szCs w:val="21"/>
                      <w:highlight w:val="none"/>
                      <w:lang w:eastAsia="zh-CN"/>
                    </w:rPr>
                    <w:t>）</w:t>
                  </w:r>
                </w:p>
              </w:tc>
              <w:tc>
                <w:tcPr>
                  <w:tcW w:w="1230"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初凝时间</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h</w:t>
                  </w:r>
                  <w:r>
                    <w:rPr>
                      <w:rFonts w:hint="eastAsia" w:ascii="宋体" w:hAnsi="宋体" w:eastAsia="宋体" w:cs="宋体"/>
                      <w:color w:val="auto"/>
                      <w:spacing w:val="-2"/>
                      <w:sz w:val="21"/>
                      <w:szCs w:val="21"/>
                      <w:highlight w:val="none"/>
                      <w:lang w:eastAsia="zh-CN"/>
                    </w:rPr>
                    <w:t>）</w:t>
                  </w:r>
                </w:p>
              </w:tc>
              <w:tc>
                <w:tcPr>
                  <w:tcW w:w="120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终凝时间</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h</w:t>
                  </w:r>
                  <w:r>
                    <w:rPr>
                      <w:rFonts w:hint="eastAsia" w:ascii="宋体" w:hAnsi="宋体" w:eastAsia="宋体" w:cs="宋体"/>
                      <w:color w:val="auto"/>
                      <w:spacing w:val="-2"/>
                      <w:sz w:val="21"/>
                      <w:szCs w:val="21"/>
                      <w:highlight w:val="none"/>
                      <w:lang w:eastAsia="zh-CN"/>
                    </w:rPr>
                    <w:t>）</w:t>
                  </w:r>
                </w:p>
              </w:tc>
              <w:tc>
                <w:tcPr>
                  <w:tcW w:w="135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密度</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kg/m³</w:t>
                  </w:r>
                  <w:r>
                    <w:rPr>
                      <w:rFonts w:hint="eastAsia" w:ascii="宋体" w:hAnsi="宋体" w:eastAsia="宋体" w:cs="宋体"/>
                      <w:color w:val="auto"/>
                      <w:spacing w:val="-2"/>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210"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≥0.16</w:t>
                  </w:r>
                </w:p>
              </w:tc>
              <w:tc>
                <w:tcPr>
                  <w:tcW w:w="1230"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8～10</w:t>
                  </w:r>
                </w:p>
              </w:tc>
              <w:tc>
                <w:tcPr>
                  <w:tcW w:w="1206"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18～24</w:t>
                  </w:r>
                </w:p>
              </w:tc>
              <w:tc>
                <w:tcPr>
                  <w:tcW w:w="1353" w:type="pct"/>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≥1800</w:t>
                  </w:r>
                </w:p>
              </w:tc>
            </w:tr>
          </w:tbl>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5.2.8 管沟回填应符合下列规定：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bidi="zh-TW"/>
              </w:rPr>
              <w:t>回填前应对下沟管道进行标高测量和管道中心线测量</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bidi="zh-TW"/>
              </w:rPr>
              <w:t>合格后方可进行管沟回填；</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2 设计为自然回淤的管沟，应在管道下沟敷管完成后，采用人工回填1/3的覆盖深度，或采取其他稳管措施；</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TW"/>
              </w:rPr>
              <w:t xml:space="preserve">3 回填后应对管道的中心线、标高进行复验，并应符合设计要求。 </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《燃气工程项目规范》GB55009-2021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rPr>
              <w:t xml:space="preserve">5.1.8 </w:t>
            </w:r>
            <w:r>
              <w:rPr>
                <w:rFonts w:hint="eastAsia" w:ascii="宋体" w:hAnsi="宋体" w:eastAsia="宋体" w:cs="宋体"/>
                <w:color w:val="auto"/>
                <w:sz w:val="21"/>
                <w:szCs w:val="21"/>
                <w:highlight w:val="none"/>
                <w:lang w:bidi="zh-TW"/>
              </w:rPr>
              <w:t>河底穿越输配管道时，管道至河床的覆土厚度应根据水流冲刷条件及规划河床标高确定。对于通航的河流，应满足疏浚和投锚的深度要求。输配管道穿越河流两岸的上、下游位置应设立标志。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穿跨越管道敷设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水平定向钻穿越施工应符合设计和相关标准的要求。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250-2016</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r>
              <w:rPr>
                <w:rFonts w:hint="eastAsia" w:ascii="宋体" w:hAnsi="宋体" w:eastAsia="宋体" w:cs="宋体"/>
                <w:color w:val="auto"/>
                <w:kern w:val="0"/>
                <w:sz w:val="21"/>
                <w:szCs w:val="21"/>
                <w:highlight w:val="none"/>
                <w:lang w:bidi="ar"/>
              </w:rPr>
              <w:t xml:space="preserve">.3.2 采用水平定向钻法穿越时，穿越管段与桥梁的水平净距应符合下列规定：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 穿越管段与桥梁墩台冲刷坑外边缘的水平净距不宜小于10m</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且不应影响桥梁墩台安全；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 当穿越小型水域</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水沟</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，且燃气管道设计压力小于等于0.4MPa时，在保证桥梁和燃气管道安全情况下，穿越管段与城市桥梁墩台冲刷坑外边缘不应小于4.5m</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并应征得桥梁等管理部门的同意。</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 水平定向钻穿越的管材选择应符合下列规定：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当穿越管道的管径大于DN400或长度大于300m时，宜采用钢管，并应符合现行国家标准《城镇燃气设计规范》GB50028的有关规定；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 当</w:t>
            </w:r>
            <w:r>
              <w:rPr>
                <w:rFonts w:hint="eastAsia" w:ascii="宋体" w:hAnsi="宋体" w:eastAsia="宋体" w:cs="宋体"/>
                <w:color w:val="auto"/>
                <w:kern w:val="0"/>
                <w:sz w:val="21"/>
                <w:szCs w:val="21"/>
                <w:highlight w:val="none"/>
                <w:lang w:eastAsia="zh-CN" w:bidi="ar"/>
              </w:rPr>
              <w:t>采用</w:t>
            </w:r>
            <w:r>
              <w:rPr>
                <w:rFonts w:hint="eastAsia" w:ascii="宋体" w:hAnsi="宋体" w:eastAsia="宋体" w:cs="宋体"/>
                <w:color w:val="auto"/>
                <w:kern w:val="0"/>
                <w:sz w:val="21"/>
                <w:szCs w:val="21"/>
                <w:highlight w:val="none"/>
                <w:lang w:bidi="ar"/>
              </w:rPr>
              <w:t>PE管材时，应</w:t>
            </w:r>
            <w:r>
              <w:rPr>
                <w:rFonts w:hint="eastAsia" w:ascii="宋体" w:hAnsi="宋体" w:eastAsia="宋体" w:cs="宋体"/>
                <w:color w:val="auto"/>
                <w:kern w:val="0"/>
                <w:sz w:val="21"/>
                <w:szCs w:val="21"/>
                <w:highlight w:val="none"/>
                <w:lang w:eastAsia="zh-CN" w:bidi="ar"/>
              </w:rPr>
              <w:t>采用</w:t>
            </w:r>
            <w:r>
              <w:rPr>
                <w:rFonts w:hint="eastAsia" w:ascii="宋体" w:hAnsi="宋体" w:eastAsia="宋体" w:cs="宋体"/>
                <w:color w:val="auto"/>
                <w:kern w:val="0"/>
                <w:sz w:val="21"/>
                <w:szCs w:val="21"/>
                <w:highlight w:val="none"/>
                <w:lang w:bidi="ar"/>
              </w:rPr>
              <w:t>SDRll系列管材，并应符合现行国家标准《燃气用埋地聚乙烯</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PE) 管道系统部分 第1部分：管材</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GB15558.1的有关规定。</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4.3.4 水平定向钻穿越时，燃气管道至规划河床的覆土厚度不宜小于3m。</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4.3.8 水平定向钻穿越的入土角和出土角，应根据穿越长度、穿越深度和管道弹性敷设条件等综合确定。入土角宜</w:t>
            </w:r>
            <w:r>
              <w:rPr>
                <w:rFonts w:hint="eastAsia" w:ascii="宋体" w:hAnsi="宋体" w:eastAsia="宋体" w:cs="宋体"/>
                <w:color w:val="auto"/>
                <w:kern w:val="0"/>
                <w:sz w:val="21"/>
                <w:szCs w:val="21"/>
                <w:highlight w:val="none"/>
                <w:lang w:eastAsia="zh-CN" w:bidi="ar"/>
              </w:rPr>
              <w:t>为</w:t>
            </w:r>
            <w:r>
              <w:rPr>
                <w:rFonts w:hint="eastAsia" w:ascii="宋体" w:hAnsi="宋体" w:eastAsia="宋体" w:cs="宋体"/>
                <w:color w:val="auto"/>
                <w:kern w:val="0"/>
                <w:sz w:val="21"/>
                <w:szCs w:val="21"/>
                <w:highlight w:val="none"/>
                <w:lang w:bidi="ar"/>
              </w:rPr>
              <w:t>8°</w:t>
            </w:r>
            <w:r>
              <w:rPr>
                <w:rFonts w:hint="eastAsia" w:ascii="宋体" w:hAnsi="宋体" w:eastAsia="宋体" w:cs="宋体"/>
                <w:color w:val="auto"/>
                <w:spacing w:val="-2"/>
                <w:sz w:val="21"/>
                <w:szCs w:val="21"/>
                <w:highlight w:val="none"/>
              </w:rPr>
              <w:t>～</w:t>
            </w:r>
            <w:r>
              <w:rPr>
                <w:rFonts w:hint="eastAsia" w:ascii="宋体" w:hAnsi="宋体" w:eastAsia="宋体" w:cs="宋体"/>
                <w:color w:val="auto"/>
                <w:kern w:val="0"/>
                <w:sz w:val="21"/>
                <w:szCs w:val="21"/>
                <w:highlight w:val="none"/>
                <w:lang w:bidi="ar"/>
              </w:rPr>
              <w:t>18°，出土角宜</w:t>
            </w:r>
            <w:r>
              <w:rPr>
                <w:rFonts w:hint="eastAsia" w:ascii="宋体" w:hAnsi="宋体" w:eastAsia="宋体" w:cs="宋体"/>
                <w:color w:val="auto"/>
                <w:kern w:val="0"/>
                <w:sz w:val="21"/>
                <w:szCs w:val="21"/>
                <w:highlight w:val="none"/>
                <w:lang w:eastAsia="zh-CN" w:bidi="ar"/>
              </w:rPr>
              <w:t>为</w:t>
            </w:r>
            <w:r>
              <w:rPr>
                <w:rFonts w:hint="eastAsia" w:ascii="宋体" w:hAnsi="宋体" w:eastAsia="宋体" w:cs="宋体"/>
                <w:color w:val="auto"/>
                <w:kern w:val="0"/>
                <w:sz w:val="21"/>
                <w:szCs w:val="21"/>
                <w:highlight w:val="none"/>
                <w:lang w:bidi="ar"/>
              </w:rPr>
              <w:t>4°</w:t>
            </w:r>
            <w:r>
              <w:rPr>
                <w:rFonts w:hint="eastAsia" w:ascii="宋体" w:hAnsi="宋体" w:eastAsia="宋体" w:cs="宋体"/>
                <w:color w:val="auto"/>
                <w:spacing w:val="-2"/>
                <w:sz w:val="21"/>
                <w:szCs w:val="21"/>
                <w:highlight w:val="none"/>
              </w:rPr>
              <w:t>～</w:t>
            </w:r>
            <w:r>
              <w:rPr>
                <w:rFonts w:hint="eastAsia" w:ascii="宋体" w:hAnsi="宋体" w:eastAsia="宋体" w:cs="宋体"/>
                <w:color w:val="auto"/>
                <w:kern w:val="0"/>
                <w:sz w:val="21"/>
                <w:szCs w:val="21"/>
                <w:highlight w:val="none"/>
                <w:lang w:bidi="ar"/>
              </w:rPr>
              <w:t>12°。</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4.3.10 水平定向钻穿越的曲率半径应符合下列规定：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 当采用钢管时，曲率半径不宜小于钢管管径</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1500倍，且不应小于1200倍；</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2 当采用PE管时，曲率半径不应小于PE管管径的500倍。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pacing w:val="9"/>
                <w:sz w:val="21"/>
                <w:szCs w:val="21"/>
                <w:highlight w:val="none"/>
              </w:rPr>
            </w:pPr>
            <w:r>
              <w:rPr>
                <w:rFonts w:hint="eastAsia" w:ascii="宋体" w:hAnsi="宋体" w:eastAsia="宋体" w:cs="宋体"/>
                <w:color w:val="auto"/>
                <w:spacing w:val="-3"/>
                <w:sz w:val="21"/>
                <w:szCs w:val="21"/>
                <w:highlight w:val="none"/>
              </w:rPr>
              <w:t>4.3.12</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3"/>
                <w:sz w:val="21"/>
                <w:szCs w:val="21"/>
                <w:highlight w:val="none"/>
              </w:rPr>
              <w:t>当采用钢管穿越时，应对管道外防腐层进行防护，</w:t>
            </w:r>
            <w:r>
              <w:rPr>
                <w:rFonts w:hint="eastAsia" w:ascii="宋体" w:hAnsi="宋体" w:eastAsia="宋体" w:cs="宋体"/>
                <w:color w:val="auto"/>
                <w:sz w:val="21"/>
                <w:szCs w:val="21"/>
                <w:highlight w:val="none"/>
              </w:rPr>
              <w:t>并应符合下列规定：</w:t>
            </w:r>
          </w:p>
          <w:p>
            <w:pPr>
              <w:keepNext w:val="0"/>
              <w:keepLines w:val="0"/>
              <w:pageBreakBefore w:val="0"/>
              <w:kinsoku/>
              <w:wordWrap/>
              <w:overflowPunct/>
              <w:topLinePunct w:val="0"/>
              <w:autoSpaceDE/>
              <w:autoSpaceDN/>
              <w:bidi w:val="0"/>
              <w:spacing w:line="260" w:lineRule="atLeast"/>
              <w:ind w:left="0" w:firstLine="206"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 防护层材料宜与管道防腐层兼容；</w:t>
            </w:r>
          </w:p>
          <w:p>
            <w:pPr>
              <w:keepNext w:val="0"/>
              <w:keepLines w:val="0"/>
              <w:pageBreakBefore w:val="0"/>
              <w:kinsoku/>
              <w:wordWrap/>
              <w:overflowPunct/>
              <w:topLinePunct w:val="0"/>
              <w:autoSpaceDE/>
              <w:autoSpaceDN/>
              <w:bidi w:val="0"/>
              <w:spacing w:line="260" w:lineRule="atLeast"/>
              <w:ind w:left="0" w:firstLine="208" w:firstLineChars="10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1"/>
                <w:sz w:val="21"/>
                <w:szCs w:val="21"/>
                <w:highlight w:val="none"/>
              </w:rPr>
              <w:t>2 当防腐层为三层聚烯烃类材料时，</w:t>
            </w:r>
            <w:r>
              <w:rPr>
                <w:rFonts w:hint="eastAsia" w:ascii="宋体" w:hAnsi="宋体" w:eastAsia="宋体" w:cs="宋体"/>
                <w:color w:val="auto"/>
                <w:spacing w:val="-3"/>
                <w:sz w:val="21"/>
                <w:szCs w:val="21"/>
                <w:highlight w:val="none"/>
              </w:rPr>
              <w:t>防护层宜采用改性环氧玻璃钢或玻璃纤维增强类材料；</w:t>
            </w:r>
          </w:p>
          <w:p>
            <w:pPr>
              <w:keepNext w:val="0"/>
              <w:keepLines w:val="0"/>
              <w:pageBreakBefore w:val="0"/>
              <w:kinsoku/>
              <w:wordWrap/>
              <w:overflowPunct/>
              <w:topLinePunct w:val="0"/>
              <w:autoSpaceDE/>
              <w:autoSpaceDN/>
              <w:bidi w:val="0"/>
              <w:spacing w:line="260" w:lineRule="atLeast"/>
              <w:ind w:left="0" w:firstLine="204"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 当防腐层为环氧粉末材料时，防护层宜采用改性耐磨环氧类涂料。</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5.1.8 穿越段聚乙烯燃气管道的施工应符合下列规定：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 聚乙烯燃气管道连接前应对管材按设计要求进行核对，并应在施工现场进行外观检查，管材表面划伤深度不应超过管材壁厚的5%；</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5.3.4 水平定向钻机的选用应根据计算的最大回拖力确定，钻机最大回拖力不宜小于计算值的2倍。管道水平定向钻回拖时的拉力应符合下列规定：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 钢质管道水平定向钻回拖时的拉力应符合现行国家标准《油气输送管道穿越工程施工规范</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GB50424的有关规定。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 PE燃气管道水平定向钻回拖时的允许拖拉力按下式计算： </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drawing>
                <wp:inline distT="0" distB="0" distL="114300" distR="114300">
                  <wp:extent cx="3670935" cy="820420"/>
                  <wp:effectExtent l="0" t="0" r="12065" b="5080"/>
                  <wp:docPr id="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6"/>
                          <pic:cNvPicPr>
                            <a:picLocks noChangeAspect="1"/>
                          </pic:cNvPicPr>
                        </pic:nvPicPr>
                        <pic:blipFill>
                          <a:blip r:embed="rId15"/>
                          <a:stretch>
                            <a:fillRect/>
                          </a:stretch>
                        </pic:blipFill>
                        <pic:spPr>
                          <a:xfrm>
                            <a:off x="0" y="0"/>
                            <a:ext cx="3670935" cy="82042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5.3.6 钻进液应符合下列规定：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应根据工程地质勘察报告确定钻进液的配置参数；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 钻进液的粘度应根据地质和管径情况确定，可采用马氏漏斗测量；</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 配置钻进液用的</w:t>
            </w:r>
            <w:r>
              <w:rPr>
                <w:rFonts w:hint="eastAsia" w:ascii="宋体" w:hAnsi="宋体" w:eastAsia="宋体" w:cs="宋体"/>
                <w:color w:val="auto"/>
                <w:kern w:val="0"/>
                <w:sz w:val="21"/>
                <w:szCs w:val="21"/>
                <w:highlight w:val="none"/>
                <w:lang w:eastAsia="zh-CN" w:bidi="ar"/>
              </w:rPr>
              <w:t>膨润土</w:t>
            </w:r>
            <w:r>
              <w:rPr>
                <w:rFonts w:hint="eastAsia" w:ascii="宋体" w:hAnsi="宋体" w:eastAsia="宋体" w:cs="宋体"/>
                <w:color w:val="auto"/>
                <w:kern w:val="0"/>
                <w:sz w:val="21"/>
                <w:szCs w:val="21"/>
                <w:highlight w:val="none"/>
                <w:lang w:bidi="ar"/>
              </w:rPr>
              <w:t>含砂量应小于3%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水源应使用清洁淡水，钻进液pH值应调配至8~10；</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 应按规定的顺序进行配置，并应使其充分膨化。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5.3.7 导向孔钻进应符合下列规定：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导向孔应根据设计曲线钻进，每根钻杆的折角应根据管径大小和管道的最小允许弯曲半径确定；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 钻进导向孔时，每根钻杆的测量不得少于1次，当发现定向钻偏离设计轨迹时，应及时进行纠偏。纠偏应渐进进行，不得在一根钻杆的长度内完成所有的纠偏；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 导向孔允许偏差应符合表5.3.7的规定，且偏差不应大于穿越长度的1% 。</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表5.3.7 导向孔允许偏差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m</w:t>
            </w:r>
            <w:r>
              <w:rPr>
                <w:rFonts w:hint="eastAsia" w:ascii="宋体" w:hAnsi="宋体" w:eastAsia="宋体" w:cs="宋体"/>
                <w:color w:val="auto"/>
                <w:kern w:val="0"/>
                <w:sz w:val="21"/>
                <w:szCs w:val="21"/>
                <w:highlight w:val="none"/>
                <w:lang w:eastAsia="zh-CN" w:bidi="ar"/>
              </w:rPr>
              <w:t>）</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68"/>
              <w:gridCol w:w="2048"/>
              <w:gridCol w:w="2069"/>
              <w:gridCol w:w="2048"/>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jc w:val="center"/>
              </w:trPr>
              <w:tc>
                <w:tcPr>
                  <w:tcW w:w="1093" w:type="pct"/>
                  <w:vMerge w:val="restart"/>
                  <w:tcBorders>
                    <w:top w:val="single" w:color="000000" w:sz="2" w:space="0"/>
                    <w:bottom w:val="nil"/>
                  </w:tcBorders>
                </w:tcPr>
                <w:p>
                  <w:pPr>
                    <w:keepNext w:val="0"/>
                    <w:keepLines w:val="0"/>
                    <w:pageBreakBefore w:val="0"/>
                    <w:kinsoku/>
                    <w:wordWrap/>
                    <w:overflowPunct/>
                    <w:topLinePunct w:val="0"/>
                    <w:autoSpaceDE/>
                    <w:autoSpaceDN/>
                    <w:bidi w:val="0"/>
                    <w:spacing w:line="260" w:lineRule="atLeast"/>
                    <w:ind w:left="0" w:firstLine="454"/>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管材</w:t>
                  </w:r>
                </w:p>
              </w:tc>
              <w:tc>
                <w:tcPr>
                  <w:tcW w:w="1900" w:type="pct"/>
                  <w:gridSpan w:val="2"/>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662"/>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导向孔曲线</w:t>
                  </w:r>
                </w:p>
              </w:tc>
              <w:tc>
                <w:tcPr>
                  <w:tcW w:w="2006" w:type="pct"/>
                  <w:gridSpan w:val="2"/>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906"/>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出土点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jc w:val="center"/>
              </w:trPr>
              <w:tc>
                <w:tcPr>
                  <w:tcW w:w="1093" w:type="pct"/>
                  <w:vMerge w:val="continue"/>
                  <w:tcBorders>
                    <w:top w:val="nil"/>
                    <w:bottom w:val="single" w:color="000000" w:sz="2" w:space="0"/>
                  </w:tcBorders>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945"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92"/>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横向偏差</w:t>
                  </w:r>
                </w:p>
              </w:tc>
              <w:tc>
                <w:tcPr>
                  <w:tcW w:w="954"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94"/>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上下偏差</w:t>
                  </w:r>
                </w:p>
              </w:tc>
              <w:tc>
                <w:tcPr>
                  <w:tcW w:w="945"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96"/>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横向偏差</w:t>
                  </w:r>
                </w:p>
              </w:tc>
              <w:tc>
                <w:tcPr>
                  <w:tcW w:w="1060"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258"/>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纵向偏差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093"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454"/>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钢管</w:t>
                  </w:r>
                </w:p>
              </w:tc>
              <w:tc>
                <w:tcPr>
                  <w:tcW w:w="945"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412"/>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士2</w:t>
                  </w:r>
                </w:p>
              </w:tc>
              <w:tc>
                <w:tcPr>
                  <w:tcW w:w="954"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334"/>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
                      <w:sz w:val="21"/>
                      <w:szCs w:val="21"/>
                      <w:highlight w:val="none"/>
                    </w:rPr>
                    <w:t>-2</w:t>
                  </w:r>
                </w:p>
              </w:tc>
              <w:tc>
                <w:tcPr>
                  <w:tcW w:w="945"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416"/>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士2</w:t>
                  </w:r>
                </w:p>
              </w:tc>
              <w:tc>
                <w:tcPr>
                  <w:tcW w:w="1060"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348"/>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十5</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093"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454"/>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PE管</w:t>
                  </w:r>
                </w:p>
              </w:tc>
              <w:tc>
                <w:tcPr>
                  <w:tcW w:w="945"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412"/>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士1</w:t>
                  </w:r>
                </w:p>
              </w:tc>
              <w:tc>
                <w:tcPr>
                  <w:tcW w:w="954"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284"/>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十1</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
                      <w:sz w:val="21"/>
                      <w:szCs w:val="21"/>
                      <w:highlight w:val="none"/>
                    </w:rPr>
                    <w:t>-1</w:t>
                  </w:r>
                </w:p>
              </w:tc>
              <w:tc>
                <w:tcPr>
                  <w:tcW w:w="945"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326"/>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士0.5</w:t>
                  </w:r>
                </w:p>
              </w:tc>
              <w:tc>
                <w:tcPr>
                  <w:tcW w:w="1060"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3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rPr>
                    <w:t>-1</w:t>
                  </w:r>
                </w:p>
              </w:tc>
            </w:tr>
          </w:tbl>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5.3.8 扩孔应符合下列规定：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 最终扩孔直径应根据穿越管道的直径、长度、穿越地质条件和钻机能力确定，最小扩孔直径可按</w:t>
            </w:r>
            <w:r>
              <w:rPr>
                <w:rFonts w:hint="eastAsia" w:ascii="宋体" w:hAnsi="宋体" w:eastAsia="宋体" w:cs="宋体"/>
                <w:color w:val="auto"/>
                <w:kern w:val="0"/>
                <w:sz w:val="21"/>
                <w:szCs w:val="21"/>
                <w:highlight w:val="none"/>
                <w:lang w:eastAsia="zh-CN" w:bidi="ar"/>
              </w:rPr>
              <w:t>表</w:t>
            </w:r>
            <w:r>
              <w:rPr>
                <w:rFonts w:hint="eastAsia" w:ascii="宋体" w:hAnsi="宋体" w:eastAsia="宋体" w:cs="宋体"/>
                <w:color w:val="auto"/>
                <w:kern w:val="0"/>
                <w:sz w:val="21"/>
                <w:szCs w:val="21"/>
                <w:highlight w:val="none"/>
                <w:lang w:bidi="ar"/>
              </w:rPr>
              <w:t>5.3.8</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 xml:space="preserve">规定执行。 </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表5.3.8 最小扩孔直径</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06"/>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2449"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534"/>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穿越管道的直径DN(mm)</w:t>
                  </w:r>
                </w:p>
              </w:tc>
              <w:tc>
                <w:tcPr>
                  <w:tcW w:w="2550"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774"/>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最小扩孔直径</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mm</w:t>
                  </w:r>
                  <w:r>
                    <w:rPr>
                      <w:rFonts w:hint="eastAsia" w:ascii="宋体" w:hAnsi="宋体" w:eastAsia="宋体" w:cs="宋体"/>
                      <w:color w:val="auto"/>
                      <w:spacing w:val="3"/>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449"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254"/>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&lt;200</w:t>
                  </w:r>
                </w:p>
              </w:tc>
              <w:tc>
                <w:tcPr>
                  <w:tcW w:w="2550"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184"/>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DN士100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449"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124"/>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200～600</w:t>
                  </w:r>
                </w:p>
              </w:tc>
              <w:tc>
                <w:tcPr>
                  <w:tcW w:w="2550"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274"/>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1.5DN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2449"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254"/>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&gt;600</w:t>
                  </w:r>
                </w:p>
              </w:tc>
              <w:tc>
                <w:tcPr>
                  <w:tcW w:w="2550" w:type="pct"/>
                  <w:tcBorders>
                    <w:top w:val="single" w:color="000000" w:sz="2" w:space="0"/>
                    <w:bottom w:val="single" w:color="000000" w:sz="2" w:space="0"/>
                  </w:tcBorders>
                </w:tcPr>
                <w:p>
                  <w:pPr>
                    <w:keepNext w:val="0"/>
                    <w:keepLines w:val="0"/>
                    <w:pageBreakBefore w:val="0"/>
                    <w:kinsoku/>
                    <w:wordWrap/>
                    <w:overflowPunct/>
                    <w:topLinePunct w:val="0"/>
                    <w:autoSpaceDE/>
                    <w:autoSpaceDN/>
                    <w:bidi w:val="0"/>
                    <w:spacing w:line="260" w:lineRule="atLeast"/>
                    <w:ind w:left="0" w:firstLine="1224"/>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DN+300</w:t>
                  </w:r>
                </w:p>
              </w:tc>
            </w:tr>
          </w:tbl>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5.3.9 定向钻穿越燃气管道的地面安装应符合下列规定：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穿越段管道应在平整且具有承载能力的场地进行预制；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 预制管道应与</w:t>
            </w:r>
            <w:r>
              <w:rPr>
                <w:rFonts w:hint="eastAsia" w:ascii="宋体" w:hAnsi="宋体" w:eastAsia="宋体" w:cs="宋体"/>
                <w:color w:val="auto"/>
                <w:kern w:val="0"/>
                <w:sz w:val="21"/>
                <w:szCs w:val="21"/>
                <w:highlight w:val="none"/>
                <w:lang w:val="en-US" w:eastAsia="zh-CN" w:bidi="ar"/>
              </w:rPr>
              <w:t>入</w:t>
            </w:r>
            <w:r>
              <w:rPr>
                <w:rFonts w:hint="eastAsia" w:ascii="宋体" w:hAnsi="宋体" w:eastAsia="宋体" w:cs="宋体"/>
                <w:color w:val="auto"/>
                <w:kern w:val="0"/>
                <w:sz w:val="21"/>
                <w:szCs w:val="21"/>
                <w:highlight w:val="none"/>
                <w:lang w:bidi="ar"/>
              </w:rPr>
              <w:t xml:space="preserve">土点、出土点成一直线，当受现场条件限制时，预制管道可适当弯曲，并应符合本规程第4.3.10条的有关规定；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 预制管道宜根据设计长度全线焊接，当场地局限时，也可分段焊接，在回拖过程中连接；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 当采用热收缩带进行穿越段钢管焊口补口时，应采用定向钻专用热收缩带；</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 在穿越管道回拖前，钢管应采用电火花检漏仪对防腐层进行检验；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 聚乙烯燃气管道焊接应使用全自动焊机；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 管道回拖前，应对焊接完成的管段进行水压试验；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 聚乙烯燃气管道应对表面划痕进行检查。</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5.3.13 水平定向钻穿越燃气管道接头处的防腐层外宜设置保护套，防腐等级不应低于原管道，在管道穿越时，接头处的外防腐层不得被损坏。</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5.3.14 回拖作业应符合下列规定：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 应采取避免损伤管道及外防腐层的有效措施。可采取发送沟蓄水漂管、发送架及吊机送管等方式，避免管道与地面直接接触。管道</w:t>
            </w:r>
            <w:r>
              <w:rPr>
                <w:rFonts w:hint="eastAsia" w:ascii="宋体" w:hAnsi="宋体" w:eastAsia="宋体" w:cs="宋体"/>
                <w:color w:val="auto"/>
                <w:kern w:val="0"/>
                <w:sz w:val="21"/>
                <w:szCs w:val="21"/>
                <w:highlight w:val="none"/>
                <w:lang w:eastAsia="zh-CN" w:bidi="ar"/>
              </w:rPr>
              <w:t>入洞口</w:t>
            </w:r>
            <w:r>
              <w:rPr>
                <w:rFonts w:hint="eastAsia" w:ascii="宋体" w:hAnsi="宋体" w:eastAsia="宋体" w:cs="宋体"/>
                <w:color w:val="auto"/>
                <w:kern w:val="0"/>
                <w:sz w:val="21"/>
                <w:szCs w:val="21"/>
                <w:highlight w:val="none"/>
                <w:lang w:bidi="ar"/>
              </w:rPr>
              <w:t xml:space="preserve">前与地面的接触处部位应进行润滑。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 应实时记录回拖过程的回拖力、扭矩、回拖速度、钻进液流量等数据，并应附于竣工资料中。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 宜对钢管的外防腐层进行电火花测试，对防腐层的损伤部位应及时修补。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5.3.15 出土点和</w:t>
            </w:r>
            <w:r>
              <w:rPr>
                <w:rFonts w:hint="eastAsia" w:ascii="宋体" w:hAnsi="宋体" w:eastAsia="宋体" w:cs="宋体"/>
                <w:color w:val="auto"/>
                <w:kern w:val="0"/>
                <w:sz w:val="21"/>
                <w:szCs w:val="21"/>
                <w:highlight w:val="none"/>
                <w:lang w:eastAsia="zh-CN" w:bidi="ar"/>
              </w:rPr>
              <w:t>入土</w:t>
            </w:r>
            <w:r>
              <w:rPr>
                <w:rFonts w:hint="eastAsia" w:ascii="宋体" w:hAnsi="宋体" w:eastAsia="宋体" w:cs="宋体"/>
                <w:color w:val="auto"/>
                <w:kern w:val="0"/>
                <w:sz w:val="21"/>
                <w:szCs w:val="21"/>
                <w:highlight w:val="none"/>
                <w:lang w:bidi="ar"/>
              </w:rPr>
              <w:t>点两端管道应各出地面lm</w:t>
            </w:r>
            <w:r>
              <w:rPr>
                <w:rFonts w:hint="eastAsia" w:ascii="宋体" w:hAnsi="宋体" w:eastAsia="宋体" w:cs="宋体"/>
                <w:color w:val="auto"/>
                <w:spacing w:val="-2"/>
                <w:sz w:val="21"/>
                <w:szCs w:val="21"/>
                <w:highlight w:val="none"/>
              </w:rPr>
              <w:t>～</w:t>
            </w:r>
            <w:r>
              <w:rPr>
                <w:rFonts w:hint="eastAsia" w:ascii="宋体" w:hAnsi="宋体" w:eastAsia="宋体" w:cs="宋体"/>
                <w:color w:val="auto"/>
                <w:kern w:val="0"/>
                <w:sz w:val="21"/>
                <w:szCs w:val="21"/>
                <w:highlight w:val="none"/>
                <w:lang w:bidi="ar"/>
              </w:rPr>
              <w:t>3m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5.3.16 穿越铁路、重要道路施工时，应进行地表沉降监测，并应做好记录。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5.3.17 回拖结束后，应将管道放置24h以上，待管道在穿越过程中的拉伸应力充分释放后，方可与两端管道进行连接。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穿跨越管道敷设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顶管穿越施工应符合设计文件和相关标准的要求。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250-2016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4.4.6 顶进管道材料的选择应符合下列规定：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顶进管道应采用钢筋混凝土管或钢管，管道规格及接口形式应符合设计要求；曲线顶管宜采用钢筋混凝土管。</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4.4.7 顶进管道的接头应符合下列规定：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顶进管道的密封性能应满足设计文件要求。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2顶进管道的接头在最大允许偏斜的情况下应保持密封性能。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在剪切力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剪切运动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作用下，管道接头应保持密封性能。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当管道之间使用垫环传递轴向力时，垫环的宽度不宜大于管壁厚度。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当采用钢筋混凝土管时，宜采用钢承口的管道接口形式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F形管接口形式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。当曲线顶管采用钢筋</w:t>
            </w:r>
            <w:r>
              <w:rPr>
                <w:rFonts w:hint="eastAsia" w:ascii="宋体" w:hAnsi="宋体" w:eastAsia="宋体" w:cs="宋体"/>
                <w:color w:val="auto"/>
                <w:sz w:val="21"/>
                <w:szCs w:val="21"/>
                <w:highlight w:val="none"/>
                <w:lang w:eastAsia="zh-CN"/>
              </w:rPr>
              <w:t>混凝土</w:t>
            </w:r>
            <w:r>
              <w:rPr>
                <w:rFonts w:hint="eastAsia" w:ascii="宋体" w:hAnsi="宋体" w:eastAsia="宋体" w:cs="宋体"/>
                <w:color w:val="auto"/>
                <w:sz w:val="21"/>
                <w:szCs w:val="21"/>
                <w:highlight w:val="none"/>
              </w:rPr>
              <w:t xml:space="preserve">管时，应加长钢套环的长度，木垫衬应采用松木。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当采用钢管时，应采用焊接连接。焊口处应进行等级不低于燃气管道补口的防腐处理。</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4.4.10 顶管工作井的后坐墙应具有足够的强度和刚度，在设计顶进力的作用下不得被破坏，并应符合下列规定：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后坐墙表面应平整，并应与管道顶进方向垂直。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后坐墙材料的材质应均匀一致。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当采用装配式后坐墙时，尚应符合下列规定： </w:t>
            </w:r>
          </w:p>
          <w:p>
            <w:pPr>
              <w:keepNext w:val="0"/>
              <w:keepLines w:val="0"/>
              <w:pageBreakBefore w:val="0"/>
              <w:widowControl/>
              <w:numPr>
                <w:ilvl w:val="0"/>
                <w:numId w:val="10"/>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装配式后坐墙宜采用方木、型钢或钢板等组装； </w:t>
            </w:r>
          </w:p>
          <w:p>
            <w:pPr>
              <w:keepNext w:val="0"/>
              <w:keepLines w:val="0"/>
              <w:pageBreakBefore w:val="0"/>
              <w:widowControl/>
              <w:numPr>
                <w:ilvl w:val="0"/>
                <w:numId w:val="10"/>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装配式后坐墙的底端宜在工作井底以下，且最小覆土厚度不宜小</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 xml:space="preserve">O.5m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当无原状</w:t>
            </w:r>
            <w:r>
              <w:rPr>
                <w:rFonts w:hint="eastAsia" w:ascii="宋体" w:hAnsi="宋体" w:eastAsia="宋体" w:cs="宋体"/>
                <w:color w:val="auto"/>
                <w:sz w:val="21"/>
                <w:szCs w:val="21"/>
                <w:highlight w:val="none"/>
                <w:lang w:eastAsia="zh-CN"/>
              </w:rPr>
              <w:t>土作</w:t>
            </w:r>
            <w:r>
              <w:rPr>
                <w:rFonts w:hint="eastAsia" w:ascii="宋体" w:hAnsi="宋体" w:eastAsia="宋体" w:cs="宋体"/>
                <w:color w:val="auto"/>
                <w:sz w:val="21"/>
                <w:szCs w:val="21"/>
                <w:highlight w:val="none"/>
              </w:rPr>
              <w:t xml:space="preserve">后坐墙时，可采用人工后坐墙。人工后坐墙应结构简单、稳定可靠，且宜就地取材。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当利用</w:t>
            </w:r>
            <w:r>
              <w:rPr>
                <w:rFonts w:hint="eastAsia" w:ascii="宋体" w:hAnsi="宋体" w:eastAsia="宋体" w:cs="宋体"/>
                <w:color w:val="auto"/>
                <w:sz w:val="21"/>
                <w:szCs w:val="21"/>
                <w:highlight w:val="none"/>
                <w:lang w:eastAsia="zh-CN"/>
              </w:rPr>
              <w:t>已</w:t>
            </w:r>
            <w:r>
              <w:rPr>
                <w:rFonts w:hint="eastAsia" w:ascii="宋体" w:hAnsi="宋体" w:eastAsia="宋体" w:cs="宋体"/>
                <w:color w:val="auto"/>
                <w:sz w:val="21"/>
                <w:szCs w:val="21"/>
                <w:highlight w:val="none"/>
              </w:rPr>
              <w:t xml:space="preserve">顶进完毕的管道作后坐墙时，待顶管道的顶进力应小于已顶管道的顶进力。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后坐墙后背土的压缩残余变形值不应大于20mm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4.4.11 顶管法穿越的燃气管道应在顶进套管内安装绝缘支撑架，顶进套管和内穿燃气管道之间应设检漏管。套管两端应采用柔性的防腐、防水材料将顶进套管和燃气管道的间隙密封，密封长度应大于200mm 。</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4.4.12 当顶进套管对内穿燃气管道的阴极保护产生屏蔽作用时，燃气管道的阴极保护方式宜采用牺牲阳极。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5.1.7 套管内的钢质燃气管道安装后，外部径向载荷不应传递到穿越段燃气管道上。管道的安装应符合下列规定：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套管内的穿越段燃气管道的绝缘支撑架应安装牢固，绝缘垫位置应正确，燃气管道不得与套管接触。</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钢质燃气管道穿入套管前，应按设计要求安装牺牲阳极，绝缘支撑架不得与阳极相连。安装后，应测量管道电位，并应达到保护电位要求。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套管内不得有污物。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穿越管段应在防腐层检漏合格后方可</w:t>
            </w:r>
            <w:r>
              <w:rPr>
                <w:rFonts w:hint="eastAsia" w:ascii="宋体" w:hAnsi="宋体" w:eastAsia="宋体" w:cs="宋体"/>
                <w:color w:val="auto"/>
                <w:sz w:val="21"/>
                <w:szCs w:val="21"/>
                <w:highlight w:val="none"/>
                <w:lang w:eastAsia="zh-CN"/>
              </w:rPr>
              <w:t>穿入</w:t>
            </w:r>
            <w:r>
              <w:rPr>
                <w:rFonts w:hint="eastAsia" w:ascii="宋体" w:hAnsi="宋体" w:eastAsia="宋体" w:cs="宋体"/>
                <w:color w:val="auto"/>
                <w:sz w:val="21"/>
                <w:szCs w:val="21"/>
                <w:highlight w:val="none"/>
              </w:rPr>
              <w:t>套管。</w:t>
            </w:r>
            <w:r>
              <w:rPr>
                <w:rFonts w:hint="eastAsia" w:ascii="宋体" w:hAnsi="宋体" w:eastAsia="宋体" w:cs="宋体"/>
                <w:color w:val="auto"/>
                <w:sz w:val="21"/>
                <w:szCs w:val="21"/>
                <w:highlight w:val="none"/>
                <w:lang w:eastAsia="zh-CN"/>
              </w:rPr>
              <w:t>穿入</w:t>
            </w:r>
            <w:r>
              <w:rPr>
                <w:rFonts w:hint="eastAsia" w:ascii="宋体" w:hAnsi="宋体" w:eastAsia="宋体" w:cs="宋体"/>
                <w:color w:val="auto"/>
                <w:sz w:val="21"/>
                <w:szCs w:val="21"/>
                <w:highlight w:val="none"/>
              </w:rPr>
              <w:t>后应检测套管与穿越管段之间的绝缘电阻，电阻值应大于2MΩ，检测合格后应按设计要求密封套管的两端口。</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5.4.3 顶管工作井的长度和宽度应满足连续施工的要求，深度应根据穿越管道的敷设深度确定。工作井的底部应平整、结实。后坐墙表面应平直，且应垂直于顶进管道的轴线。</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5.4.7 顶管设备的安装和使用应符合下列规定：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顶管设备的安装应符合下列规定：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两层轨应顺直、平行、等高，纵坡应与管道设计坡度一致； </w:t>
            </w:r>
          </w:p>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导轨安装的允许偏差应符合</w:t>
            </w:r>
            <w:r>
              <w:rPr>
                <w:rFonts w:hint="eastAsia" w:ascii="宋体" w:hAnsi="宋体" w:eastAsia="宋体" w:cs="宋体"/>
                <w:color w:val="auto"/>
                <w:kern w:val="0"/>
                <w:sz w:val="21"/>
                <w:szCs w:val="21"/>
                <w:highlight w:val="none"/>
                <w:lang w:eastAsia="zh-CN" w:bidi="ar"/>
              </w:rPr>
              <w:t>表</w:t>
            </w:r>
            <w:r>
              <w:rPr>
                <w:rFonts w:hint="eastAsia" w:ascii="宋体" w:hAnsi="宋体" w:eastAsia="宋体" w:cs="宋体"/>
                <w:color w:val="auto"/>
                <w:kern w:val="0"/>
                <w:sz w:val="21"/>
                <w:szCs w:val="21"/>
                <w:highlight w:val="none"/>
                <w:lang w:bidi="ar"/>
              </w:rPr>
              <w:t>5.4.7</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 xml:space="preserve">规定： </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5.4.7 导轨安装的允许偏差</w:t>
            </w:r>
          </w:p>
          <w:tbl>
            <w:tblPr>
              <w:tblStyle w:val="1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61"/>
              <w:gridCol w:w="5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428"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 目</w:t>
                  </w:r>
                </w:p>
              </w:tc>
              <w:tc>
                <w:tcPr>
                  <w:tcW w:w="2571"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2428"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轴线位置</w:t>
                  </w:r>
                </w:p>
              </w:tc>
              <w:tc>
                <w:tcPr>
                  <w:tcW w:w="2571"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2428"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顶面高程</w:t>
                  </w:r>
                </w:p>
              </w:tc>
              <w:tc>
                <w:tcPr>
                  <w:tcW w:w="2571"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0mm</w:t>
                  </w:r>
                  <w:r>
                    <w:rPr>
                      <w:rFonts w:hint="eastAsia" w:ascii="宋体" w:hAnsi="宋体" w:eastAsia="宋体" w:cs="宋体"/>
                      <w:color w:val="auto"/>
                      <w:spacing w:val="-2"/>
                      <w:sz w:val="21"/>
                      <w:szCs w:val="21"/>
                      <w:highlight w:val="none"/>
                    </w:rPr>
                    <w:t>～</w:t>
                  </w:r>
                  <w:r>
                    <w:rPr>
                      <w:rFonts w:hint="eastAsia" w:ascii="宋体" w:hAnsi="宋体" w:eastAsia="宋体" w:cs="宋体"/>
                      <w:color w:val="auto"/>
                      <w:kern w:val="0"/>
                      <w:sz w:val="21"/>
                      <w:szCs w:val="21"/>
                      <w:highlight w:val="none"/>
                      <w:lang w:bidi="ar"/>
                    </w:rPr>
                    <w:t>+3mm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428"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两轨内距</w:t>
                  </w:r>
                </w:p>
              </w:tc>
              <w:tc>
                <w:tcPr>
                  <w:tcW w:w="2571" w:type="pct"/>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+2mm</w:t>
                  </w:r>
                </w:p>
              </w:tc>
            </w:tr>
          </w:tbl>
          <w:p>
            <w:pPr>
              <w:keepNext w:val="0"/>
              <w:keepLines w:val="0"/>
              <w:pageBreakBefore w:val="0"/>
              <w:widowControl/>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 xml:space="preserve">安装后的导轨应牢固，不得在使用中产生位移，并应定时检查校核。 </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 顶管时，应采用测量仪器控制中心线和高程，以施工放线时布置的中心桩为基准进行导向监控。第一根套管顶进中心线与管道轴线的偏差不应超过管长的3% 。初始顶进中，每顶进300mm 应检查1次；正常顶进后，每顶进1m 检查不应少于1次。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3.2.5.4</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穿跨越管道敷设</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跨越敷设应符合设计文件和相关标准的要求。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5.1.5.1.4 当利用道路桥梁跨越河流时，应符合下列要求：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a）随桥梁跨越河流的燃气管道输送压力不应大于0.4MPa；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b）敷设于桥梁上的燃气管道应采用加厚的无缝钢管或焊接钢管，尽量减少焊缝；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c）跨越通航河流的燃气管道的管底标高应符合通航净空的要求，管架外侧应设置护桩；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d）燃气管道与随桥梁敷设的其他管道的间距应符合CJJ/T250的有关规定；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e）</w:t>
            </w:r>
            <w:r>
              <w:rPr>
                <w:rFonts w:hint="eastAsia" w:ascii="宋体" w:hAnsi="宋体" w:eastAsia="宋体" w:cs="宋体"/>
                <w:color w:val="auto"/>
                <w:kern w:val="0"/>
                <w:sz w:val="21"/>
                <w:szCs w:val="21"/>
                <w:highlight w:val="none"/>
                <w:lang w:bidi="ar"/>
              </w:rPr>
              <w:t xml:space="preserve">对燃气管道采取必要的热补偿和减震措施；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f）随桥梁敷设的燃气管道应采用较高等级的防腐保护，当连接的埋地燃气管道为钢管并进行阴极保护时，应根据阴极保护需要设置绝缘装置；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g）跨越河流的燃气管道的支座（架）材料的耐火极限不应低于1.00h；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h）应采取有效技术措施避免桥梁不均匀沉降对燃气管道的影响和燃气管道热膨胀对桥梁的影响。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250-2016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6.1.7 高压、次高压燃气管道跨越弯管的曲率半径不得小于管道直径的4倍。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7.3.3 随桥跨越燃气管道支、吊架的安装应符合下列规定：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 xml:space="preserve">3 焊接作业前，预埋件位置应符合设计要求；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4 支架与桥体预埋件</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bidi="zh-TW"/>
              </w:rPr>
              <w:t>或连接处</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bidi="zh-TW"/>
              </w:rPr>
              <w:t xml:space="preserve">的焊接应满焊，支架焊缝应焊透；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 xml:space="preserve">5 支、吊架安装应牢固，管道和支承面接触应良好；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zh-TW"/>
              </w:rPr>
              <w:t xml:space="preserve">6 固定支架应在补偿装置预拉伸或预压缩前固定；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zh-TW"/>
              </w:rPr>
              <w:t>7 导向支架或滑动支架的滑动面应洁净平整，不得有歪斜和卡涩现象。</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穿跨越管道敷设</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综合管廊内燃气管道的敷设应符合设计和相关标准的要求。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8.1.5.4 管廊管道安全防护应符合下列规定：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e）进出综合管廊的燃气管道和廊内跨越变形缝处的管道应采取防止管廊沉降的自适应措施，并确保有效；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3.2.6</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default" w:ascii="宋体" w:hAnsi="宋体" w:eastAsia="宋体" w:cs="宋体"/>
                <w:b/>
                <w:bCs/>
                <w:color w:val="auto"/>
                <w:spacing w:val="-6"/>
                <w:kern w:val="0"/>
                <w:sz w:val="21"/>
                <w:szCs w:val="21"/>
                <w:highlight w:val="none"/>
                <w:lang w:val="en-US" w:eastAsia="zh-CN"/>
              </w:rPr>
            </w:pPr>
            <w:r>
              <w:rPr>
                <w:rFonts w:hint="eastAsia" w:ascii="宋体" w:hAnsi="宋体" w:eastAsia="宋体" w:cs="宋体"/>
                <w:b/>
                <w:bCs/>
                <w:color w:val="auto"/>
                <w:sz w:val="21"/>
                <w:szCs w:val="21"/>
                <w:highlight w:val="none"/>
              </w:rPr>
              <w:t>管道附件与设备安装</w:t>
            </w:r>
            <w:r>
              <w:rPr>
                <w:rFonts w:hint="eastAsia" w:ascii="宋体" w:hAnsi="宋体" w:eastAsia="宋体" w:cs="宋体"/>
                <w:b/>
                <w:bCs/>
                <w:color w:val="auto"/>
                <w:sz w:val="21"/>
                <w:szCs w:val="21"/>
                <w:highlight w:val="none"/>
                <w:lang w:val="en-US" w:eastAsia="zh-CN"/>
              </w:rPr>
              <w:t>及锚固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阀门安装应符合设计和相关标准的要求。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6.4.7.3 阀门安装应符合下列规定：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a）阀门吊装应平稳，不得用阀门手轮作为吊装的承重点，不得损坏阀门，已安装就位的阀门应防止重物撞击。</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b）当焊接球阀水平安装时应将阀门完全开启，当垂直管道安装且焊接阀体下方焊缝时，应将阀门关闭。焊接过程中应对阀体进行降温，避免焊缝热影响区对阀体造成影响。当阀门与管道以法兰或螺纹方式连接时，阀门应在关闭状态下安装；当阀门与管道以焊接方式连接时，阀门不得关闭，且宜采用氩弧焊打底。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c）阀门不得强行组对连接或承受外加重力负荷，以防止由于附加应力而损坏阀门。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d）当焊接安装时，焊机地线应搭在同侧焊口的钢管上，不得搭在阀体上。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e）</w:t>
            </w:r>
            <w:r>
              <w:rPr>
                <w:rFonts w:hint="eastAsia" w:ascii="宋体" w:hAnsi="宋体" w:eastAsia="宋体" w:cs="宋体"/>
                <w:color w:val="auto"/>
                <w:kern w:val="0"/>
                <w:sz w:val="21"/>
                <w:szCs w:val="21"/>
                <w:highlight w:val="none"/>
                <w:lang w:bidi="ar"/>
              </w:rPr>
              <w:t xml:space="preserve">阀门焊接完成降至环境温度后方可操作。 </w:t>
            </w:r>
          </w:p>
          <w:p>
            <w:pPr>
              <w:pStyle w:val="2"/>
              <w:keepNext w:val="0"/>
              <w:keepLines w:val="0"/>
              <w:pageBreakBefore w:val="0"/>
              <w:kinsoku/>
              <w:wordWrap/>
              <w:overflowPunct/>
              <w:topLinePunct w:val="0"/>
              <w:autoSpaceDE/>
              <w:autoSpaceDN/>
              <w:bidi w:val="0"/>
              <w:spacing w:line="260" w:lineRule="atLeast"/>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f）阀门安装时，应按阀门标示的介质流向与管道介质的流向确定阀门的安装方向，避免强力安装。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《阀门检验与安装规范》</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4102-2013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4.1.2 </w:t>
            </w:r>
            <w:r>
              <w:rPr>
                <w:rFonts w:hint="eastAsia" w:ascii="宋体" w:hAnsi="宋体" w:eastAsia="宋体" w:cs="宋体"/>
                <w:color w:val="auto"/>
                <w:sz w:val="21"/>
                <w:szCs w:val="21"/>
                <w:highlight w:val="none"/>
              </w:rPr>
              <w:t>阀门安装前应逐个进行壳体压力试验和密封试验。有上密封结构的阀门应进行上密封试验；低压密封试验应根据设计要求进行。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凝水缸安装应符合设计和相关标准的要求。</w:t>
            </w:r>
          </w:p>
          <w:p>
            <w:pPr>
              <w:pStyle w:val="2"/>
              <w:keepNext w:val="0"/>
              <w:keepLines w:val="0"/>
              <w:pageBreakBefore w:val="0"/>
              <w:kinsoku/>
              <w:wordWrap/>
              <w:overflowPunct/>
              <w:topLinePunct w:val="0"/>
              <w:autoSpaceDE/>
              <w:autoSpaceDN/>
              <w:bidi w:val="0"/>
              <w:spacing w:line="260" w:lineRule="atLeast"/>
              <w:ind w:left="0" w:leftChars="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8.3.1钢制凝水缸在安装前，应按设计要求对外表面进行防腐。</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 安装完毕后，凝水缸的抽液管应按同管道的防腐等级进行防腐。</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8.3.3 凝水缸必须按现场实际情况，安装在所在管段的最低处。</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8.3.4 凝水缸盖应安装在凝水缸井的中央位置，出水口阀门的安装位置应合理，并应有足够的操作和检修空间。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管道补偿器安装应符合设计和相关标准的要求。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6.4.7.4 管道补偿装置应符合下列规定：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a）自然补偿器的安装应符合下列规定：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1）应按设计文件规定进行预拉伸或预压缩，允许偏差为预伸缩量的10%，且不大于10mm；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b）波纹管膨胀节的安装应符合下列规定：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2）波纹管膨胀节内套有焊缝的一端，在水平管道上应迎介质流向安装，在铅垂管道上应置于上部；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3）波纹管膨胀节应与管道保持同轴，不得偏斜；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 波纹补偿器的安装应符合下列要求：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补偿器应与管道保持同轴，不得偏斜。安装时不得用补偿器的变形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轴向、径向、扭转等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来调整管位的安装误差。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3.2.6.4</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绝缘接头（法兰）的安装应符合设计和相关标准的要求。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《绝缘接头与绝缘法兰技术规范》</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0516-2016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11.1.1 </w:t>
            </w:r>
            <w:r>
              <w:rPr>
                <w:rFonts w:hint="eastAsia" w:ascii="宋体" w:hAnsi="宋体" w:eastAsia="宋体" w:cs="宋体"/>
                <w:color w:val="auto"/>
                <w:sz w:val="21"/>
                <w:szCs w:val="21"/>
                <w:highlight w:val="none"/>
                <w:lang w:bidi="zh-TW"/>
              </w:rPr>
              <w:t>埋地的绝缘接头应位于管道的水平或竖直管段上，不应安装在常年积水或管道走向的低洼处。</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11.1.4 </w:t>
            </w:r>
            <w:r>
              <w:rPr>
                <w:rFonts w:hint="eastAsia" w:ascii="宋体" w:hAnsi="宋体" w:eastAsia="宋体" w:cs="宋体"/>
                <w:color w:val="auto"/>
                <w:sz w:val="21"/>
                <w:szCs w:val="21"/>
                <w:highlight w:val="none"/>
                <w:lang w:bidi="zh-TW"/>
              </w:rPr>
              <w:t>绝缘接头、绝缘法兰安装两端</w:t>
            </w:r>
            <w:r>
              <w:rPr>
                <w:rFonts w:hint="eastAsia" w:ascii="宋体" w:hAnsi="宋体" w:eastAsia="宋体" w:cs="宋体"/>
                <w:color w:val="auto"/>
                <w:sz w:val="21"/>
                <w:szCs w:val="21"/>
                <w:highlight w:val="none"/>
                <w:lang w:bidi="en-US"/>
              </w:rPr>
              <w:t>12m</w:t>
            </w:r>
            <w:r>
              <w:rPr>
                <w:rFonts w:hint="eastAsia" w:ascii="宋体" w:hAnsi="宋体" w:eastAsia="宋体" w:cs="宋体"/>
                <w:color w:val="auto"/>
                <w:sz w:val="21"/>
                <w:szCs w:val="21"/>
                <w:highlight w:val="none"/>
                <w:lang w:bidi="zh-TW"/>
              </w:rPr>
              <w:t>范围内不宜有待焊接死口。</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11.2.4 </w:t>
            </w:r>
            <w:r>
              <w:rPr>
                <w:rFonts w:hint="eastAsia" w:ascii="宋体" w:hAnsi="宋体" w:eastAsia="宋体" w:cs="宋体"/>
                <w:color w:val="auto"/>
                <w:sz w:val="21"/>
                <w:szCs w:val="21"/>
                <w:highlight w:val="none"/>
                <w:lang w:bidi="zh-TW"/>
              </w:rPr>
              <w:t>绝缘接头、绝缘法兰与管道焊接时应保证与管道对齐，且不应强力组对，且应保证焊接处自由伸缩，无阻碍。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11.2.5 </w:t>
            </w:r>
            <w:r>
              <w:rPr>
                <w:rFonts w:hint="eastAsia" w:ascii="宋体" w:hAnsi="宋体" w:eastAsia="宋体" w:cs="宋体"/>
                <w:color w:val="auto"/>
                <w:sz w:val="21"/>
                <w:szCs w:val="21"/>
                <w:highlight w:val="none"/>
                <w:lang w:bidi="zh-TW"/>
              </w:rPr>
              <w:t>现场安装焊接时，绝缘接头中间部位温度不应超过</w:t>
            </w:r>
            <w:r>
              <w:rPr>
                <w:rFonts w:hint="eastAsia" w:ascii="宋体" w:hAnsi="宋体" w:eastAsia="宋体" w:cs="宋体"/>
                <w:color w:val="auto"/>
                <w:sz w:val="21"/>
                <w:szCs w:val="21"/>
                <w:highlight w:val="none"/>
                <w:lang w:bidi="en-US"/>
              </w:rPr>
              <w:t>120C，</w:t>
            </w:r>
            <w:r>
              <w:rPr>
                <w:rFonts w:hint="eastAsia" w:ascii="宋体" w:hAnsi="宋体" w:eastAsia="宋体" w:cs="宋体"/>
                <w:color w:val="auto"/>
                <w:sz w:val="21"/>
                <w:szCs w:val="21"/>
                <w:highlight w:val="none"/>
                <w:lang w:bidi="zh-TW"/>
              </w:rPr>
              <w:t>必要时应采取冷却措施。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vertAlign w:val="subscript"/>
                <w:lang w:bidi="en-US"/>
              </w:rPr>
            </w:pPr>
            <w:r>
              <w:rPr>
                <w:rFonts w:hint="eastAsia" w:ascii="宋体" w:hAnsi="宋体" w:eastAsia="宋体" w:cs="宋体"/>
                <w:color w:val="auto"/>
                <w:sz w:val="21"/>
                <w:szCs w:val="21"/>
                <w:highlight w:val="none"/>
                <w:lang w:bidi="en-US"/>
              </w:rPr>
              <w:t xml:space="preserve">11.3.1 </w:t>
            </w:r>
            <w:r>
              <w:rPr>
                <w:rFonts w:hint="eastAsia" w:ascii="宋体" w:hAnsi="宋体" w:eastAsia="宋体" w:cs="宋体"/>
                <w:color w:val="auto"/>
                <w:sz w:val="21"/>
                <w:szCs w:val="21"/>
                <w:highlight w:val="none"/>
                <w:lang w:bidi="zh-TW"/>
              </w:rPr>
              <w:t>绝缘接头、绝缘法兰与管道焊接后，下端应有稳固支撑。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50369-2014</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4.2.4 </w:t>
            </w:r>
            <w:r>
              <w:rPr>
                <w:rFonts w:hint="eastAsia" w:ascii="宋体" w:hAnsi="宋体" w:eastAsia="宋体" w:cs="宋体"/>
                <w:color w:val="auto"/>
                <w:sz w:val="21"/>
                <w:szCs w:val="21"/>
                <w:highlight w:val="none"/>
                <w:lang w:bidi="zh-TW"/>
              </w:rPr>
              <w:t>绝缘接头（法兰）安装前，应进行水压试验。试验压力应为设计压力的</w:t>
            </w:r>
            <w:r>
              <w:rPr>
                <w:rFonts w:hint="eastAsia" w:ascii="宋体" w:hAnsi="宋体" w:eastAsia="宋体" w:cs="宋体"/>
                <w:color w:val="auto"/>
                <w:sz w:val="21"/>
                <w:szCs w:val="21"/>
                <w:highlight w:val="none"/>
                <w:lang w:bidi="en-US"/>
              </w:rPr>
              <w:t>1.5</w:t>
            </w:r>
            <w:r>
              <w:rPr>
                <w:rFonts w:hint="eastAsia" w:ascii="宋体" w:hAnsi="宋体" w:eastAsia="宋体" w:cs="宋体"/>
                <w:color w:val="auto"/>
                <w:sz w:val="21"/>
                <w:szCs w:val="21"/>
                <w:highlight w:val="none"/>
                <w:lang w:bidi="zh-TW"/>
              </w:rPr>
              <w:t>倍，稳压时间应为</w:t>
            </w:r>
            <w:r>
              <w:rPr>
                <w:rFonts w:hint="eastAsia" w:ascii="宋体" w:hAnsi="宋体" w:eastAsia="宋体" w:cs="宋体"/>
                <w:color w:val="auto"/>
                <w:sz w:val="21"/>
                <w:szCs w:val="21"/>
                <w:highlight w:val="none"/>
                <w:lang w:bidi="en-US"/>
              </w:rPr>
              <w:t>5min，</w:t>
            </w:r>
            <w:r>
              <w:rPr>
                <w:rFonts w:hint="eastAsia" w:ascii="宋体" w:hAnsi="宋体" w:eastAsia="宋体" w:cs="宋体"/>
                <w:color w:val="auto"/>
                <w:sz w:val="21"/>
                <w:szCs w:val="21"/>
                <w:highlight w:val="none"/>
                <w:lang w:bidi="zh-TW"/>
              </w:rPr>
              <w:t>无泄漏为合格。试压后应清除残余水，应使用</w:t>
            </w:r>
            <w:r>
              <w:rPr>
                <w:rFonts w:hint="eastAsia" w:ascii="宋体" w:hAnsi="宋体" w:eastAsia="宋体" w:cs="宋体"/>
                <w:color w:val="auto"/>
                <w:sz w:val="21"/>
                <w:szCs w:val="21"/>
                <w:highlight w:val="none"/>
                <w:lang w:bidi="en-US"/>
              </w:rPr>
              <w:t>500V</w:t>
            </w:r>
            <w:r>
              <w:rPr>
                <w:rFonts w:hint="eastAsia" w:ascii="宋体" w:hAnsi="宋体" w:eastAsia="宋体" w:cs="宋体"/>
                <w:color w:val="auto"/>
                <w:sz w:val="21"/>
                <w:szCs w:val="21"/>
                <w:highlight w:val="none"/>
                <w:lang w:bidi="zh-TW"/>
              </w:rPr>
              <w:t>兆欧表进行电绝缘检测，绝缘电阻应大于</w:t>
            </w:r>
            <w:r>
              <w:rPr>
                <w:rFonts w:hint="eastAsia" w:ascii="宋体" w:hAnsi="宋体" w:eastAsia="宋体" w:cs="宋体"/>
                <w:color w:val="auto"/>
                <w:sz w:val="21"/>
                <w:szCs w:val="21"/>
                <w:highlight w:val="none"/>
                <w:lang w:bidi="en-US"/>
              </w:rPr>
              <w:t>2MΩ。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钢塑转换接头安装应符合设计和相关标准的要求。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5.5.3 钢塑转换管件的钢管端与钢管焊接时，应对钢塑过渡段采取降温措施。</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5.5.4 </w:t>
            </w:r>
            <w:r>
              <w:rPr>
                <w:rFonts w:hint="eastAsia" w:ascii="宋体" w:hAnsi="宋体" w:eastAsia="宋体" w:cs="宋体"/>
                <w:color w:val="auto"/>
                <w:sz w:val="21"/>
                <w:szCs w:val="21"/>
                <w:highlight w:val="none"/>
              </w:rPr>
              <w:t>钢塑转换管件连接后应对接头进行防腐处理，防腐等级应</w:t>
            </w:r>
            <w:r>
              <w:rPr>
                <w:rFonts w:hint="eastAsia" w:ascii="宋体" w:hAnsi="宋体" w:eastAsia="宋体" w:cs="宋体"/>
                <w:color w:val="auto"/>
                <w:sz w:val="21"/>
                <w:szCs w:val="21"/>
                <w:highlight w:val="none"/>
                <w:lang w:eastAsia="zh-CN"/>
              </w:rPr>
              <w:t>满足</w:t>
            </w:r>
            <w:r>
              <w:rPr>
                <w:rFonts w:hint="eastAsia" w:ascii="宋体" w:hAnsi="宋体" w:eastAsia="宋体" w:cs="宋体"/>
                <w:color w:val="auto"/>
                <w:sz w:val="21"/>
                <w:szCs w:val="21"/>
                <w:highlight w:val="none"/>
              </w:rPr>
              <w:t>设计要求，并应检验合格。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3.2.6.6</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法兰安装应符合设计和相关标准的要求。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6.4.7.1 法兰连接应符合下列规定：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a）应检查法兰密封面及密封垫片，不得有影响密封性能的划痕、斑点等缺陷，否则应予修理或更换。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b）一对法兰密封面间只允许使用一个垫片。当大直径垫片需要拼接时，应采用斜口搭接或迷宫式拼接，不得平口对接。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法兰接头装配应与管道同心，并应保证螺栓自由穿入。法兰螺栓孔应跨中安装。法兰间应保持平行，其偏差不得大于法兰外径的0.15%，且不得大于2mm。法兰接头装配时，垫片应均匀地压缩到预定的设计载荷。不得用强紧螺栓的方法消除法兰接头的歪斜。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法兰接头装配应使用同一规格螺栓，安装方向应一致。螺栓紧固后应与法兰紧贴，不得有楔缝。需加垫圈时，每个螺栓不应超过１个。所有螺母应全部拧入螺栓。任何情况下，螺母上未完全啮合的螺纹应不大于１个螺距。 </w:t>
            </w:r>
          </w:p>
          <w:p>
            <w:pPr>
              <w:pStyle w:val="2"/>
              <w:keepNext w:val="0"/>
              <w:keepLines w:val="0"/>
              <w:pageBreakBefore w:val="0"/>
              <w:kinsoku/>
              <w:wordWrap/>
              <w:overflowPunct/>
              <w:topLinePunct w:val="0"/>
              <w:autoSpaceDE/>
              <w:autoSpaceDN/>
              <w:bidi w:val="0"/>
              <w:spacing w:line="260" w:lineRule="atLeast"/>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ｅ）法兰接头装配时，如两个法兰的压力等级或力学性能有较大差别，应予特别注意。宜将螺栓拧紧至预定的扭矩。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 xml:space="preserve">33-2005 </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 设计压力大于或等于1.6Mpa的管道使用的高强度螺栓、螺母应按以下规定进行检查：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螺栓、螺母应每批各取2个进行硬度检查，若有不合格，需加倍检查，如仍有不合格则应逐个检查，不合格者不得使用。</w:t>
            </w:r>
          </w:p>
          <w:p>
            <w:pPr>
              <w:pStyle w:val="2"/>
              <w:keepNext w:val="0"/>
              <w:keepLines w:val="0"/>
              <w:pageBreakBefore w:val="0"/>
              <w:kinsoku/>
              <w:wordWrap/>
              <w:overflowPunct/>
              <w:topLinePunct w:val="0"/>
              <w:autoSpaceDE/>
              <w:autoSpaceDN/>
              <w:bidi w:val="0"/>
              <w:spacing w:line="260" w:lineRule="atLeast"/>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硬度不合格的螺栓应取该批中硬度值最高、最低的螺栓各1只，校验其机械性能，若不合格，再取其硬度量接近的螺栓加倍校验，如仍不合格，则该批螺栓不得使用。</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法兰垫片应符合下列要求：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石棉橡胶垫、橡胶垫及软塑料等非金属垫片应质地柔韧，不得有老化变质或分层现象，表面不应有折损、皱纹等缺陷。</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金属垫片的加工尺寸、精度、光洁度及硬度应符合相关要求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表面不得有裂纹、毛刺、凹槽、径向划痕及锈斑等缺陷。</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包金属及缠绕式垫片不应有径向划痕、松散、翘曲等缺陷。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 两法兰盘上螺孔应对中，法兰面应相互平行，螺栓孔与螺栓直径应配套，螺栓规格应一致，螺母应在同一侧；紧固法兰盘上的螺栓应按对称顺序分次均匀紧固，不得强力组装；螺栓拧紧后宜伸出螺母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扣。法兰盘在静置8h〜10h后，应二次紧固。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3.2.6.7</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管道支、吊架安装应符合设计和相关标准的要求。</w:t>
            </w:r>
          </w:p>
          <w:p>
            <w:pPr>
              <w:pStyle w:val="2"/>
              <w:keepNext w:val="0"/>
              <w:keepLines w:val="0"/>
              <w:pageBreakBefore w:val="0"/>
              <w:kinsoku/>
              <w:wordWrap/>
              <w:overflowPunct/>
              <w:topLinePunct w:val="0"/>
              <w:autoSpaceDE/>
              <w:autoSpaceDN/>
              <w:bidi w:val="0"/>
              <w:spacing w:line="260" w:lineRule="atLeast"/>
              <w:ind w:left="0" w:leftChars="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6.4.7.5 支、吊架安装应符合下列规定：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a）管道安装时，应及时进行支、吊架的固定和调整工作。支、吊架位置应正确，管道和支承面接触应良好。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b）固定支架应在补偿装置预拉伸或预压缩前固定。导向支架或滑动支架的滑动面应洁净平整，不得有歪斜和卡涩现象。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c）支、吊架的焊接应由合格焊工施焊，并不得有漏焊、欠焊或焊接裂纹等缺陷。管道与支架焊接时，管道不得有咬边、烧穿等现象。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d）不得在滑动支架底板处临时点焊定位。仪表及电气的支撑件不得焊在活动支架上。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pStyle w:val="2"/>
              <w:keepNext w:val="0"/>
              <w:keepLines w:val="0"/>
              <w:pageBreakBefore w:val="0"/>
              <w:kinsoku/>
              <w:wordWrap/>
              <w:overflowPunct/>
              <w:topLinePunct w:val="0"/>
              <w:autoSpaceDE/>
              <w:autoSpaceDN/>
              <w:bidi w:val="0"/>
              <w:spacing w:line="260" w:lineRule="atLeast"/>
              <w:ind w:left="0" w:leftChars="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 管道支、吊架安装前应进行标高和坡降测量并放线，固定后的支、吊架位置应正确，安装应平整、牢固，与管道接触良好。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 固定支架应按设计规定安装，安装补偿器时，应在补偿器预拉伸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之后固定。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10.1.3 导向支架或滑动支架的滑动面应洁净平整，不得有歪斜和卡涩现象。其安装位置应从支承面中心向位移反方向偏移，偏移量应为设计计算位移值的1／2或按设计规定。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10.1.4 焊接应由有上岗证的焊工施焊，并不得有漏焊、欠焊或焊接裂纹等缺陷。管道与支架焊接时，焊工资格应符合《城镇燃气输配工程施工及验收规范》CJJ33第1.0.4条的规定，且管道表面不得有咬边、气孔等缺陷。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3.2.6.</w:t>
            </w:r>
            <w:r>
              <w:rPr>
                <w:rFonts w:hint="eastAsia" w:ascii="宋体" w:hAnsi="宋体" w:eastAsia="宋体" w:cs="宋体"/>
                <w:color w:val="auto"/>
                <w:sz w:val="21"/>
                <w:szCs w:val="21"/>
                <w:highlight w:val="none"/>
                <w:lang w:val="en-US" w:eastAsia="zh-CN"/>
              </w:rPr>
              <w:t>8</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设计单位、施工单位、设计单位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套管设置与安装应符合设计和相关标准的要求。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5.1.3.2.10 埋地管道穿越铁路、公路时，除应符合国家现行标准的有关规定外，还应符合下列规定：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b）当穿越铁路、高速公路和Ⅱ级及以上公路时，管道应敷设在套管或涵洞内；当采用定向钻方式穿越，并征得铁路或高速公路及公路有关部门同意时，可不加套管；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c）当穿越电车轨道或城镇主要干道时，管道宜敷设在套管或管沟内，且管沟内应填满中性砂。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250-2016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当燃气管道采用加设套管穿越铁路、电车轨道、城镇主要干道时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套管端部距铁路堤坡脚、电车道边轨的净距不应小于2m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距路边缘的净距不应小于1m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套管两端应密封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重要地段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套管宜安装检漏管。</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4.4.12 当顶进套管对内穿燃气管道的阴极保护产生屏蔽作用时，燃气管道的阴极保护方式宜采用牺牲阳极。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lang w:eastAsia="zh-CN"/>
              </w:rPr>
            </w:pPr>
            <w:r>
              <w:rPr>
                <w:rFonts w:hint="eastAsia" w:ascii="宋体" w:hAnsi="宋体" w:eastAsia="宋体" w:cs="宋体"/>
                <w:color w:val="auto"/>
                <w:spacing w:val="-6"/>
                <w:sz w:val="21"/>
                <w:szCs w:val="21"/>
                <w:highlight w:val="none"/>
              </w:rPr>
              <w:t>3.2.6.</w:t>
            </w:r>
            <w:r>
              <w:rPr>
                <w:rFonts w:hint="eastAsia" w:ascii="宋体" w:hAnsi="宋体" w:eastAsia="宋体" w:cs="宋体"/>
                <w:color w:val="auto"/>
                <w:spacing w:val="-6"/>
                <w:sz w:val="21"/>
                <w:szCs w:val="21"/>
                <w:highlight w:val="none"/>
                <w:lang w:val="en-US" w:eastAsia="zh-CN"/>
              </w:rPr>
              <w:t>9</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管道附件、设备安装及锚固</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管道的锚固敷设应符合设计及相关标准的要求。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 xml:space="preserve">38942-2020 </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5.1.3.2.16 管道的锚固应符合下列要求：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a）管道沿高差较大陡坡敷设或在起伏较大区段敷设，应</w:t>
            </w:r>
            <w:r>
              <w:rPr>
                <w:rFonts w:hint="eastAsia" w:ascii="宋体" w:hAnsi="宋体" w:eastAsia="宋体" w:cs="宋体"/>
                <w:color w:val="auto"/>
                <w:kern w:val="0"/>
                <w:sz w:val="21"/>
                <w:szCs w:val="21"/>
                <w:highlight w:val="none"/>
                <w:lang w:eastAsia="zh-CN" w:bidi="ar"/>
              </w:rPr>
              <w:t>做</w:t>
            </w:r>
            <w:r>
              <w:rPr>
                <w:rFonts w:hint="eastAsia" w:ascii="宋体" w:hAnsi="宋体" w:eastAsia="宋体" w:cs="宋体"/>
                <w:color w:val="auto"/>
                <w:kern w:val="0"/>
                <w:sz w:val="21"/>
                <w:szCs w:val="21"/>
                <w:highlight w:val="none"/>
                <w:lang w:bidi="ar"/>
              </w:rPr>
              <w:t xml:space="preserve">管道纵向失稳校验，不满足要求时，应增加管道埋深或增设锚定装置；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b）当管道的设计温度与安装温度之差影响管道的稳定性时，宜在管道的出土段、弯头、管径改变处以及管道和清管器收发筒装置连接处，根据计算采取管道锚固措施；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c）设有绝缘接头的埋地管道，应在绝缘接头受力侧设置锚固墩。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50369-2014</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16.3.3 </w:t>
            </w:r>
            <w:r>
              <w:rPr>
                <w:rFonts w:hint="eastAsia" w:ascii="宋体" w:hAnsi="宋体" w:eastAsia="宋体" w:cs="宋体"/>
                <w:color w:val="auto"/>
                <w:sz w:val="21"/>
                <w:szCs w:val="21"/>
                <w:highlight w:val="none"/>
              </w:rPr>
              <w:t>锚固墩预制件的尺寸、规格、材质应符合设计要求。焊接时不得损伤管道母材，焊后应打磨棱角、毛刺，清除焊渣和表面锈蚀，除锈等级应符合现行行业标准《涂装前钢材表面处理规范》</w:t>
            </w:r>
            <w:r>
              <w:rPr>
                <w:rFonts w:hint="eastAsia" w:ascii="宋体" w:hAnsi="宋体" w:eastAsia="宋体" w:cs="宋体"/>
                <w:color w:val="auto"/>
                <w:sz w:val="21"/>
                <w:szCs w:val="21"/>
                <w:highlight w:val="none"/>
                <w:lang w:bidi="en-US"/>
              </w:rPr>
              <w:t>SY/T</w:t>
            </w:r>
            <w:r>
              <w:rPr>
                <w:rFonts w:hint="eastAsia" w:ascii="宋体" w:hAnsi="宋体" w:eastAsia="宋体" w:cs="宋体"/>
                <w:color w:val="auto"/>
                <w:sz w:val="21"/>
                <w:szCs w:val="21"/>
                <w:highlight w:val="none"/>
              </w:rPr>
              <w:t>0407中规定的</w:t>
            </w:r>
            <w:r>
              <w:rPr>
                <w:rFonts w:hint="eastAsia" w:ascii="宋体" w:hAnsi="宋体" w:eastAsia="宋体" w:cs="宋体"/>
                <w:color w:val="auto"/>
                <w:sz w:val="21"/>
                <w:szCs w:val="21"/>
                <w:highlight w:val="none"/>
                <w:lang w:bidi="en-US"/>
              </w:rPr>
              <w:t>Sal</w:t>
            </w:r>
            <w:r>
              <w:rPr>
                <w:rFonts w:hint="eastAsia" w:ascii="宋体" w:hAnsi="宋体" w:eastAsia="宋体" w:cs="宋体"/>
                <w:color w:val="auto"/>
                <w:sz w:val="21"/>
                <w:szCs w:val="21"/>
                <w:highlight w:val="none"/>
              </w:rPr>
              <w:t>级，并应按设计要求防腐绝缘。锚固墩及其以外</w:t>
            </w:r>
            <w:r>
              <w:rPr>
                <w:rFonts w:hint="eastAsia" w:ascii="宋体" w:hAnsi="宋体" w:eastAsia="宋体" w:cs="宋体"/>
                <w:color w:val="auto"/>
                <w:sz w:val="21"/>
                <w:szCs w:val="21"/>
                <w:highlight w:val="none"/>
                <w:lang w:bidi="en-US"/>
              </w:rPr>
              <w:t>2m</w:t>
            </w:r>
            <w:r>
              <w:rPr>
                <w:rFonts w:hint="eastAsia" w:ascii="宋体" w:hAnsi="宋体" w:eastAsia="宋体" w:cs="宋体"/>
                <w:color w:val="auto"/>
                <w:sz w:val="21"/>
                <w:szCs w:val="21"/>
                <w:highlight w:val="none"/>
              </w:rPr>
              <w:t>范围内的管道防腐层经电火花检漏合格后方可浇筑混凝土.混凝土应加强养护。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3.2.7</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管道防腐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管道防腐</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管道防腐应符合设计和相关标准的要求。</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《城镇燃气输配工程施工及验收规范》CJJ33-2005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 防腐前钢管表面的预处理应符合国家现行标准《涂装前钢材表面预处理规范》SY/T0407和所使用的防腐材料对钢管除锈的要求。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5.3.7 法兰直埋时，必须对法兰和紧固件按管道相同的防腐等级进行防腐。</w:t>
            </w:r>
          </w:p>
          <w:p>
            <w:pPr>
              <w:pStyle w:val="12"/>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5.4.10 管道下沟前必须对防腐层进行100%的外观检查，回填前应进行100%电火花检漏，回填后必须对防腐层完整性进行全线检查，不合格必须返工处理直至合格。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 xml:space="preserve">250-2016 </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◇跨越管道防腐：</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7.1.13 管道的除锈、防腐宜统一在防腐车间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场、站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进行。除锈质量应符合国家现行标准《涂覆涂料前钢材表面处理表面清洁度的目视评定 第1部分： 未涂覆过的钢材表面和全面清除  原有涂层后的钢材表面的锈蚀等级和处理等级》GB/T8923.1</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有关规定，除锈等级不低于St3或Sa2.5。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50369-2014</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11.0.3 </w:t>
            </w:r>
            <w:r>
              <w:rPr>
                <w:rFonts w:hint="eastAsia" w:ascii="宋体" w:hAnsi="宋体" w:eastAsia="宋体" w:cs="宋体"/>
                <w:color w:val="auto"/>
                <w:sz w:val="21"/>
                <w:szCs w:val="21"/>
                <w:highlight w:val="none"/>
                <w:lang w:bidi="zh-TW"/>
              </w:rPr>
              <w:t>防腐层的外表而应平整，无漏涂、褶皱、流淌、气泡和针孔等缺陷；防腐层应能有效地附着在金属表面；聚乙烯热收缩套（带）、聚乙烯冷缠粘胶带，以及双组分环氧粉末补伤液、补伤热熔棒等补口、补伤材料应按其生产厂家使用说明的要求施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11.0.5 </w:t>
            </w:r>
            <w:r>
              <w:rPr>
                <w:rFonts w:hint="eastAsia" w:ascii="宋体" w:hAnsi="宋体" w:eastAsia="宋体" w:cs="宋体"/>
                <w:color w:val="auto"/>
                <w:sz w:val="21"/>
                <w:szCs w:val="21"/>
                <w:highlight w:val="none"/>
              </w:rPr>
              <w:t>管道出、入土的防腐层应</w:t>
            </w:r>
            <w:r>
              <w:rPr>
                <w:rFonts w:hint="eastAsia" w:ascii="宋体" w:hAnsi="宋体" w:eastAsia="宋体" w:cs="宋体"/>
                <w:color w:val="auto"/>
                <w:sz w:val="21"/>
                <w:szCs w:val="21"/>
                <w:highlight w:val="none"/>
                <w:lang w:eastAsia="zh-CN"/>
              </w:rPr>
              <w:t>高出</w:t>
            </w:r>
            <w:r>
              <w:rPr>
                <w:rFonts w:hint="eastAsia" w:ascii="宋体" w:hAnsi="宋体" w:eastAsia="宋体" w:cs="宋体"/>
                <w:color w:val="auto"/>
                <w:sz w:val="21"/>
                <w:szCs w:val="21"/>
                <w:highlight w:val="none"/>
              </w:rPr>
              <w:t>地面</w:t>
            </w:r>
            <w:r>
              <w:rPr>
                <w:rFonts w:hint="eastAsia" w:ascii="宋体" w:hAnsi="宋体" w:eastAsia="宋体" w:cs="宋体"/>
                <w:color w:val="auto"/>
                <w:sz w:val="21"/>
                <w:szCs w:val="21"/>
                <w:highlight w:val="none"/>
                <w:lang w:bidi="en-US"/>
              </w:rPr>
              <w:t>100mm</w:t>
            </w:r>
            <w:r>
              <w:rPr>
                <w:rFonts w:hint="eastAsia" w:ascii="宋体" w:hAnsi="宋体" w:eastAsia="宋体" w:cs="宋体"/>
                <w:color w:val="auto"/>
                <w:sz w:val="21"/>
                <w:szCs w:val="21"/>
                <w:highlight w:val="none"/>
              </w:rPr>
              <w:t>以上，应在地面交界处的管外</w:t>
            </w:r>
            <w:r>
              <w:rPr>
                <w:rFonts w:hint="eastAsia" w:ascii="宋体" w:hAnsi="宋体" w:eastAsia="宋体" w:cs="宋体"/>
                <w:color w:val="auto"/>
                <w:sz w:val="21"/>
                <w:szCs w:val="21"/>
                <w:highlight w:val="none"/>
                <w:lang w:eastAsia="zh-CN"/>
              </w:rPr>
              <w:t>采取</w:t>
            </w:r>
            <w:r>
              <w:rPr>
                <w:rFonts w:hint="eastAsia" w:ascii="宋体" w:hAnsi="宋体" w:eastAsia="宋体" w:cs="宋体"/>
                <w:color w:val="auto"/>
                <w:sz w:val="21"/>
                <w:szCs w:val="21"/>
                <w:highlight w:val="none"/>
              </w:rPr>
              <w:t>包覆热收缩套或其他防护性措施。热收缩套搭接处应平缓，无破损和漏点。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管道防腐</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补口、补伤应符合设计和相关标准的要求。</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《埋地钢质管道聚乙烯防腐层》GB/T23257-2017</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 补口施工开工前，应编制补口施工工艺规程（APS），并按施工工艺规程进行工艺评定试验 （PQT）验证。</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9.3.1</w:t>
            </w:r>
            <w:r>
              <w:rPr>
                <w:rFonts w:hint="eastAsia" w:ascii="宋体" w:hAnsi="宋体" w:eastAsia="宋体" w:cs="宋体"/>
                <w:color w:val="auto"/>
                <w:sz w:val="21"/>
                <w:szCs w:val="21"/>
                <w:highlight w:val="none"/>
              </w:rPr>
              <w:t>当存在下列情况之一，且无有效措施时，不应进行露天补口施工：</w:t>
            </w:r>
          </w:p>
          <w:p>
            <w:pPr>
              <w:pStyle w:val="115"/>
              <w:keepNext w:val="0"/>
              <w:keepLines w:val="0"/>
              <w:pageBreakBefore w:val="0"/>
              <w:numPr>
                <w:numId w:val="0"/>
              </w:numPr>
              <w:tabs>
                <w:tab w:val="left" w:pos="838"/>
              </w:tabs>
              <w:kinsoku/>
              <w:wordWrap/>
              <w:overflowPunct/>
              <w:topLinePunct w:val="0"/>
              <w:autoSpaceDE/>
              <w:autoSpaceDN/>
              <w:bidi w:val="0"/>
              <w:spacing w:line="260" w:lineRule="atLeast"/>
              <w:ind w:left="42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雨天、雪天、风沙天；</w:t>
            </w:r>
          </w:p>
          <w:p>
            <w:pPr>
              <w:pStyle w:val="115"/>
              <w:keepNext w:val="0"/>
              <w:keepLines w:val="0"/>
              <w:pageBreakBefore w:val="0"/>
              <w:numPr>
                <w:numId w:val="0"/>
              </w:numPr>
              <w:tabs>
                <w:tab w:val="left" w:pos="838"/>
              </w:tabs>
              <w:kinsoku/>
              <w:wordWrap/>
              <w:overflowPunct/>
              <w:topLinePunct w:val="0"/>
              <w:autoSpaceDE/>
              <w:autoSpaceDN/>
              <w:bidi w:val="0"/>
              <w:spacing w:line="260" w:lineRule="atLeast"/>
              <w:ind w:left="42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风力达到5级以上</w:t>
            </w:r>
            <w:r>
              <w:rPr>
                <w:rFonts w:hint="eastAsia" w:ascii="宋体" w:hAnsi="宋体" w:eastAsia="宋体" w:cs="宋体"/>
                <w:color w:val="auto"/>
                <w:sz w:val="21"/>
                <w:szCs w:val="21"/>
                <w:highlight w:val="none"/>
                <w:lang w:val="en-US" w:eastAsia="zh-CN"/>
              </w:rPr>
              <w:t>;</w:t>
            </w:r>
          </w:p>
          <w:p>
            <w:pPr>
              <w:pStyle w:val="115"/>
              <w:keepNext w:val="0"/>
              <w:keepLines w:val="0"/>
              <w:pageBreakBefore w:val="0"/>
              <w:numPr>
                <w:numId w:val="0"/>
              </w:numPr>
              <w:tabs>
                <w:tab w:val="left" w:pos="838"/>
              </w:tabs>
              <w:kinsoku/>
              <w:wordWrap/>
              <w:overflowPunct/>
              <w:topLinePunct w:val="0"/>
              <w:autoSpaceDE/>
              <w:autoSpaceDN/>
              <w:bidi w:val="0"/>
              <w:spacing w:line="260" w:lineRule="atLeast"/>
              <w:ind w:left="42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相对湿度大于85%；</w:t>
            </w:r>
          </w:p>
          <w:p>
            <w:pPr>
              <w:keepNext w:val="0"/>
              <w:keepLines w:val="0"/>
              <w:pageBreakBefore w:val="0"/>
              <w:numPr>
                <w:numId w:val="0"/>
              </w:numPr>
              <w:kinsoku/>
              <w:wordWrap/>
              <w:overflowPunct/>
              <w:topLinePunct w:val="0"/>
              <w:autoSpaceDE/>
              <w:autoSpaceDN/>
              <w:bidi w:val="0"/>
              <w:spacing w:line="260" w:lineRule="atLeast"/>
              <w:ind w:left="42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环境温度低于0℃。</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9.3.3 </w:t>
            </w:r>
            <w:r>
              <w:rPr>
                <w:rFonts w:hint="eastAsia" w:ascii="宋体" w:hAnsi="宋体" w:eastAsia="宋体" w:cs="宋体"/>
                <w:color w:val="auto"/>
                <w:sz w:val="21"/>
                <w:szCs w:val="21"/>
                <w:highlight w:val="none"/>
              </w:rPr>
              <w:t>应对焊口进行清理，环向焊缝及其附近的毛刺、焊渣、飞溅物、焊瘤等应清理干净。补口处的污物、油和杂质应清理干净；防腐层端部有翘边、生锈、开裂等缺陷时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应进行清理。</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 在进行表面磨料喷砂除锈前，应使用无污染的热源将补口部位的钢管预热至露点以上至少5℃的温度。</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9.3.5 补口部位的喷砂除锈应采用适宜的磨料，粒度均匀，且应干燥、清洁、无杂质。补口部位的表面除锈等级应达到</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8923.1规定的Sa2.5级，锚纹深度应达到40um〜90umo除锈后应清除表面灰尘，表面灰尘度等级应不低于GB/T18570.3规定的3级。</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9.3.6 补口部位钢管表面处理与补口施工间隔时间不宜超过2h，表面返锈时，应重新进行表面处理。</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9.3.11 收缩后，热收缩带（套）与聚乙烯层搭接宽度应不小于100mm；采用热收缩带时，应采用固定片固定，周向搭接宽度应不小于80mm。</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9.4 </w:t>
            </w:r>
            <w:r>
              <w:rPr>
                <w:rFonts w:hint="eastAsia" w:ascii="宋体" w:hAnsi="宋体" w:eastAsia="宋体" w:cs="宋体"/>
                <w:color w:val="auto"/>
                <w:sz w:val="21"/>
                <w:szCs w:val="21"/>
                <w:highlight w:val="none"/>
              </w:rPr>
              <w:t>补口质量检验</w:t>
            </w:r>
          </w:p>
          <w:p>
            <w:pPr>
              <w:pStyle w:val="115"/>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补口质量应检验外观、漏点及剥离强度等三项内容，检验宜在补口安装24</w:t>
            </w:r>
            <w:r>
              <w:rPr>
                <w:rFonts w:hint="eastAsia" w:ascii="宋体" w:hAnsi="宋体" w:eastAsia="宋体" w:cs="宋体"/>
                <w:color w:val="auto"/>
                <w:sz w:val="21"/>
                <w:szCs w:val="21"/>
                <w:highlight w:val="none"/>
                <w:lang w:val="en-US" w:eastAsia="zh-CN"/>
              </w:rPr>
              <w:t>h</w:t>
            </w:r>
            <w:r>
              <w:rPr>
                <w:rFonts w:hint="eastAsia" w:ascii="宋体" w:hAnsi="宋体" w:eastAsia="宋体" w:cs="宋体"/>
                <w:color w:val="auto"/>
                <w:sz w:val="21"/>
                <w:szCs w:val="21"/>
                <w:highlight w:val="none"/>
              </w:rPr>
              <w:t>后进行：</w:t>
            </w:r>
          </w:p>
          <w:p>
            <w:pPr>
              <w:pStyle w:val="115"/>
              <w:keepNext w:val="0"/>
              <w:keepLines w:val="0"/>
              <w:pageBreakBefore w:val="0"/>
              <w:widowControl w:val="0"/>
              <w:numPr>
                <w:numId w:val="0"/>
              </w:numPr>
              <w:tabs>
                <w:tab w:val="left" w:pos="850"/>
              </w:tabs>
              <w:kinsoku/>
              <w:wordWrap/>
              <w:overflowPunct/>
              <w:topLinePunct w:val="0"/>
              <w:autoSpaceDE/>
              <w:autoSpaceDN/>
              <w:bidi w:val="0"/>
              <w:adjustRightInd/>
              <w:snapToGrid/>
              <w:spacing w:line="260" w:lineRule="atLeast"/>
              <w:ind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val="en-US" w:eastAsia="zh-CN"/>
              </w:rPr>
              <w:t>补口的外观应逐个目测检查，热收缩带（套）表面应平整、无皱褶、无气泡、无空鼓、无烧焦炭化等现象；热收缩带（套）周向应有胶粘剂均匀溢出。固定片与热收缩带搭接部位的滑移量不应大于5mm；</w:t>
            </w:r>
          </w:p>
          <w:p>
            <w:pPr>
              <w:pStyle w:val="115"/>
              <w:keepNext w:val="0"/>
              <w:keepLines w:val="0"/>
              <w:pageBreakBefore w:val="0"/>
              <w:widowControl w:val="0"/>
              <w:numPr>
                <w:numId w:val="0"/>
              </w:numPr>
              <w:tabs>
                <w:tab w:val="left" w:pos="850"/>
              </w:tabs>
              <w:kinsoku/>
              <w:wordWrap/>
              <w:overflowPunct/>
              <w:topLinePunct w:val="0"/>
              <w:autoSpaceDE/>
              <w:autoSpaceDN/>
              <w:bidi w:val="0"/>
              <w:adjustRightInd/>
              <w:snapToGrid/>
              <w:spacing w:line="260" w:lineRule="atLeast"/>
              <w:ind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val="en-US" w:eastAsia="zh-CN"/>
              </w:rPr>
              <w:t>每一个补口均应用电火花检漏仪进行漏点检查。检漏电压为15kVo若有漏点，应重新补口并检漏，直至合格；</w:t>
            </w:r>
            <w:bookmarkStart w:id="3" w:name="bookmark50"/>
          </w:p>
          <w:bookmarkEnd w:id="3"/>
          <w:p>
            <w:pPr>
              <w:pStyle w:val="115"/>
              <w:keepNext w:val="0"/>
              <w:keepLines w:val="0"/>
              <w:pageBreakBefore w:val="0"/>
              <w:widowControl w:val="0"/>
              <w:numPr>
                <w:numId w:val="0"/>
              </w:numPr>
              <w:tabs>
                <w:tab w:val="left" w:pos="850"/>
              </w:tabs>
              <w:kinsoku/>
              <w:wordWrap/>
              <w:overflowPunct/>
              <w:topLinePunct w:val="0"/>
              <w:autoSpaceDE/>
              <w:autoSpaceDN/>
              <w:bidi w:val="0"/>
              <w:adjustRightInd/>
              <w:snapToGrid/>
              <w:spacing w:line="260" w:lineRule="atLeast"/>
              <w:ind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val="en-US" w:eastAsia="zh-CN"/>
              </w:rPr>
              <w:t>补口后热收缩带（套）的剥离强度按附录K规定的方法进行检测。检验时的管体温度宜为15℃〜25℃，对钢管和聚乙烯防腐层的剥离强度都应不小于50N/cm并80%表面呈内聚破坏，当剥离强度超过100N/cm时，可以呈界面破坏，剥离面的底漆应完整附着在钢管表面。每100个补口至少抽测一个口，如不合格，应加倍抽测。加倍抽测仍有不合格时，则对应的100个补口应全部返修。</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9.5.2</w:t>
            </w:r>
            <w:r>
              <w:rPr>
                <w:rFonts w:hint="eastAsia" w:ascii="宋体" w:hAnsi="宋体" w:eastAsia="宋体" w:cs="宋体"/>
                <w:color w:val="auto"/>
                <w:sz w:val="21"/>
                <w:szCs w:val="21"/>
                <w:highlight w:val="none"/>
              </w:rPr>
              <w:t>对于小于或等于30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的损伤，可采用辐射交联聚乙烯补伤片修补。补伤片的性能应达到热收缩带的规定，补伤片对聚乙烯的剥离强度应不低于50</w:t>
            </w:r>
            <w:r>
              <w:rPr>
                <w:rFonts w:hint="eastAsia" w:ascii="宋体" w:hAnsi="宋体" w:eastAsia="宋体" w:cs="宋体"/>
                <w:color w:val="auto"/>
                <w:sz w:val="21"/>
                <w:szCs w:val="21"/>
                <w:highlight w:val="none"/>
                <w:lang w:val="en-US" w:eastAsia="zh-CN"/>
              </w:rPr>
              <w:t>N/cm。</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9.5.3 修补时，应先除去损伤部位的污物，并将该处的聚乙烯层打毛。然后将损伤部位的聚乙烯层修切圆滑，边缘应形成钝角，在孔内填满与补伤片配套的胶粘剂，然后贴上补伤片。补伤片的大小应保证其边缘距聚乙烯层的孔洞边缘不小于100 mm。贴补时应边加热边用辐子滚压或戴耐热手套用手挤压，排出空气，直至补伤片四周胶粘剂均匀溢出。</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9.5.4 </w:t>
            </w:r>
            <w:r>
              <w:rPr>
                <w:rFonts w:hint="eastAsia" w:ascii="宋体" w:hAnsi="宋体" w:eastAsia="宋体" w:cs="宋体"/>
                <w:color w:val="auto"/>
                <w:sz w:val="21"/>
                <w:szCs w:val="21"/>
                <w:highlight w:val="none"/>
              </w:rPr>
              <w:t>对于大于30</w:t>
            </w:r>
            <w:r>
              <w:rPr>
                <w:rFonts w:hint="eastAsia" w:ascii="宋体" w:hAnsi="宋体" w:eastAsia="宋体" w:cs="宋体"/>
                <w:color w:val="auto"/>
                <w:sz w:val="21"/>
                <w:szCs w:val="21"/>
                <w:highlight w:val="none"/>
                <w:lang w:val="en-US" w:eastAsia="zh-CN" w:bidi="en-US"/>
              </w:rPr>
              <w:t>mm</w:t>
            </w:r>
            <w:r>
              <w:rPr>
                <w:rFonts w:hint="eastAsia" w:ascii="宋体" w:hAnsi="宋体" w:eastAsia="宋体" w:cs="宋体"/>
                <w:color w:val="auto"/>
                <w:sz w:val="21"/>
                <w:szCs w:val="21"/>
                <w:highlight w:val="none"/>
              </w:rPr>
              <w:t>的损伤，可按照</w:t>
            </w:r>
            <w:r>
              <w:rPr>
                <w:rFonts w:hint="eastAsia" w:ascii="宋体" w:hAnsi="宋体" w:eastAsia="宋体" w:cs="宋体"/>
                <w:color w:val="auto"/>
                <w:sz w:val="21"/>
                <w:szCs w:val="21"/>
                <w:highlight w:val="none"/>
                <w:lang w:val="en-US" w:eastAsia="zh-CN" w:bidi="en-US"/>
              </w:rPr>
              <w:t>9.5.2</w:t>
            </w:r>
            <w:r>
              <w:rPr>
                <w:rFonts w:hint="eastAsia" w:ascii="宋体" w:hAnsi="宋体" w:eastAsia="宋体" w:cs="宋体"/>
                <w:color w:val="auto"/>
                <w:sz w:val="21"/>
                <w:szCs w:val="21"/>
                <w:highlight w:val="none"/>
              </w:rPr>
              <w:t>的规定贴补伤片，然后在修补处包覆一条热收缩带，包覆宽度应比补伤片的两边至少各大50</w:t>
            </w:r>
            <w:r>
              <w:rPr>
                <w:rFonts w:hint="eastAsia" w:ascii="宋体" w:hAnsi="宋体" w:eastAsia="宋体" w:cs="宋体"/>
                <w:color w:val="auto"/>
                <w:sz w:val="21"/>
                <w:szCs w:val="21"/>
                <w:highlight w:val="none"/>
                <w:lang w:val="en-US" w:eastAsia="zh-CN" w:bidi="en-US"/>
              </w:rPr>
              <w:t>mm</w:t>
            </w:r>
            <w:r>
              <w:rPr>
                <w:rFonts w:hint="eastAsia" w:ascii="宋体" w:hAnsi="宋体" w:eastAsia="宋体" w:cs="宋体"/>
                <w:color w:val="auto"/>
                <w:sz w:val="21"/>
                <w:szCs w:val="21"/>
                <w:highlight w:val="none"/>
                <w:vertAlign w:val="subscript"/>
                <w:lang w:val="en-US" w:eastAsia="zh-CN" w:bidi="en-US"/>
              </w:rPr>
              <w:t>0</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9.5.6 </w:t>
            </w:r>
            <w:r>
              <w:rPr>
                <w:rFonts w:hint="eastAsia" w:ascii="宋体" w:hAnsi="宋体" w:eastAsia="宋体" w:cs="宋体"/>
                <w:color w:val="auto"/>
                <w:sz w:val="21"/>
                <w:szCs w:val="21"/>
                <w:highlight w:val="none"/>
              </w:rPr>
              <w:t>补伤质量应检验外观、漏点及剥离强度等三项内容：</w:t>
            </w:r>
          </w:p>
          <w:p>
            <w:pPr>
              <w:pStyle w:val="115"/>
              <w:keepNext w:val="0"/>
              <w:keepLines w:val="0"/>
              <w:pageBreakBefore w:val="0"/>
              <w:tabs>
                <w:tab w:val="left" w:pos="850"/>
              </w:tabs>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val="en-US" w:eastAsia="zh-CN"/>
              </w:rPr>
            </w:pPr>
            <w:bookmarkStart w:id="4" w:name="bookmark51"/>
            <w:r>
              <w:rPr>
                <w:rFonts w:hint="eastAsia" w:ascii="宋体" w:hAnsi="宋体" w:eastAsia="宋体" w:cs="宋体"/>
                <w:color w:val="auto"/>
                <w:sz w:val="21"/>
                <w:szCs w:val="21"/>
                <w:highlight w:val="none"/>
                <w:lang w:val="en-US" w:eastAsia="zh-CN"/>
              </w:rPr>
              <w:t>a</w:t>
            </w:r>
            <w:bookmarkEnd w:id="4"/>
            <w:r>
              <w:rPr>
                <w:rFonts w:hint="eastAsia" w:ascii="宋体" w:hAnsi="宋体" w:eastAsia="宋体" w:cs="宋体"/>
                <w:color w:val="auto"/>
                <w:sz w:val="21"/>
                <w:szCs w:val="21"/>
                <w:highlight w:val="none"/>
                <w:lang w:val="en-US" w:eastAsia="zh-CN"/>
              </w:rPr>
              <w:t>）补伤后的外观应逐个检查，表面应平整、无皱折、无气泡、无烧焦碳化等现象；补伤片四周应粘结密封良好。不合格的应重补；</w:t>
            </w:r>
          </w:p>
          <w:p>
            <w:pPr>
              <w:pStyle w:val="115"/>
              <w:keepNext w:val="0"/>
              <w:keepLines w:val="0"/>
              <w:pageBreakBefore w:val="0"/>
              <w:tabs>
                <w:tab w:val="left" w:pos="850"/>
              </w:tabs>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val="en-US" w:eastAsia="zh-CN"/>
              </w:rPr>
            </w:pPr>
            <w:bookmarkStart w:id="5" w:name="bookmark52"/>
            <w:r>
              <w:rPr>
                <w:rFonts w:hint="eastAsia" w:ascii="宋体" w:hAnsi="宋体" w:eastAsia="宋体" w:cs="宋体"/>
                <w:color w:val="auto"/>
                <w:sz w:val="21"/>
                <w:szCs w:val="21"/>
                <w:highlight w:val="none"/>
                <w:lang w:val="en-US" w:eastAsia="zh-CN"/>
              </w:rPr>
              <w:t>b</w:t>
            </w:r>
            <w:bookmarkEnd w:id="5"/>
            <w:r>
              <w:rPr>
                <w:rFonts w:hint="eastAsia" w:ascii="宋体" w:hAnsi="宋体" w:eastAsia="宋体" w:cs="宋体"/>
                <w:color w:val="auto"/>
                <w:sz w:val="21"/>
                <w:szCs w:val="21"/>
                <w:highlight w:val="none"/>
                <w:lang w:val="en-US" w:eastAsia="zh-CN"/>
              </w:rPr>
              <w:t>）每一个补伤处均应用电火花检漏仪进行漏点检查，检漏电压为15kV。若不合格，应重新修补并检漏，直至合格；</w:t>
            </w:r>
            <w:bookmarkStart w:id="6" w:name="bookmark53"/>
          </w:p>
          <w:p>
            <w:pPr>
              <w:pStyle w:val="115"/>
              <w:keepNext w:val="0"/>
              <w:keepLines w:val="0"/>
              <w:pageBreakBefore w:val="0"/>
              <w:tabs>
                <w:tab w:val="left" w:pos="850"/>
              </w:tabs>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w:t>
            </w:r>
            <w:bookmarkEnd w:id="6"/>
            <w:r>
              <w:rPr>
                <w:rFonts w:hint="eastAsia" w:ascii="宋体" w:hAnsi="宋体" w:eastAsia="宋体" w:cs="宋体"/>
                <w:color w:val="auto"/>
                <w:sz w:val="21"/>
                <w:szCs w:val="21"/>
                <w:highlight w:val="none"/>
                <w:lang w:val="en-US" w:eastAsia="zh-CN"/>
              </w:rPr>
              <w:t>）采用补伤片补伤的剥离强度按附录K规定的方法进行检验，管体温度为15℃〜25℃时的剥离强度应不低于50N/cm。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3.2.7.3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管道防腐</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管道阴极保护应符合设计及相关标准的要求。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《埋地钢质管道阴极保护技术规范》GB/T21448-2017</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说明：强制电流系统所用之强制电源设备的种类、型号、性能和辅助阳极地床种类、布局、型号、性能及其它电气材料、防腐材料等应符合设计及现行有关规范的要求。</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9.1.1.1 </w:t>
            </w:r>
            <w:r>
              <w:rPr>
                <w:rFonts w:hint="eastAsia" w:ascii="宋体" w:hAnsi="宋体" w:eastAsia="宋体" w:cs="宋体"/>
                <w:color w:val="auto"/>
                <w:sz w:val="21"/>
                <w:szCs w:val="21"/>
                <w:highlight w:val="none"/>
              </w:rPr>
              <w:t>电源设备安放位置应符合设计要求，设备周围500</w:t>
            </w:r>
            <w:r>
              <w:rPr>
                <w:rFonts w:hint="eastAsia" w:ascii="宋体" w:hAnsi="宋体" w:eastAsia="宋体" w:cs="宋体"/>
                <w:color w:val="auto"/>
                <w:sz w:val="21"/>
                <w:szCs w:val="21"/>
                <w:highlight w:val="none"/>
                <w:lang w:val="en-US" w:eastAsia="zh-CN" w:bidi="en-US"/>
              </w:rPr>
              <w:t>mm</w:t>
            </w:r>
            <w:r>
              <w:rPr>
                <w:rFonts w:hint="eastAsia" w:ascii="宋体" w:hAnsi="宋体" w:eastAsia="宋体" w:cs="宋体"/>
                <w:color w:val="auto"/>
                <w:sz w:val="21"/>
                <w:szCs w:val="21"/>
                <w:highlight w:val="none"/>
              </w:rPr>
              <w:t>内不应有其他物体，应预留足够空间用于接线安装、检测与维护。</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9.1.1.2 </w:t>
            </w:r>
            <w:r>
              <w:rPr>
                <w:rFonts w:hint="eastAsia" w:ascii="宋体" w:hAnsi="宋体" w:eastAsia="宋体" w:cs="宋体"/>
                <w:color w:val="auto"/>
                <w:sz w:val="21"/>
                <w:szCs w:val="21"/>
                <w:highlight w:val="none"/>
              </w:rPr>
              <w:t>电源设备与阴极保护电缆的连接应符合设计要求，接线应正确，电气接触应导通良好，电缆应明确标识。</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浅埋阳极地床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施工前应检查阳极，阳极不应有损伤和裂纹，阳极接头应牢固密封完整，阳极电缆应完整无损坏，每根阳极电缆长度均应符合安装位置尺寸的要求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并留有余量。</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浅埋阳极地床的位置、阳极布局和阳极数量应符合设计要求。</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深井阳极地床的安装施工应符合</w:t>
            </w:r>
            <w:r>
              <w:rPr>
                <w:rFonts w:hint="eastAsia" w:ascii="宋体" w:hAnsi="宋体" w:eastAsia="宋体" w:cs="宋体"/>
                <w:color w:val="auto"/>
                <w:sz w:val="21"/>
                <w:szCs w:val="21"/>
                <w:highlight w:val="none"/>
                <w:lang w:val="en-US" w:eastAsia="zh-CN" w:bidi="en-US"/>
              </w:rPr>
              <w:t>SY/T</w:t>
            </w:r>
            <w:r>
              <w:rPr>
                <w:rFonts w:hint="eastAsia" w:ascii="宋体" w:hAnsi="宋体" w:eastAsia="宋体" w:cs="宋体"/>
                <w:color w:val="auto"/>
                <w:sz w:val="21"/>
                <w:szCs w:val="21"/>
                <w:highlight w:val="none"/>
              </w:rPr>
              <w:t>0096的规定。</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深井阳极地床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安装过程中应保证电缆</w:t>
            </w:r>
            <w:r>
              <w:rPr>
                <w:rFonts w:hint="eastAsia" w:ascii="宋体" w:hAnsi="宋体" w:eastAsia="宋体" w:cs="宋体"/>
                <w:color w:val="auto"/>
                <w:sz w:val="21"/>
                <w:szCs w:val="21"/>
                <w:highlight w:val="none"/>
                <w:lang w:eastAsia="zh-CN"/>
              </w:rPr>
              <w:t>的松弛</w:t>
            </w:r>
            <w:r>
              <w:rPr>
                <w:rFonts w:hint="eastAsia" w:ascii="宋体" w:hAnsi="宋体" w:eastAsia="宋体" w:cs="宋体"/>
                <w:color w:val="auto"/>
                <w:sz w:val="21"/>
                <w:szCs w:val="21"/>
                <w:highlight w:val="none"/>
              </w:rPr>
              <w:t>度，电缆不应承重。</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说明：牺牲阳极系统所用之牺牲阳极的种类、型号、布局、数量及各种电气材料、防腐材料等应符合设计及现行有关规范的要求。</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6.5 </w:t>
            </w:r>
            <w:r>
              <w:rPr>
                <w:rFonts w:hint="eastAsia" w:ascii="宋体" w:hAnsi="宋体" w:eastAsia="宋体" w:cs="宋体"/>
                <w:color w:val="auto"/>
                <w:sz w:val="21"/>
                <w:szCs w:val="21"/>
                <w:highlight w:val="none"/>
              </w:rPr>
              <w:t>牺牲阳极填包料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牺牲阳极的填包料由石膏粉、膨润土和工业硫酸钠组成，它们的质量百分比为</w:t>
            </w:r>
            <w:r>
              <w:rPr>
                <w:rFonts w:hint="eastAsia" w:ascii="宋体" w:hAnsi="宋体" w:eastAsia="宋体" w:cs="宋体"/>
                <w:color w:val="auto"/>
                <w:sz w:val="21"/>
                <w:szCs w:val="21"/>
                <w:highlight w:val="none"/>
                <w:lang w:val="en-US" w:eastAsia="zh-CN"/>
              </w:rPr>
              <w:t>75：20：5</w:t>
            </w:r>
            <w:r>
              <w:rPr>
                <w:rFonts w:hint="eastAsia" w:ascii="宋体" w:hAnsi="宋体" w:eastAsia="宋体" w:cs="宋体"/>
                <w:color w:val="auto"/>
                <w:sz w:val="21"/>
                <w:szCs w:val="21"/>
                <w:highlight w:val="none"/>
              </w:rPr>
              <w:t>。</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棒状牺牲阳极埋设方式按轴向和径向分为立式和水平式两种。一般情况下，牺牲阳极宜距离管道外壁</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bidi="en-US"/>
              </w:rPr>
              <w:t>m</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bidi="en-US"/>
              </w:rPr>
              <w:t>m，</w:t>
            </w:r>
            <w:r>
              <w:rPr>
                <w:rFonts w:hint="eastAsia" w:ascii="宋体" w:hAnsi="宋体" w:eastAsia="宋体" w:cs="宋体"/>
                <w:color w:val="auto"/>
                <w:sz w:val="21"/>
                <w:szCs w:val="21"/>
                <w:highlight w:val="none"/>
              </w:rPr>
              <w:t>最小不宜小于</w:t>
            </w:r>
            <w:r>
              <w:rPr>
                <w:rFonts w:hint="eastAsia" w:ascii="宋体" w:hAnsi="宋体" w:eastAsia="宋体" w:cs="宋体"/>
                <w:color w:val="auto"/>
                <w:sz w:val="21"/>
                <w:szCs w:val="21"/>
                <w:highlight w:val="none"/>
                <w:lang w:val="en-US" w:eastAsia="zh-CN" w:bidi="en-US"/>
              </w:rPr>
              <w:t>0.5m，</w:t>
            </w:r>
            <w:r>
              <w:rPr>
                <w:rFonts w:hint="eastAsia" w:ascii="宋体" w:hAnsi="宋体" w:eastAsia="宋体" w:cs="宋体"/>
                <w:color w:val="auto"/>
                <w:sz w:val="21"/>
                <w:szCs w:val="21"/>
                <w:highlight w:val="none"/>
              </w:rPr>
              <w:t>埋设深度以阳极顶部距地面不小于1</w:t>
            </w:r>
            <w:r>
              <w:rPr>
                <w:rFonts w:hint="eastAsia" w:ascii="宋体" w:hAnsi="宋体" w:eastAsia="宋体" w:cs="宋体"/>
                <w:color w:val="auto"/>
                <w:sz w:val="21"/>
                <w:szCs w:val="21"/>
                <w:highlight w:val="none"/>
                <w:lang w:val="en-US" w:eastAsia="zh-CN" w:bidi="en-US"/>
              </w:rPr>
              <w:t>m</w:t>
            </w:r>
            <w:r>
              <w:rPr>
                <w:rFonts w:hint="eastAsia" w:ascii="宋体" w:hAnsi="宋体" w:eastAsia="宋体" w:cs="宋体"/>
                <w:color w:val="auto"/>
                <w:sz w:val="21"/>
                <w:szCs w:val="21"/>
                <w:highlight w:val="none"/>
              </w:rPr>
              <w:t>为宜。成组埋设时，阳极间距宜为2</w:t>
            </w:r>
            <w:r>
              <w:rPr>
                <w:rFonts w:hint="eastAsia" w:ascii="宋体" w:hAnsi="宋体" w:eastAsia="宋体" w:cs="宋体"/>
                <w:color w:val="auto"/>
                <w:sz w:val="21"/>
                <w:szCs w:val="21"/>
                <w:highlight w:val="none"/>
                <w:lang w:val="en-US" w:eastAsia="zh-CN" w:bidi="en-US"/>
              </w:rPr>
              <w:t>m</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bidi="en-US"/>
              </w:rPr>
              <w:t>m</w:t>
            </w:r>
            <w:r>
              <w:rPr>
                <w:rFonts w:hint="eastAsia" w:ascii="宋体" w:hAnsi="宋体" w:eastAsia="宋体" w:cs="宋体"/>
                <w:color w:val="auto"/>
                <w:sz w:val="21"/>
                <w:szCs w:val="21"/>
                <w:highlight w:val="none"/>
                <w:vertAlign w:val="subscript"/>
                <w:lang w:val="en-US" w:eastAsia="zh-CN" w:bidi="en-US"/>
              </w:rPr>
              <w:t>0</w:t>
            </w:r>
          </w:p>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6.7.1.4 </w:t>
            </w:r>
            <w:r>
              <w:rPr>
                <w:rFonts w:hint="eastAsia" w:ascii="宋体" w:hAnsi="宋体" w:eastAsia="宋体" w:cs="宋体"/>
                <w:color w:val="auto"/>
                <w:sz w:val="21"/>
                <w:szCs w:val="21"/>
                <w:highlight w:val="none"/>
              </w:rPr>
              <w:t>棒状牺牲阳极布置时，阳极与管道之间不应存在其他金属构筑物。</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rPr>
              <w:t>9.1.4.2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非预包装牺牲阳极施工时，应除去牺牲阳极的所有防水包装材料，阳极周围应填充填包料，并置于填包料中心位置，填包料应混合均匀并完整包覆阳极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采用预包装牺牲阳极时，填包料应采用麻袋或棉质布袋包装，不应采用化纤类包装袋包装。牺牲阳极就位后应浇水浸泡。</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9.1.6.4电缆与管道焊接前应将焊点处打磨至露出金属光泽。焊点应牢固无尖锐突出，不应虚焊，焊后应清除焊渣，焊点应防腐密封。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3.2.8</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z w:val="21"/>
                <w:szCs w:val="21"/>
                <w:highlight w:val="none"/>
              </w:rPr>
              <w:t>管道吹扫、清管、测径、试压、干燥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管道吹扫、清管、测径、试压、干燥</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管道吹扫、清管、测径应符合设计和相关标准的要求。</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7.3.2.2 管道在吹扫和压力试验时应与无关系统采取隔离措施，与现已运行的燃气管道应加盲板断开，不应用阀门隔离。</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6.4.8.1 管道吹扫与清管应符合下列规定： </w:t>
            </w:r>
          </w:p>
          <w:p>
            <w:pPr>
              <w:pStyle w:val="2"/>
              <w:keepNext w:val="0"/>
              <w:keepLines w:val="0"/>
              <w:pageBreakBefore w:val="0"/>
              <w:kinsoku/>
              <w:wordWrap/>
              <w:overflowPunct/>
              <w:topLinePunct w:val="0"/>
              <w:autoSpaceDE/>
              <w:autoSpaceDN/>
              <w:bidi w:val="0"/>
              <w:spacing w:line="260" w:lineRule="atLeast"/>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球墨铸铁管道、聚乙烯管道和公称尺寸小于DN100或长度小于100m的钢质管道，可采用气体吹扫；公称尺寸大于或等于DN100的钢质管道，宜采用清管球（器）进行清管，管道直径应是同一规格，不同管径的管道应断开分别进行清管。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b）管道吹扫、清管前，应仔细检查管道支、吊架的牢固程度，对有异议的部位应进行加固。对不准许吹扫、清管的设备及管道应进行隔离。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e）管道吹扫、清管宜与管道试压充分结合进行。已吹扫、清管干净的管道组成件、装配管段或整个管道系统应及时采取封闭管口或充氮保护等措施防止再污染。 </w:t>
            </w:r>
          </w:p>
          <w:p>
            <w:pPr>
              <w:pStyle w:val="2"/>
              <w:keepNext w:val="0"/>
              <w:keepLines w:val="0"/>
              <w:pageBreakBefore w:val="0"/>
              <w:kinsoku/>
              <w:wordWrap/>
              <w:overflowPunct/>
              <w:topLinePunct w:val="0"/>
              <w:autoSpaceDE/>
              <w:autoSpaceDN/>
              <w:bidi w:val="0"/>
              <w:spacing w:line="260" w:lineRule="atLeast"/>
              <w:ind w:left="0" w:leftChars="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f）燃气管道压缩空气吹扫、等径管道清管球（器）清管时，压缩机出口端应安装油水分离器和过滤器；在对聚乙烯管道吹扫及试验时，进气口应采取冷却措施，确保管道进气口气体干燥，且其温度不应高于40℃；聚乙烯管道吹扫出口应设置一段钢制管道，且应静电接地。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6.4.8.2 管道气体吹扫应符合下列规定：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a）气体吹扫应符合下列要求：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1）吹扫口应设在开阔地段并加固，吹扫时应设置安全区域，吹扫出口前不应站人；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2）吹扫压力不得大于管道的设计压力；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3）吹扫介质宜采用压缩空气，不应采用氧气和可燃性气体；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4）吹扫合格设备复位后，不得再进行影响管内清洁的其他作业； </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5）吹扫出口宜设置快开盲板。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b）吹扫气体流速不宜小于20m/s，吹扫口与地面的夹角应在30°～45°，吹扫口管段与被吹扫管段应采取平缓过渡对焊，吹扫口直径应符合表29的规定。</w:t>
            </w:r>
          </w:p>
          <w:p>
            <w:pPr>
              <w:keepNext w:val="0"/>
              <w:keepLines w:val="0"/>
              <w:pageBreakBefore w:val="0"/>
              <w:widowControl/>
              <w:kinsoku/>
              <w:wordWrap/>
              <w:overflowPunct/>
              <w:topLinePunct w:val="0"/>
              <w:autoSpaceDE/>
              <w:autoSpaceDN/>
              <w:bidi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表29 吹扫口直径              </w:t>
            </w:r>
            <w:r>
              <w:rPr>
                <w:rFonts w:hint="eastAsia" w:ascii="宋体" w:hAnsi="宋体" w:eastAsia="宋体" w:cs="宋体"/>
                <w:color w:val="auto"/>
                <w:kern w:val="0"/>
                <w:sz w:val="21"/>
                <w:szCs w:val="21"/>
                <w:highlight w:val="none"/>
                <w:lang w:bidi="ar"/>
              </w:rPr>
              <w:t>单位为毫米</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715"/>
              <w:gridCol w:w="271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末端管道公称直径DN</w:t>
                  </w:r>
                </w:p>
              </w:tc>
              <w:tc>
                <w:tcPr>
                  <w:tcW w:w="12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DN＜150</w:t>
                  </w:r>
                </w:p>
              </w:tc>
              <w:tc>
                <w:tcPr>
                  <w:tcW w:w="12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150≤DN≤300</w:t>
                  </w:r>
                </w:p>
              </w:tc>
              <w:tc>
                <w:tcPr>
                  <w:tcW w:w="12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吹扫口公称直径</w:t>
                  </w:r>
                </w:p>
              </w:tc>
              <w:tc>
                <w:tcPr>
                  <w:tcW w:w="12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与管道同径</w:t>
                  </w:r>
                </w:p>
              </w:tc>
              <w:tc>
                <w:tcPr>
                  <w:tcW w:w="12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12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60" w:lineRule="atLeas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w:t>
                  </w:r>
                </w:p>
              </w:tc>
            </w:tr>
          </w:tbl>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c）每次吹扫钢质管道的长度不宜超过500m，当管道长度超过500m时，宜分段吹扫。聚乙烯管道每次吹扫长度不宜大于1000m。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d）当吹扫出口目测排气无烟尘时，应在排气口设置白布或涂白漆木靶板检验，5min内靶上无铁锈、尘土等其他杂物为合格。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6.4.8.3 管道清管球（器）清管应符合下列规定：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a）燃气管道当采用清管球（器）清管时，分段试压前应进行清管球（器）清管，清管次数不应少于2次，分段清管的长度应根据分段试压长度确定。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清管应设临时清管球（器）收发装置，发射装置及接收装置应由发球筒、压力表、进气阀、放散阀、排污阀组成。临时清管球（器）收发装置首次使用前应进行压力试验，试验压力为管线设计压力的1.5倍，试压介质为洁净水，稳压1h，无压降、无泄漏为合格。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d）管线上有支管部分应在三通连接处设置挡栅，挡栅的规格以设计要求为准，宜采用与主管道内壁相同的弧度设置，且不得有毛刺、焊瘤等缺陷，以确保清管球（器）在管线中顺利通过。 </w:t>
            </w:r>
          </w:p>
          <w:p>
            <w:pPr>
              <w:keepNext w:val="0"/>
              <w:keepLines w:val="0"/>
              <w:pageBreakBefore w:val="0"/>
              <w:widowControl/>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f）清管球（器）清管时，宜采用压缩空气推动清管球（器）运行，清管器运行时速度应控制在3Km/h～9Km/h，工作压力宜为0.05MPa～0.2MPa，如遇阻力可提高其工作压力，但最大压力不应超过设计压力。在地形起伏较大的地区，应设置背压控制清管球（器）运行速度。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g）清管球（器）清管时应及时检查清管效果，应将管道内的水、泥土、杂物清理干净。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管道吹扫应符合下列要求：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应按主管、支管、庭院管的顺序进行吹扫，吹扫出的脏物不得进入已合格的管道。</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吹扫管段内的调压器、阀门、孔板、过滤网、燃气表等设备不应参与吹扫，待吹扫合格后再安装复位。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7.2.3 </w:t>
            </w:r>
            <w:r>
              <w:rPr>
                <w:rFonts w:hint="eastAsia" w:ascii="宋体" w:hAnsi="宋体" w:eastAsia="宋体" w:cs="宋体"/>
                <w:color w:val="auto"/>
                <w:sz w:val="21"/>
                <w:szCs w:val="21"/>
                <w:highlight w:val="none"/>
                <w:lang w:bidi="zh-TW"/>
              </w:rPr>
              <w:t>聚乙烯燃气管道吹扫压力不应大于0</w:t>
            </w:r>
            <w:r>
              <w:rPr>
                <w:rFonts w:hint="eastAsia" w:ascii="宋体" w:hAnsi="宋体" w:eastAsia="宋体" w:cs="宋体"/>
                <w:color w:val="auto"/>
                <w:sz w:val="21"/>
                <w:szCs w:val="21"/>
                <w:highlight w:val="none"/>
                <w:lang w:bidi="en-US"/>
              </w:rPr>
              <w:t>.3MPa，</w:t>
            </w:r>
            <w:r>
              <w:rPr>
                <w:rFonts w:hint="eastAsia" w:ascii="宋体" w:hAnsi="宋体" w:eastAsia="宋体" w:cs="宋体"/>
                <w:color w:val="auto"/>
                <w:sz w:val="21"/>
                <w:szCs w:val="21"/>
                <w:highlight w:val="none"/>
                <w:lang w:bidi="zh-TW"/>
              </w:rPr>
              <w:t>气体流速不宜小于</w:t>
            </w:r>
            <w:r>
              <w:rPr>
                <w:rFonts w:hint="eastAsia" w:ascii="宋体" w:hAnsi="宋体" w:eastAsia="宋体" w:cs="宋体"/>
                <w:color w:val="auto"/>
                <w:sz w:val="21"/>
                <w:szCs w:val="21"/>
                <w:highlight w:val="none"/>
                <w:lang w:bidi="en-US"/>
              </w:rPr>
              <w:t>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GB50369-2014</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14.2.3 线路截断阀不应参加清管。</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14.2.5 清管时的最大压力不得超过管材最小屈服强度的30%。</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14.2.</w:t>
            </w:r>
            <w:r>
              <w:rPr>
                <w:rFonts w:hint="eastAsia" w:ascii="宋体" w:hAnsi="宋体" w:eastAsia="宋体" w:cs="宋体"/>
                <w:color w:val="auto"/>
                <w:sz w:val="21"/>
                <w:szCs w:val="21"/>
                <w:highlight w:val="none"/>
              </w:rPr>
              <w:t>7 清管合格后应在试压前后分别进行测径。测径宜</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rPr>
              <w:t>铝质测径板.直径为试压段中最大壁厚钢管或者弯头内径的90%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当测径板通过管段后，无变形、褶皱可判为合格。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管道吹扫、清管、测径、试压、干燥</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管道压力试验（强度、气密）应符合设计和相关标准的要求。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 38942-2020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7.3.2.2 管道在吹扫和压力试验时应与无关系统采取隔离措施，与现已运行的燃气管道应加盲板断开，不应用阀门隔离。 </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7.3.2.7 管道严密性试验应符合下列规定：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a）严密性试验介质宜采用压缩空气，当强度试验以水为介质时，应将管内的水排除干净后再进行严密性试验；当强度试验以空气为介质时，应及时将管内压力降至严密性试验压力；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c）试验待稳压后，持续时间应为24h，每小时记录不应少于1次，当试验仪表采用电子压力记录仪时，试验开始与试验结束时相比压力无变化为合格。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 燃气管道穿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越大中型河流、铁路、二级以上公路、高速公路时，应单独进行试压。</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12.1.7 试验前应按设计图检查管道的所有阀门，试验段必须全部开启。</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管道试验用压力计</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温度记录仪表均不应少于两块，并应分别安装在试验管道的两端。</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所有未参加严密性试验的设备、仪表、管件，应在严密性试验合格后进行复位，然后按设计压力对系统升压，应采用发泡剂检查设备、仪表、管件及其与管道的连接处，不漏为合格。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7.3.3 </w:t>
            </w:r>
            <w:r>
              <w:rPr>
                <w:rFonts w:hint="eastAsia" w:ascii="宋体" w:hAnsi="宋体" w:eastAsia="宋体" w:cs="宋体"/>
                <w:color w:val="auto"/>
                <w:sz w:val="21"/>
                <w:szCs w:val="21"/>
                <w:highlight w:val="none"/>
                <w:lang w:bidi="zh-TW"/>
              </w:rPr>
              <w:t>聚乙烯燃气管道强度试验压力应为设计压力的</w:t>
            </w:r>
            <w:r>
              <w:rPr>
                <w:rFonts w:hint="eastAsia" w:ascii="宋体" w:hAnsi="宋体" w:eastAsia="宋体" w:cs="宋体"/>
                <w:color w:val="auto"/>
                <w:sz w:val="21"/>
                <w:szCs w:val="21"/>
                <w:highlight w:val="none"/>
                <w:lang w:bidi="en-US"/>
              </w:rPr>
              <w:t>1.5</w:t>
            </w:r>
            <w:r>
              <w:rPr>
                <w:rFonts w:hint="eastAsia" w:ascii="宋体" w:hAnsi="宋体" w:eastAsia="宋体" w:cs="宋体"/>
                <w:color w:val="auto"/>
                <w:sz w:val="21"/>
                <w:szCs w:val="21"/>
                <w:highlight w:val="none"/>
                <w:lang w:bidi="zh-TW"/>
              </w:rPr>
              <w:t>倍，且最低试验压力应符合下列规定：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1 SDR11</w:t>
            </w:r>
            <w:r>
              <w:rPr>
                <w:rFonts w:hint="eastAsia" w:ascii="宋体" w:hAnsi="宋体" w:eastAsia="宋体" w:cs="宋体"/>
                <w:color w:val="auto"/>
                <w:sz w:val="21"/>
                <w:szCs w:val="21"/>
                <w:highlight w:val="none"/>
                <w:lang w:bidi="zh-TW"/>
              </w:rPr>
              <w:t>聚乙烯管道不应小于</w:t>
            </w:r>
            <w:r>
              <w:rPr>
                <w:rFonts w:hint="eastAsia" w:ascii="宋体" w:hAnsi="宋体" w:eastAsia="宋体" w:cs="宋体"/>
                <w:color w:val="auto"/>
                <w:sz w:val="21"/>
                <w:szCs w:val="21"/>
                <w:highlight w:val="none"/>
                <w:lang w:bidi="en-US"/>
              </w:rPr>
              <w:t>0.40MPa。</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2 SDR17/SDR17</w:t>
            </w:r>
            <w:r>
              <w:rPr>
                <w:rFonts w:hint="eastAsia" w:ascii="宋体" w:hAnsi="宋体" w:eastAsia="宋体" w:cs="宋体"/>
                <w:color w:val="auto"/>
                <w:sz w:val="21"/>
                <w:szCs w:val="21"/>
                <w:highlight w:val="none"/>
                <w:lang w:eastAsia="zh-CN" w:bidi="en-US"/>
              </w:rPr>
              <w:t>.</w:t>
            </w:r>
            <w:r>
              <w:rPr>
                <w:rFonts w:hint="eastAsia" w:ascii="宋体" w:hAnsi="宋体" w:eastAsia="宋体" w:cs="宋体"/>
                <w:color w:val="auto"/>
                <w:sz w:val="21"/>
                <w:szCs w:val="21"/>
                <w:highlight w:val="none"/>
                <w:lang w:bidi="zh-TW"/>
              </w:rPr>
              <w:t>6聚乙烯管道不应小于</w:t>
            </w:r>
            <w:r>
              <w:rPr>
                <w:rFonts w:hint="eastAsia" w:ascii="宋体" w:hAnsi="宋体" w:eastAsia="宋体" w:cs="宋体"/>
                <w:color w:val="auto"/>
                <w:sz w:val="21"/>
                <w:szCs w:val="21"/>
                <w:highlight w:val="none"/>
                <w:lang w:bidi="en-US"/>
              </w:rPr>
              <w:t>0.20MPa。</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7.3.5 </w:t>
            </w:r>
            <w:r>
              <w:rPr>
                <w:rFonts w:hint="eastAsia" w:ascii="宋体" w:hAnsi="宋体" w:eastAsia="宋体" w:cs="宋体"/>
                <w:color w:val="auto"/>
                <w:sz w:val="21"/>
                <w:szCs w:val="21"/>
                <w:highlight w:val="none"/>
                <w:lang w:bidi="zh-TW"/>
              </w:rPr>
              <w:t>经分段试压合格的管段接头，外观检验合格后，可不再进行强度试验。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《油气长输管道工程施工及验收规范》GB50369-2014</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lang w:bidi="en-US"/>
              </w:rPr>
              <w:t xml:space="preserve">14.3.2 </w:t>
            </w:r>
            <w:r>
              <w:rPr>
                <w:rFonts w:hint="eastAsia" w:ascii="宋体" w:hAnsi="宋体" w:eastAsia="宋体" w:cs="宋体"/>
                <w:color w:val="auto"/>
                <w:sz w:val="21"/>
                <w:szCs w:val="21"/>
                <w:highlight w:val="none"/>
                <w:lang w:bidi="zh-TW"/>
              </w:rPr>
              <w:t>分段水压试验的管段长度不宜超过</w:t>
            </w:r>
            <w:r>
              <w:rPr>
                <w:rFonts w:hint="eastAsia" w:ascii="宋体" w:hAnsi="宋体" w:eastAsia="宋体" w:cs="宋体"/>
                <w:color w:val="auto"/>
                <w:sz w:val="21"/>
                <w:szCs w:val="21"/>
                <w:highlight w:val="none"/>
                <w:lang w:bidi="en-US"/>
              </w:rPr>
              <w:t>35km，</w:t>
            </w:r>
            <w:r>
              <w:rPr>
                <w:rFonts w:hint="eastAsia" w:ascii="宋体" w:hAnsi="宋体" w:eastAsia="宋体" w:cs="宋体"/>
                <w:color w:val="auto"/>
                <w:sz w:val="21"/>
                <w:szCs w:val="21"/>
                <w:highlight w:val="none"/>
                <w:lang w:bidi="zh-TW"/>
              </w:rPr>
              <w:t>应根据该段</w:t>
            </w:r>
            <w:r>
              <w:rPr>
                <w:rFonts w:hint="eastAsia" w:ascii="宋体" w:hAnsi="宋体" w:eastAsia="宋体" w:cs="宋体"/>
                <w:color w:val="auto"/>
                <w:sz w:val="21"/>
                <w:szCs w:val="21"/>
                <w:highlight w:val="none"/>
                <w:lang w:eastAsia="zh-CN" w:bidi="zh-TW"/>
              </w:rPr>
              <w:t>的</w:t>
            </w:r>
            <w:r>
              <w:rPr>
                <w:rFonts w:hint="eastAsia" w:ascii="宋体" w:hAnsi="宋体" w:eastAsia="宋体" w:cs="宋体"/>
                <w:color w:val="auto"/>
                <w:sz w:val="21"/>
                <w:szCs w:val="21"/>
                <w:highlight w:val="none"/>
                <w:lang w:bidi="zh-TW"/>
              </w:rPr>
              <w:t>纵断面图，计算管道低点的静水压力，核算管道低点试压时所承受的环向应力，其值不应大于管材最低屈服强度的</w:t>
            </w:r>
            <w:r>
              <w:rPr>
                <w:rFonts w:hint="eastAsia" w:ascii="宋体" w:hAnsi="宋体" w:eastAsia="宋体" w:cs="宋体"/>
                <w:color w:val="auto"/>
                <w:sz w:val="21"/>
                <w:szCs w:val="21"/>
                <w:highlight w:val="none"/>
                <w:lang w:bidi="en-US"/>
              </w:rPr>
              <w:t>0</w:t>
            </w:r>
            <w:r>
              <w:rPr>
                <w:rFonts w:hint="eastAsia" w:ascii="宋体" w:hAnsi="宋体" w:eastAsia="宋体" w:cs="宋体"/>
                <w:color w:val="auto"/>
                <w:sz w:val="21"/>
                <w:szCs w:val="21"/>
                <w:highlight w:val="none"/>
                <w:lang w:eastAsia="zh-CN" w:bidi="en-US"/>
              </w:rPr>
              <w:t>.</w:t>
            </w:r>
            <w:r>
              <w:rPr>
                <w:rFonts w:hint="eastAsia" w:ascii="宋体" w:hAnsi="宋体" w:eastAsia="宋体" w:cs="宋体"/>
                <w:color w:val="auto"/>
                <w:sz w:val="21"/>
                <w:szCs w:val="21"/>
                <w:highlight w:val="none"/>
                <w:lang w:bidi="zh-TW"/>
              </w:rPr>
              <w:t>9倍，对特殊地段经设计允许</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bidi="zh-TW"/>
              </w:rPr>
              <w:t>其值最大不得大于</w:t>
            </w:r>
            <w:r>
              <w:rPr>
                <w:rFonts w:hint="eastAsia" w:ascii="宋体" w:hAnsi="宋体" w:eastAsia="宋体" w:cs="宋体"/>
                <w:color w:val="auto"/>
                <w:sz w:val="21"/>
                <w:szCs w:val="21"/>
                <w:highlight w:val="none"/>
                <w:lang w:bidi="en-US"/>
              </w:rPr>
              <w:t>0.</w:t>
            </w:r>
            <w:r>
              <w:rPr>
                <w:rFonts w:hint="eastAsia" w:ascii="宋体" w:hAnsi="宋体" w:eastAsia="宋体" w:cs="宋体"/>
                <w:color w:val="auto"/>
                <w:sz w:val="21"/>
                <w:szCs w:val="21"/>
                <w:highlight w:val="none"/>
                <w:lang w:bidi="zh-TW"/>
              </w:rPr>
              <w:t>95倍。试验压力值的测量应以管道</w:t>
            </w:r>
            <w:r>
              <w:rPr>
                <w:rFonts w:hint="eastAsia" w:ascii="宋体" w:hAnsi="宋体" w:eastAsia="宋体" w:cs="宋体"/>
                <w:color w:val="auto"/>
                <w:sz w:val="21"/>
                <w:szCs w:val="21"/>
                <w:highlight w:val="none"/>
                <w:lang w:eastAsia="zh-CN" w:bidi="zh-TW"/>
              </w:rPr>
              <w:t>最高点</w:t>
            </w:r>
            <w:r>
              <w:rPr>
                <w:rFonts w:hint="eastAsia" w:ascii="宋体" w:hAnsi="宋体" w:eastAsia="宋体" w:cs="宋体"/>
                <w:color w:val="auto"/>
                <w:sz w:val="21"/>
                <w:szCs w:val="21"/>
                <w:highlight w:val="none"/>
                <w:lang w:val="en-US" w:eastAsia="zh-CN" w:bidi="zh-TW"/>
              </w:rPr>
              <w:t>处</w:t>
            </w:r>
            <w:r>
              <w:rPr>
                <w:rFonts w:hint="eastAsia" w:ascii="宋体" w:hAnsi="宋体" w:eastAsia="宋体" w:cs="宋体"/>
                <w:color w:val="auto"/>
                <w:sz w:val="21"/>
                <w:szCs w:val="21"/>
                <w:highlight w:val="none"/>
                <w:lang w:bidi="zh-TW"/>
              </w:rPr>
              <w:t>的压力值为准，管道最低点的压力值应为试验压力与管道液位高差静压之和。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14.3.3 </w:t>
            </w:r>
            <w:r>
              <w:rPr>
                <w:rFonts w:hint="eastAsia" w:ascii="宋体" w:hAnsi="宋体" w:eastAsia="宋体" w:cs="宋体"/>
                <w:color w:val="auto"/>
                <w:sz w:val="21"/>
                <w:szCs w:val="21"/>
                <w:highlight w:val="none"/>
                <w:lang w:bidi="zh-TW"/>
              </w:rPr>
              <w:t>试压充水宜加入隔离球，并应在充水时采取背压措施，以防止空气存于管内，隔离球可在试压后取出。应避免在管线</w:t>
            </w:r>
            <w:r>
              <w:rPr>
                <w:rFonts w:hint="eastAsia" w:ascii="宋体" w:hAnsi="宋体" w:eastAsia="宋体" w:cs="宋体"/>
                <w:color w:val="auto"/>
                <w:sz w:val="21"/>
                <w:szCs w:val="21"/>
                <w:highlight w:val="none"/>
                <w:lang w:eastAsia="zh-CN" w:bidi="zh-TW"/>
              </w:rPr>
              <w:t>高</w:t>
            </w:r>
            <w:r>
              <w:rPr>
                <w:rFonts w:hint="eastAsia" w:ascii="宋体" w:hAnsi="宋体" w:eastAsia="宋体" w:cs="宋体"/>
                <w:color w:val="auto"/>
                <w:sz w:val="21"/>
                <w:szCs w:val="21"/>
                <w:highlight w:val="none"/>
                <w:lang w:val="en-US" w:eastAsia="zh-CN" w:bidi="zh-TW"/>
              </w:rPr>
              <w:t>处</w:t>
            </w:r>
            <w:r>
              <w:rPr>
                <w:rFonts w:hint="eastAsia" w:ascii="宋体" w:hAnsi="宋体" w:eastAsia="宋体" w:cs="宋体"/>
                <w:color w:val="auto"/>
                <w:sz w:val="21"/>
                <w:szCs w:val="21"/>
                <w:highlight w:val="none"/>
                <w:lang w:bidi="zh-TW"/>
              </w:rPr>
              <w:t>开孔排气。压力试验宜在24小时后进行，以缩小温度差异。</w:t>
            </w:r>
            <w:r>
              <w:rPr>
                <w:rFonts w:hint="eastAsia" w:ascii="宋体" w:hAnsi="宋体" w:eastAsia="宋体" w:cs="宋体"/>
                <w:color w:val="auto"/>
                <w:sz w:val="21"/>
                <w:szCs w:val="21"/>
                <w:highlight w:val="none"/>
                <w:lang w:bidi="zh-TW"/>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3.2.8.3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管道吹扫、清管、测径、试压、干燥</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管道干燥应符合设计和相关标准的要求。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《天然气管道、液化天然气站（厂）干燥施工技术规范》</w:t>
            </w:r>
            <w:r>
              <w:rPr>
                <w:rFonts w:hint="eastAsia" w:ascii="宋体" w:hAnsi="宋体" w:eastAsia="宋体" w:cs="宋体"/>
                <w:color w:val="auto"/>
                <w:sz w:val="21"/>
                <w:szCs w:val="21"/>
                <w:highlight w:val="none"/>
                <w:lang w:eastAsia="zh-CN"/>
              </w:rPr>
              <w:t>SY/T</w:t>
            </w:r>
            <w:r>
              <w:rPr>
                <w:rFonts w:hint="eastAsia" w:ascii="宋体" w:hAnsi="宋体" w:eastAsia="宋体" w:cs="宋体"/>
                <w:color w:val="auto"/>
                <w:sz w:val="21"/>
                <w:szCs w:val="21"/>
                <w:highlight w:val="none"/>
              </w:rPr>
              <w:t>4114-2016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5.2.4 </w:t>
            </w:r>
            <w:r>
              <w:rPr>
                <w:rFonts w:hint="eastAsia" w:ascii="宋体" w:hAnsi="宋体" w:eastAsia="宋体" w:cs="宋体"/>
                <w:color w:val="auto"/>
                <w:sz w:val="21"/>
                <w:szCs w:val="21"/>
                <w:highlight w:val="none"/>
              </w:rPr>
              <w:t>管道干燥施工前，应对管道试压扫水结果进行确认，以连续两个泡沫清管器增重不大于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bidi="en-US"/>
              </w:rPr>
              <w:t>1.5DN/1000</w:t>
            </w:r>
            <w:r>
              <w:rPr>
                <w:rFonts w:hint="eastAsia" w:ascii="宋体" w:hAnsi="宋体" w:eastAsia="宋体" w:cs="宋体"/>
                <w:color w:val="auto"/>
                <w:sz w:val="21"/>
                <w:szCs w:val="21"/>
                <w:highlight w:val="none"/>
                <w:lang w:eastAsia="zh-CN" w:bidi="en-US"/>
              </w:rPr>
              <w:t>）</w:t>
            </w:r>
            <w:r>
              <w:rPr>
                <w:rFonts w:hint="eastAsia" w:ascii="宋体" w:hAnsi="宋体" w:eastAsia="宋体" w:cs="宋体"/>
                <w:color w:val="auto"/>
                <w:sz w:val="21"/>
                <w:szCs w:val="21"/>
                <w:highlight w:val="none"/>
                <w:lang w:bidi="en-US"/>
              </w:rPr>
              <w:t>kg，</w:t>
            </w:r>
            <w:r>
              <w:rPr>
                <w:rFonts w:hint="eastAsia" w:ascii="宋体" w:hAnsi="宋体" w:eastAsia="宋体" w:cs="宋体"/>
                <w:color w:val="auto"/>
                <w:sz w:val="21"/>
                <w:szCs w:val="21"/>
                <w:highlight w:val="none"/>
              </w:rPr>
              <w:t>无游离水为合格。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采用干燥空气吹扫时</w:t>
            </w:r>
            <w:r>
              <w:rPr>
                <w:rFonts w:hint="eastAsia" w:ascii="宋体" w:hAnsi="宋体" w:eastAsia="宋体" w:cs="宋体"/>
                <w:color w:val="auto"/>
                <w:sz w:val="21"/>
                <w:szCs w:val="21"/>
                <w:highlight w:val="none"/>
              </w:rPr>
              <w:t>：</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5.3.2 </w:t>
            </w:r>
            <w:r>
              <w:rPr>
                <w:rFonts w:hint="eastAsia" w:ascii="宋体" w:hAnsi="宋体" w:eastAsia="宋体" w:cs="宋体"/>
                <w:color w:val="auto"/>
                <w:sz w:val="21"/>
                <w:szCs w:val="21"/>
                <w:highlight w:val="none"/>
              </w:rPr>
              <w:t>应用水露点仪检测管道末端出口气体的水露点，水露点达到</w:t>
            </w:r>
            <w:r>
              <w:rPr>
                <w:rFonts w:hint="eastAsia" w:ascii="宋体" w:hAnsi="宋体" w:eastAsia="宋体" w:cs="宋体"/>
                <w:color w:val="auto"/>
                <w:sz w:val="21"/>
                <w:szCs w:val="21"/>
                <w:highlight w:val="none"/>
                <w:lang w:val="en-US" w:eastAsia="zh-CN" w:bidi="en-US"/>
              </w:rPr>
              <w:t>0℃</w:t>
            </w:r>
            <w:r>
              <w:rPr>
                <w:rFonts w:hint="eastAsia" w:ascii="宋体" w:hAnsi="宋体" w:eastAsia="宋体" w:cs="宋体"/>
                <w:color w:val="auto"/>
                <w:sz w:val="21"/>
                <w:szCs w:val="21"/>
                <w:highlight w:val="none"/>
              </w:rPr>
              <w:t>后，应使用干空气对管道进行吹扫。</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管道干燥末期，当管道</w:t>
            </w:r>
            <w:r>
              <w:rPr>
                <w:rFonts w:hint="eastAsia" w:ascii="宋体" w:hAnsi="宋体" w:eastAsia="宋体" w:cs="宋体"/>
                <w:color w:val="auto"/>
                <w:sz w:val="21"/>
                <w:szCs w:val="21"/>
                <w:highlight w:val="none"/>
                <w:lang w:eastAsia="zh-CN"/>
              </w:rPr>
              <w:t>出口处</w:t>
            </w:r>
            <w:r>
              <w:rPr>
                <w:rFonts w:hint="eastAsia" w:ascii="宋体" w:hAnsi="宋体" w:eastAsia="宋体" w:cs="宋体"/>
                <w:color w:val="auto"/>
                <w:sz w:val="21"/>
                <w:szCs w:val="21"/>
                <w:highlight w:val="none"/>
              </w:rPr>
              <w:t>的空气水露点达到设计要求后，继续使用水露点低于</w:t>
            </w:r>
            <w:r>
              <w:rPr>
                <w:rFonts w:hint="eastAsia" w:ascii="宋体" w:hAnsi="宋体" w:eastAsia="宋体" w:cs="宋体"/>
                <w:color w:val="auto"/>
                <w:sz w:val="21"/>
                <w:szCs w:val="21"/>
                <w:highlight w:val="none"/>
                <w:lang w:val="en-US" w:eastAsia="zh-CN" w:bidi="en-US"/>
              </w:rPr>
              <w:t>-40℃</w:t>
            </w:r>
            <w:r>
              <w:rPr>
                <w:rFonts w:hint="eastAsia" w:ascii="宋体" w:hAnsi="宋体" w:eastAsia="宋体" w:cs="宋体"/>
                <w:color w:val="auto"/>
                <w:sz w:val="21"/>
                <w:szCs w:val="21"/>
                <w:highlight w:val="none"/>
              </w:rPr>
              <w:t>的干空气对管道进行低压吹扫，直到管段后半部分被较低水露点的干空气完全置换，达到设计要求的水露点后，进行密闭试验。设计无要求时，水露点应达到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en-US"/>
              </w:rPr>
              <w:t>20℃</w:t>
            </w:r>
            <w:r>
              <w:rPr>
                <w:rFonts w:hint="eastAsia" w:ascii="宋体" w:hAnsi="宋体" w:eastAsia="宋体" w:cs="宋体"/>
                <w:color w:val="auto"/>
                <w:sz w:val="21"/>
                <w:szCs w:val="21"/>
                <w:highlight w:val="none"/>
              </w:rPr>
              <w:t>。</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5.3.4 </w:t>
            </w:r>
            <w:r>
              <w:rPr>
                <w:rFonts w:hint="eastAsia" w:ascii="宋体" w:hAnsi="宋体" w:eastAsia="宋体" w:cs="宋体"/>
                <w:color w:val="auto"/>
                <w:sz w:val="21"/>
                <w:szCs w:val="21"/>
                <w:highlight w:val="none"/>
              </w:rPr>
              <w:t>密闭试验</w:t>
            </w:r>
            <w:r>
              <w:rPr>
                <w:rFonts w:hint="eastAsia" w:ascii="宋体" w:hAnsi="宋体" w:eastAsia="宋体" w:cs="宋体"/>
                <w:color w:val="auto"/>
                <w:sz w:val="21"/>
                <w:szCs w:val="21"/>
                <w:highlight w:val="none"/>
                <w:lang w:val="en-US" w:eastAsia="zh-CN" w:bidi="en-US"/>
              </w:rPr>
              <w:t>4h</w:t>
            </w:r>
            <w:r>
              <w:rPr>
                <w:rFonts w:hint="eastAsia" w:ascii="宋体" w:hAnsi="宋体" w:eastAsia="宋体" w:cs="宋体"/>
                <w:color w:val="auto"/>
                <w:sz w:val="21"/>
                <w:szCs w:val="21"/>
                <w:highlight w:val="none"/>
              </w:rPr>
              <w:t>后，在管道末端对水露点进行检查，管道内水露点升高不超过3℃</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rPr>
              <w:t>且不高于设计要求的水露点为合格。</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采用真空法干燥时：</w:t>
            </w:r>
          </w:p>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en-US"/>
              </w:rPr>
              <w:t xml:space="preserve">6.3.3 </w:t>
            </w:r>
            <w:r>
              <w:rPr>
                <w:rFonts w:hint="eastAsia" w:ascii="宋体" w:hAnsi="宋体" w:eastAsia="宋体" w:cs="宋体"/>
                <w:color w:val="auto"/>
                <w:sz w:val="21"/>
                <w:szCs w:val="21"/>
                <w:highlight w:val="none"/>
              </w:rPr>
              <w:t>当管道内的压力降到设计水露点所对应的压力值时（见本规范附录</w:t>
            </w:r>
            <w:r>
              <w:rPr>
                <w:rFonts w:hint="eastAsia" w:ascii="宋体" w:hAnsi="宋体" w:eastAsia="宋体" w:cs="宋体"/>
                <w:color w:val="auto"/>
                <w:sz w:val="21"/>
                <w:szCs w:val="21"/>
                <w:highlight w:val="none"/>
                <w:lang w:val="en-US" w:eastAsia="zh-CN" w:bidi="en-US"/>
              </w:rPr>
              <w:t>B），</w:t>
            </w:r>
            <w:r>
              <w:rPr>
                <w:rFonts w:hint="eastAsia" w:ascii="宋体" w:hAnsi="宋体" w:eastAsia="宋体" w:cs="宋体"/>
                <w:color w:val="auto"/>
                <w:sz w:val="21"/>
                <w:szCs w:val="21"/>
                <w:highlight w:val="none"/>
              </w:rPr>
              <w:t>应关闭真空泵组，密闭</w:t>
            </w:r>
            <w:r>
              <w:rPr>
                <w:rFonts w:hint="eastAsia" w:ascii="宋体" w:hAnsi="宋体" w:eastAsia="宋体" w:cs="宋体"/>
                <w:color w:val="auto"/>
                <w:sz w:val="21"/>
                <w:szCs w:val="21"/>
                <w:highlight w:val="none"/>
                <w:lang w:val="en-US" w:eastAsia="zh-CN" w:bidi="en-US"/>
              </w:rPr>
              <w:t>24h，</w:t>
            </w:r>
            <w:r>
              <w:rPr>
                <w:rFonts w:hint="eastAsia" w:ascii="宋体" w:hAnsi="宋体" w:eastAsia="宋体" w:cs="宋体"/>
                <w:color w:val="auto"/>
                <w:sz w:val="21"/>
                <w:szCs w:val="21"/>
                <w:highlight w:val="none"/>
              </w:rPr>
              <w:t>观察管道内压力的变化，如压力变化值小于</w:t>
            </w:r>
            <w:r>
              <w:rPr>
                <w:rFonts w:hint="eastAsia" w:ascii="宋体" w:hAnsi="宋体" w:eastAsia="宋体" w:cs="宋体"/>
                <w:color w:val="auto"/>
                <w:sz w:val="21"/>
                <w:szCs w:val="21"/>
                <w:highlight w:val="none"/>
                <w:lang w:val="en-US" w:eastAsia="zh-CN" w:bidi="en-US"/>
              </w:rPr>
              <w:t>0.6kPa，</w:t>
            </w:r>
            <w:r>
              <w:rPr>
                <w:rFonts w:hint="eastAsia" w:ascii="宋体" w:hAnsi="宋体" w:eastAsia="宋体" w:cs="宋体"/>
                <w:color w:val="auto"/>
                <w:sz w:val="21"/>
                <w:szCs w:val="21"/>
                <w:highlight w:val="none"/>
              </w:rPr>
              <w:t>即为合格；否则，应继续进行抽真空干燥，直至合格。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bidi="zh-TW"/>
              </w:rPr>
            </w:pPr>
            <w:r>
              <w:rPr>
                <w:rFonts w:hint="eastAsia" w:ascii="宋体" w:hAnsi="宋体" w:eastAsia="宋体" w:cs="宋体"/>
                <w:color w:val="auto"/>
                <w:sz w:val="21"/>
                <w:szCs w:val="21"/>
                <w:highlight w:val="none"/>
              </w:rPr>
              <w:t>6.4.1 在干燥合格后，应向管道内注入水露点不低于</w:t>
            </w:r>
            <w:r>
              <w:rPr>
                <w:rFonts w:hint="eastAsia" w:ascii="宋体" w:hAnsi="宋体" w:eastAsia="宋体" w:cs="宋体"/>
                <w:color w:val="auto"/>
                <w:sz w:val="21"/>
                <w:szCs w:val="21"/>
                <w:highlight w:val="none"/>
                <w:lang w:bidi="en-US"/>
              </w:rPr>
              <w:t>-40C、</w:t>
            </w:r>
            <w:r>
              <w:rPr>
                <w:rFonts w:hint="eastAsia" w:ascii="宋体" w:hAnsi="宋体" w:eastAsia="宋体" w:cs="宋体"/>
                <w:color w:val="auto"/>
                <w:sz w:val="21"/>
                <w:szCs w:val="21"/>
                <w:highlight w:val="none"/>
              </w:rPr>
              <w:t>压力为</w:t>
            </w:r>
            <w:r>
              <w:rPr>
                <w:rFonts w:hint="eastAsia" w:ascii="宋体" w:hAnsi="宋体" w:eastAsia="宋体" w:cs="宋体"/>
                <w:color w:val="auto"/>
                <w:sz w:val="21"/>
                <w:szCs w:val="21"/>
                <w:highlight w:val="none"/>
                <w:lang w:bidi="en-US"/>
              </w:rPr>
              <w:t>50kPa~70kPa</w:t>
            </w:r>
            <w:r>
              <w:rPr>
                <w:rFonts w:hint="eastAsia" w:ascii="宋体" w:hAnsi="宋体" w:eastAsia="宋体" w:cs="宋体"/>
                <w:color w:val="auto"/>
                <w:sz w:val="21"/>
                <w:szCs w:val="21"/>
                <w:highlight w:val="none"/>
              </w:rPr>
              <w:t>的干空气或氮气，保持管道密闭，并应对管道进行密封和标识。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3.2.9</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管道标志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3.2.9.1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管道标志</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管道示踪装置、警示装置、地面标志的敷设应符合设计及相关标准的要求。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《燃气工程项目规范》GB55009-2021</w:t>
            </w:r>
          </w:p>
        </w:tc>
        <w:tc>
          <w:tcPr>
            <w:tcW w:w="11060" w:type="dxa"/>
            <w:vAlign w:val="center"/>
          </w:tcPr>
          <w:p>
            <w:pPr>
              <w:pStyle w:val="115"/>
              <w:keepNext w:val="0"/>
              <w:keepLines w:val="0"/>
              <w:pageBreakBefore w:val="0"/>
              <w:kinsoku/>
              <w:wordWrap/>
              <w:overflowPunct/>
              <w:topLinePunct w:val="0"/>
              <w:autoSpaceDE/>
              <w:autoSpaceDN/>
              <w:bidi w:val="0"/>
              <w:spacing w:line="260" w:lineRule="atLeast"/>
              <w:ind w:left="0" w:firstLine="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5.1.28 </w:t>
            </w:r>
            <w:r>
              <w:rPr>
                <w:rFonts w:hint="eastAsia" w:ascii="宋体" w:hAnsi="宋体" w:eastAsia="宋体" w:cs="宋体"/>
                <w:color w:val="auto"/>
                <w:sz w:val="21"/>
                <w:szCs w:val="21"/>
                <w:highlight w:val="none"/>
              </w:rPr>
              <w:t>输配管道沿线应设置管道标志。管道标志毁损或标志不清的，应及时修复或更新。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《压力管道规范 公用管道》GB∕T 38942-2020</w:t>
            </w:r>
          </w:p>
        </w:tc>
        <w:tc>
          <w:tcPr>
            <w:tcW w:w="11060" w:type="dxa"/>
            <w:vAlign w:val="center"/>
          </w:tcPr>
          <w:p>
            <w:pPr>
              <w:keepNext w:val="0"/>
              <w:keepLines w:val="0"/>
              <w:pageBreakBefore w:val="0"/>
              <w:widowControl/>
              <w:kinsoku/>
              <w:wordWrap/>
              <w:overflowPunct/>
              <w:topLinePunct w:val="0"/>
              <w:autoSpaceDE/>
              <w:autoSpaceDN/>
              <w:bidi w:val="0"/>
              <w:spacing w:line="260" w:lineRule="atLeast"/>
              <w:ind w:lef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5.1.3.3.17 埋地管道沿线应设置里程桩、转角桩、交叉桩和警示牌等永久性标志，并应符合CJJ/T153的有关规定。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6.4.6.11 埋设燃气管道的沿线应连续敷设警示带（板）。警示带（板）敷设前应将敷设面压实，并平整地敷设在管道的正上方，距管顶的距离宜为300mm～500mm，不得敷设在路基和路面里。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路面标志应设置在燃气管道的正上方，并能正确、明显地指示管道的走向和地下设施。设置位置应为管道转弯处、三通、四通处、管道末端等，直线管段路面标志的设置间隔不宜大于200m。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《聚乙烯燃气管道工程技术标准》CJJ63-2018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设计压力大于0.4MPa的聚乙烯燃气管道上方应设置保护板，保护板上应具有警示标识，设置保护板的聚乙烯燃气管道，可不敷设警示带。</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6.3.4 示踪线、地面标志、警示带、保护板的敷设和设置应符合下列规定：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示踪线应敷设在聚乙烯燃气管道的正上方：并应有良好的导电性和有效的电气连接，示踪线上应设置信号源井。</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rPr>
              <w:t>保护板应有足够的强度，且上面应有明显的警示标识；</w:t>
            </w:r>
            <w:r>
              <w:rPr>
                <w:rFonts w:hint="eastAsia" w:ascii="宋体" w:hAnsi="宋体" w:eastAsia="宋体" w:cs="宋体"/>
                <w:color w:val="auto"/>
                <w:sz w:val="21"/>
                <w:szCs w:val="21"/>
                <w:highlight w:val="none"/>
              </w:rPr>
              <w:t>保护板宜敷设在管道上方距管顶大于200mm、距地面300mm〜500mm处，但不得敷设在路面结构层内。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GB50369-2014</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里程桩、转角桩、标志桩应进行检查验收，表面应光滑平整，无缺棱掉角，尺寸允许偏差应为±10mm，混凝土强度应达到设计要求。油漆涂刷应均匀一致。埋设位置和深度应符合设计要求。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250-2016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7.1.3 跨越工程完成后，应在跨越的起点、终点位置设置标志桩，并应注明跨越管道的名称、规格等。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lang w:val="en-US" w:eastAsia="zh-CN"/>
              </w:rPr>
            </w:pPr>
            <w:r>
              <w:rPr>
                <w:rFonts w:hint="eastAsia" w:ascii="宋体" w:hAnsi="宋体" w:eastAsia="宋体" w:cs="宋体"/>
                <w:b/>
                <w:bCs/>
                <w:color w:val="auto"/>
                <w:spacing w:val="-6"/>
                <w:kern w:val="0"/>
                <w:sz w:val="21"/>
                <w:szCs w:val="21"/>
                <w:highlight w:val="none"/>
                <w:lang w:val="en-US" w:eastAsia="zh-CN"/>
              </w:rPr>
              <w:t>3.2.10</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b/>
                <w:bCs/>
                <w:color w:val="auto"/>
                <w:spacing w:val="-6"/>
                <w:kern w:val="0"/>
                <w:sz w:val="21"/>
                <w:szCs w:val="21"/>
                <w:highlight w:val="none"/>
                <w:lang w:val="en-US" w:eastAsia="zh-CN"/>
              </w:rPr>
              <w:t>调压设施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10.1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调压设施</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调压</w:t>
            </w:r>
            <w:r>
              <w:rPr>
                <w:rFonts w:hint="eastAsia" w:ascii="宋体" w:hAnsi="宋体" w:eastAsia="宋体" w:cs="宋体"/>
                <w:color w:val="auto"/>
                <w:sz w:val="21"/>
                <w:szCs w:val="21"/>
                <w:highlight w:val="none"/>
                <w:lang w:val="en-US" w:eastAsia="zh-CN"/>
              </w:rPr>
              <w:t>设施的设置</w:t>
            </w:r>
            <w:r>
              <w:rPr>
                <w:rFonts w:hint="eastAsia" w:ascii="宋体" w:hAnsi="宋体" w:eastAsia="宋体" w:cs="宋体"/>
                <w:color w:val="auto"/>
                <w:sz w:val="21"/>
                <w:szCs w:val="21"/>
                <w:highlight w:val="none"/>
              </w:rPr>
              <w:t>应符合设计及相关标准的要求。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《城镇燃气设计规范》GB50028-2006（2020版）</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6.6.4 地上调压箱和调压柜的设置应符合下列要求：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调压箱（或柜）的安装位置应能满足调压器安全装置的安装要求。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 调压箱（或柜）的安装位置应使调压箱（或柜）不被碰撞，在开箱（或柜）作业时不影响交通。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《燃气工程项目规范》GB55009-2021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5.2.1 不同压力级别的输配管道之间应通过调压装置连接。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5.2.3 进口压力为次高压及以上的区域调压装置应设置在室外独立的区域、单独的建筑物或箱体内。</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5.2.7 调压设施周围应设置防侵入的围护结构。调压设施范围内未经许可的人员不得进入。在易于出现较高侵入危险的区域，应对站点增加安全巡检次数或设置侵入探测设备。</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5.2.8 调压设施周围的围护结构上应设置禁止吸烟和严禁动用明火的明显标志。无人值守的调压设施应清晰地标出方便公众联系的方式。</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5.2.10 露天设置的调压装置应采取防止外部侵入的措施，并应与边界围护结构保持可防止外部侵入的距离。</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5.2.11 设置调压装置的建筑物和容积大于1.5m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的调压箱应具有泄压措施。</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5.2.12 调压站、调压箱、专用调压装置的室外或箱体外进口管道上应设置切断阀门。高压及高压以上的调压站、调压箱、专用调压装置的室外或箱体外出口管道上应设置切断阀门。阀门至调压站、调压箱、专用调压装置的室外或箱体外的距离应满足应急操作的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5.2.17 燃气调压站的电气、仪表设备应根据爆炸危险区域进行选型和安装，并应设置过电压保护和雷击保护装置。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3.2.1</w:t>
            </w:r>
            <w:r>
              <w:rPr>
                <w:rFonts w:hint="eastAsia" w:ascii="宋体" w:hAnsi="宋体" w:eastAsia="宋体" w:cs="宋体"/>
                <w:b/>
                <w:bCs/>
                <w:color w:val="auto"/>
                <w:sz w:val="21"/>
                <w:szCs w:val="21"/>
                <w:highlight w:val="none"/>
                <w:lang w:val="en-US" w:eastAsia="zh-CN"/>
              </w:rPr>
              <w:t>1</w:t>
            </w:r>
          </w:p>
        </w:tc>
        <w:tc>
          <w:tcPr>
            <w:tcW w:w="20347" w:type="dxa"/>
            <w:gridSpan w:val="5"/>
            <w:vAlign w:val="center"/>
          </w:tcPr>
          <w:p>
            <w:pPr>
              <w:keepNext w:val="0"/>
              <w:keepLines w:val="0"/>
              <w:pageBreakBefore w:val="0"/>
              <w:widowControl/>
              <w:kinsoku/>
              <w:wordWrap/>
              <w:overflowPunct/>
              <w:topLinePunct w:val="0"/>
              <w:autoSpaceDE/>
              <w:autoSpaceDN/>
              <w:bidi w:val="0"/>
              <w:spacing w:line="260" w:lineRule="atLeast"/>
              <w:ind w:left="0"/>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rPr>
              <w:t>用户管道（用户燃气计量表前）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用户管道（用户燃气计量表前）</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《城镇燃气室内工程施工与质量验收规范》CJJ94-2009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4.1.3 在燃气管道安装过程中，未经原建筑设计单位的书面同意，不得在承重的梁、柱和结构缝上开孔，不得损坏建筑物的结构和防火性能。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用户管道（用户燃气计量表前）</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当用户管道（用户燃气计量表前）穿越管沟、建筑物基础、墙和楼板时应符合设计及相关标准的要求。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《城镇燃气室内工程施工与质量验收规范》CJJ94-2009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当燃气管道穿越管沟、建筑物基础、墙和楼板时应符合下列要求：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燃气管道必须敷设于套管中，且宜与套管同轴；</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套管内的燃气管道不得设有任何形式的连接接头（不含纵向或螺旋焊缝及经无损检测合格的焊接接头）；</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套管与燃气管道之间的间隙应采用密封性能良好的柔性防腐、防水材料填实，套管与建筑物之间的间隙应用防水材料填实。</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4.1.6 燃气管道穿墙套管的两端应与墙面齐平；穿楼板套管的上端宜高于最终形成的地面5cm，下端应与楼板底齐平。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用户管道（用户燃气计量表前）</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表前阀的</w:t>
            </w:r>
            <w:r>
              <w:rPr>
                <w:rFonts w:hint="eastAsia" w:ascii="宋体" w:hAnsi="宋体" w:eastAsia="宋体" w:cs="宋体"/>
                <w:color w:val="auto"/>
                <w:sz w:val="21"/>
                <w:szCs w:val="21"/>
                <w:highlight w:val="none"/>
              </w:rPr>
              <w:t>安装应符合设计及相关标准的要求。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《城镇燃气室内工程施工与质量验收规范》CJJ94-2009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 阀门的安装应符合下列要求：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阀门宜有开关指示标识，对有方向性要求的阀门，必须按规定方向安装；</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阀门应在关闭状态下安装。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用户管道（用户燃气计量表前）</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当用户管道（用户燃气计量表前）采用地下引入时，其安装应符合设计及相关标准的要求。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《城镇燃气室内工程施工与质量验收规范》CJJ94-2009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当引入管埋地部分与室外埋地PE管相连时，其连接位置距建筑物基础不宜小</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rPr>
              <w:t>0.5m，且应采用钢塑焊接转换接头。当采用法兰转换接头时，应对法兰及其紧固件的周围死角和空隙部分采用防腐胶泥填充进行过渡，进行防腐层施工前胶泥应干实。防腐层的种类和防腐等级应符合设计文件要求，接头钢质部分的防腐等级不应低于管道的防腐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用户管道（用户燃气计量表前）</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当用户管道（用户燃气计量表前）采用地上引入时，其安装应符合设计及相关标准的要求。</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《城镇燃气室内工程施工与质量验收规范》CJJ94-2009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 当引入管采用地上引入时，应符合下列规定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引入管与建筑物外墙之间的净距应便于安装和维修，宜为0.10～0.15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质量管理资料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建筑材料进场检验资料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建筑材料进场检验资料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进场材料：检查产品合格证、出厂检验报告和进场复验报告。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燃气设施所使用的材料和设备应满足节能环保及系统介质特性、功能需求、外部环境、设计条件的要求。设备、管道及附件的压力等级不应小于系统设计压力。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 工程施工所用设备、管道组成件等，应符合国家现行有关产品标准的规定，且必须具有生产厂质量检验部门的产品合格文件。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建筑材料进场检验资料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防腐原材料：检查质量证明文件、说明书，抽样检验报告（必要时）。</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 防腐前应对防腐原材料进行检查，有下列情况之一者，不得使用：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无出厂质量证明文件或检验证明；</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出厂质量证明书的数据不全或对数据有怀疑，且未经复验或复验后不合格；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无说明书、生产日期和储存有效期。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建筑材料进场检验资料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埋地钢管：检查质量证明文件、低温冲击韧性试验报告（设计有要求时）。</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 设计文件要求进行低温冲击韧性试验的材料，供货方应提供低温冲击韧性试验结果的文件，否则应按现行国家标准《金属低温冲击试验法》</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229的要求进行试验，其指标不得低于规定值的下限。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建筑材料进场检验资料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高强度螺栓、螺母：检查质量证明文件和抽样检验报告。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 设计压力大于或等于1.6MPa的管道使用的高强度螺栓、螺母应按以下规定进行检查：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螺栓、螺母应每批各取2个进行硬度检查，若有不合格，需加倍检查，如仍有不合格则应逐个检查，不合格者不得使用。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硬度不合格的螺栓应取该批中硬度值最高、最低的螺栓各1只，校验其机械性能，若不合格，再取其硬度最接近的螺栓加倍校验，如仍不合格，则该批螺栓不得使用。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建筑材料进场检验资料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Merge w:val="restart"/>
            <w:vAlign w:val="center"/>
          </w:tcPr>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聚乙烯和钢骨架聚乙烯复合管：检查质量证明文件及抽样检验报告。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7.1.12 管材、管件从生产到使用之间的存放时间，黄色管道不宜超过1年，黑色管道不宜超过2年。超过上述期限时必须重新抽样检验，合格后方可使用。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 聚乙烯管材、管件和阀门不应长期户外存放。当从生产到使用期间，累计受到太阳能辐射量超过3.5GJ/m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时，或按本标准3.2.2条规定存放，管材存放时间超过4年、密封包装的管件存放时间超过6年，应对其抽样检验，性能符合相关要求。方可使用。</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材抽检项目应包括静液压强度（165h/80℃）、电熔接头的剥离强度和断裂伸长率。管件抽检项目包括静液压强度（165h/80℃）、热熔对接连接的拉伸强度或电熔管件的熔接强度。阀门抽检项目包括静液压强度（165h/80℃）、电熔接头的剥离强度、操作扭矩和密封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建筑材料进场检验资料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检定机构</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厂站压力容器：检查产品合格证书、产品监督员检验（或安全性能检验证书）、检定证书。</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 燃气场站使用的压力容器必须符合国家有关规定，产品应有齐全的质量证明文件和产品监督检验证书（或安全性能检验证书）方可进行安装。</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压力容器的安装应符合国家有关规定。安全阀、检测仪表应按有关规定单独进行检定。阀门等设备、附件压力级别应符合设计要求。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 储配站各种设备及仪器仪表，应经单独检验合格后再安装。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建筑材料进场检验资料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检定机构</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燃气计量表：检查出厂合格证、质量保证书、检定合格证。</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燃气计量表在安装前应按本规范第3.2.1、3.2.2条的规定进行检验，并应符合下列规定：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燃气计量表应有出厂合格证、质量保证书；标牌上应有CMC标志、最大流量、生产日期、编号和制造单位；</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燃气计量表应有法定计量检定机构出具的检定合格证书，并应在有效期内；</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超过检定有效期及倒放、侧放的燃气计量表应全部进行复检；</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燃气计量表的性能、规格、适用压力应符合设计文件的要求。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施工试验检测资料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回填土压实度检测报告。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2.4.6 回填土压实后，应分层检查密实度，并做好回填记录。沟槽各部位的密实度应符合下列要求（图2.4.6）：</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区部位，密实度不应小于90%；</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区部位，密实度应符合相应地面对密实度的要求。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anchor distT="0" distB="0" distL="114300" distR="114300" simplePos="0" relativeHeight="251659264" behindDoc="0" locked="0" layoutInCell="1" allowOverlap="1">
                  <wp:simplePos x="0" y="0"/>
                  <wp:positionH relativeFrom="column">
                    <wp:posOffset>1286510</wp:posOffset>
                  </wp:positionH>
                  <wp:positionV relativeFrom="paragraph">
                    <wp:posOffset>5715</wp:posOffset>
                  </wp:positionV>
                  <wp:extent cx="2034540" cy="1082040"/>
                  <wp:effectExtent l="0" t="0" r="3810" b="3810"/>
                  <wp:wrapNone/>
                  <wp:docPr id="4" name="图片 7" descr="1651733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1651733803(1)"/>
                          <pic:cNvPicPr>
                            <a:picLocks noChangeAspect="1"/>
                          </pic:cNvPicPr>
                        </pic:nvPicPr>
                        <pic:blipFill>
                          <a:blip r:embed="rId16"/>
                          <a:srcRect l="5102" r="8003"/>
                          <a:stretch>
                            <a:fillRect/>
                          </a:stretch>
                        </pic:blipFill>
                        <pic:spPr>
                          <a:xfrm>
                            <a:off x="0" y="0"/>
                            <a:ext cx="2034540" cy="1082040"/>
                          </a:xfrm>
                          <a:prstGeom prst="rect">
                            <a:avLst/>
                          </a:prstGeom>
                        </pic:spPr>
                      </pic:pic>
                    </a:graphicData>
                  </a:graphic>
                </wp:anchor>
              </w:drawing>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autoSpaceDE/>
              <w:autoSpaceDN/>
              <w:bidi w:val="0"/>
              <w:spacing w:line="260" w:lineRule="atLeast"/>
              <w:ind w:left="0" w:leftChars="0"/>
              <w:jc w:val="left"/>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autoSpaceDE/>
              <w:autoSpaceDN/>
              <w:bidi w:val="0"/>
              <w:spacing w:line="260" w:lineRule="atLeast"/>
              <w:ind w:left="0" w:leftChars="0"/>
              <w:jc w:val="left"/>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钢管、管道与设备等焊缝内部质量检测报告。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5.2.6 管道焊接完成后，强度试验及严密性试验之前，必须对所有焊缝进行外观检查和对焊缝内部质量进行检验，外观检查应在内部质量检验前进行。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燃气管道的安装应符合下列要求：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采用钢管时，燃气钢管的焊缝应进行100%的射线照相检验。</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 组装后的管段应采用下水滑道牵引下水，置于浮箱平台，并调整至管道设计轴线水面上，将管段组装成整管。焊口应进行射线照相探伤和防腐补口，并应在管道下沟前对整条管道的防腐层做电火花绝缘检查。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 燃气管道安装应符合下列要求：</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燃气钢管的焊缝应进行100%的射线照相检查；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11.4.1 设备及管道安装应符合下列要求：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管道及设备的焊接质量应符合下列要求：</w:t>
            </w:r>
          </w:p>
          <w:p>
            <w:pPr>
              <w:keepNext w:val="0"/>
              <w:keepLines w:val="0"/>
              <w:pageBreakBefore w:val="0"/>
              <w:widowControl w:val="0"/>
              <w:numPr>
                <w:numId w:val="0"/>
              </w:numPr>
              <w:kinsoku/>
              <w:wordWrap/>
              <w:overflowPunct/>
              <w:topLinePunct w:val="0"/>
              <w:autoSpaceDE/>
              <w:autoSpaceDN/>
              <w:bidi w:val="0"/>
              <w:adjustRightInd/>
              <w:snapToGrid/>
              <w:spacing w:line="260" w:lineRule="atLeast"/>
              <w:ind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所有焊缝应进行外观检查；管道对接焊缝内部质量应采用射线照相探伤，抽检个数为对接焊缝总数的25%，并应符合国家现行标准《压力容器无损检测》JB</w:t>
            </w:r>
            <w:r>
              <w:rPr>
                <w:rFonts w:hint="eastAsia" w:ascii="宋体" w:hAnsi="宋体" w:eastAsia="宋体" w:cs="宋体"/>
                <w:color w:val="auto"/>
                <w:sz w:val="21"/>
                <w:szCs w:val="21"/>
                <w:highlight w:val="none"/>
                <w:lang w:val="en-US" w:eastAsia="zh-CN"/>
              </w:rPr>
              <w:t>/T</w:t>
            </w:r>
            <w:r>
              <w:rPr>
                <w:rFonts w:hint="eastAsia" w:ascii="宋体" w:hAnsi="宋体" w:eastAsia="宋体" w:cs="宋体"/>
                <w:color w:val="auto"/>
                <w:sz w:val="21"/>
                <w:szCs w:val="21"/>
                <w:highlight w:val="none"/>
              </w:rPr>
              <w:t>4730中的Ⅱ级质量要求；</w:t>
            </w:r>
          </w:p>
          <w:p>
            <w:pPr>
              <w:keepNext w:val="0"/>
              <w:keepLines w:val="0"/>
              <w:pageBreakBefore w:val="0"/>
              <w:widowControl w:val="0"/>
              <w:numPr>
                <w:numId w:val="0"/>
              </w:numPr>
              <w:kinsoku/>
              <w:wordWrap/>
              <w:overflowPunct/>
              <w:topLinePunct w:val="0"/>
              <w:autoSpaceDE/>
              <w:autoSpaceDN/>
              <w:bidi w:val="0"/>
              <w:adjustRightInd/>
              <w:snapToGrid/>
              <w:spacing w:line="260" w:lineRule="atLeast"/>
              <w:ind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管道与设备、阀门、仪表等连接的角焊缝应进行磁粉或液体渗透检验，抽检个数应为角焊缝总数的50%，并应符合现行国家标准《压力容器无损检测》JB</w:t>
            </w:r>
            <w:r>
              <w:rPr>
                <w:rFonts w:hint="eastAsia" w:ascii="宋体" w:hAnsi="宋体" w:eastAsia="宋体" w:cs="宋体"/>
                <w:color w:val="auto"/>
                <w:sz w:val="21"/>
                <w:szCs w:val="21"/>
                <w:highlight w:val="none"/>
                <w:lang w:val="en-US" w:eastAsia="zh-CN"/>
              </w:rPr>
              <w:t>/T</w:t>
            </w:r>
            <w:r>
              <w:rPr>
                <w:rFonts w:hint="eastAsia" w:ascii="宋体" w:hAnsi="宋体" w:eastAsia="宋体" w:cs="宋体"/>
                <w:color w:val="auto"/>
                <w:sz w:val="21"/>
                <w:szCs w:val="21"/>
                <w:highlight w:val="none"/>
              </w:rPr>
              <w:t>4730中的Ⅱ级质量要求。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4.3.7 钢制管道的焊接应符合下列规定：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管道对接焊缝质量应符合设计文件的要求，当设计文件无明确要求时应符合下列要求：</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3）对接焊缝内部质量采用射线探伤检测时，其质量不应低于现行国家标准《无损检测 金属管道熔化焊环向对接接头射线照相检测方法》</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12605中的Ⅲ级焊缝质量标准。</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检查数量：当管道明设或暗封敷设时，焊缝外观质量应100%检查，焊缝内部质量的检查比例不少于5%且不少于1个连接部位。当管道暗埋敷设时，焊缝外观和焊缝内部质量应100%检查。</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检查方法：焊缝外观检查采用目视检查或焊缝检查尺检查；焊缝内部质量检查查看无损检测报告。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球形储罐焊缝射线和超声检测报告。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50094-2010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7.2.2 符合下列条件之一的球形储罐球壳的对接焊缝或所规定的焊缝，必须按设计图样规定的检测方法进行100%的射线或超声检测</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设计压力大于或等于1.6MPa、且划分为第Ⅲ类压力容器的球形储罐；</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按分析设计标准设计的球形储罐；</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采用气压或气液组合耐压试验的球型储罐；</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钢材标准抗拉强度下限值大于或等于540N/mm2的球形储罐；</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 设计图样规定应进行全部射线或者超声检测的球形储罐</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嵌入式接管与球壳连接的对接焊缝；</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以开孔为中心为圆心、开孔直径的1.5倍为半径的圆内包容的焊缝，以及公称直径大于250mm的接管与长颈对接法兰、接管与接管连接的焊缝；</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被补强圈和垫板所覆盖的焊缝。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球形储罐焊缝表面无损检测报告。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50094-2010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球形储罐的下列部位应在耐压试验前进行磁粉检测或渗透检测，球形储罐需焊后整体热处理时，应在热处理前进行磁粉检测或渗透检测，宜优先采用磁粉检测：</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球壳对接焊缝内、外表面，人孔、接管的凸缘与球壳板对接焊缝内、外表面；</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人孔及公称直径大于或等于250mm接管的对接焊缝的内、外表面；公称直径小于250mm接管的对接焊缝的外表面；</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人孔、接管与球壳板连接的角焊缝内、外表面；</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补强圈、垫板、支柱及其他角焊缝的外表面；</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工卡具焊迹打磨后及球壳缺陷焊接修补和打磨后的部位。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11.4.1 设备及管道安装应符合下列要求：</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管道及设备的焊接质量应符合下列要求：</w:t>
            </w:r>
          </w:p>
          <w:p>
            <w:pPr>
              <w:keepNext w:val="0"/>
              <w:keepLines w:val="0"/>
              <w:pageBreakBefore w:val="0"/>
              <w:widowControl w:val="0"/>
              <w:numPr>
                <w:numId w:val="0"/>
              </w:numPr>
              <w:kinsoku/>
              <w:wordWrap/>
              <w:overflowPunct/>
              <w:topLinePunct w:val="0"/>
              <w:autoSpaceDE/>
              <w:autoSpaceDN/>
              <w:bidi w:val="0"/>
              <w:adjustRightInd/>
              <w:snapToGrid/>
              <w:spacing w:line="260" w:lineRule="atLeast"/>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管道与设备、阀门、仪表等连接的角焊缝应进行磁粉或液体渗透检验，抽检个数应为角焊缝总数的50%，并应符合国家现行标准《压力容器无损检测》JB</w:t>
            </w:r>
            <w:r>
              <w:rPr>
                <w:rFonts w:hint="eastAsia" w:ascii="宋体" w:hAnsi="宋体" w:eastAsia="宋体" w:cs="宋体"/>
                <w:color w:val="auto"/>
                <w:sz w:val="21"/>
                <w:szCs w:val="21"/>
                <w:highlight w:val="none"/>
                <w:lang w:val="en-US" w:eastAsia="zh-CN"/>
              </w:rPr>
              <w:t xml:space="preserve">/T </w:t>
            </w:r>
            <w:r>
              <w:rPr>
                <w:rFonts w:hint="eastAsia" w:ascii="宋体" w:hAnsi="宋体" w:eastAsia="宋体" w:cs="宋体"/>
                <w:color w:val="auto"/>
                <w:sz w:val="21"/>
                <w:szCs w:val="21"/>
                <w:highlight w:val="none"/>
              </w:rPr>
              <w:t>4730中的Ⅱ级质量要求。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球形储罐产品焊接试件试验报告。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50094-2010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产品焊接试件应由施焊球形储罐的焊工，并应在与球形储罐焊接相同的条件和相同的焊接工艺情况下焊接。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 试样的尺寸、截取、试验方法及合格指标，应符合现行行业标准《钢制压力容器产品焊接试板的力学性能检验》JB</w:t>
            </w:r>
            <w:r>
              <w:rPr>
                <w:rFonts w:hint="eastAsia" w:ascii="宋体" w:hAnsi="宋体" w:eastAsia="宋体" w:cs="宋体"/>
                <w:color w:val="auto"/>
                <w:sz w:val="21"/>
                <w:szCs w:val="21"/>
                <w:highlight w:val="none"/>
                <w:lang w:val="en-US" w:eastAsia="zh-CN"/>
              </w:rPr>
              <w:t>/T</w:t>
            </w:r>
            <w:r>
              <w:rPr>
                <w:rFonts w:hint="eastAsia" w:ascii="宋体" w:hAnsi="宋体" w:eastAsia="宋体" w:cs="宋体"/>
                <w:color w:val="auto"/>
                <w:sz w:val="21"/>
                <w:szCs w:val="21"/>
                <w:highlight w:val="none"/>
              </w:rPr>
              <w:t>4744的有关规定。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4.2.6</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聚乙烯管道电熔焊接检测报告。</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对不同级别、不同熔体流动速率的聚乙烯原料制造的管材或管件，不同标准尺寸比（SDR值）的聚乙烯燃气管道连接时，必须采用电熔连接。施工前应进行试验，判定试验连接质量合格后，方可进行电熔连接。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《聚乙烯燃气管道工程技术标准》</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63-2018</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5.1.7 聚乙烯燃气管的连接完成后，应按本标准第5.2节和第5.3节的有关规定进行接头质量检查。不合格应返工，返工后应重新进行接头质量检查。对焊接质量有争议时，应按表5.1.7~1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表5.1.7-3的规定进行检验。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钢骨架聚乙烯复合管道电熔焊接检测报告</w:t>
            </w:r>
            <w:r>
              <w:rPr>
                <w:rFonts w:hint="eastAsia" w:ascii="宋体" w:hAnsi="宋体" w:eastAsia="宋体" w:cs="宋体"/>
                <w:color w:val="auto"/>
                <w:sz w:val="21"/>
                <w:szCs w:val="21"/>
                <w:highlight w:val="none"/>
                <w:lang w:eastAsia="zh-CN"/>
              </w:rPr>
              <w:t>。</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《城镇燃气输配工程施工及验收规范》</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CJJ33-2005</w:t>
            </w:r>
          </w:p>
        </w:tc>
        <w:tc>
          <w:tcPr>
            <w:tcW w:w="11060" w:type="dxa"/>
            <w:vAlign w:val="center"/>
          </w:tcPr>
          <w:p>
            <w:pPr>
              <w:keepNext w:val="0"/>
              <w:keepLines w:val="0"/>
              <w:widowControl/>
              <w:suppressLineNumbers w:val="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000000"/>
                <w:kern w:val="0"/>
                <w:sz w:val="20"/>
                <w:szCs w:val="20"/>
                <w:highlight w:val="none"/>
                <w:lang w:val="en-US" w:eastAsia="zh-CN" w:bidi="ar"/>
              </w:rPr>
              <w:t xml:space="preserve">7.3.5 </w:t>
            </w:r>
            <w:r>
              <w:rPr>
                <w:rFonts w:hint="eastAsia" w:ascii="宋体" w:hAnsi="宋体" w:eastAsia="宋体" w:cs="宋体"/>
                <w:color w:val="000000"/>
                <w:kern w:val="0"/>
                <w:sz w:val="20"/>
                <w:szCs w:val="20"/>
                <w:highlight w:val="none"/>
                <w:lang w:val="en-US" w:eastAsia="zh-CN" w:bidi="ar"/>
              </w:rPr>
              <w:t>电熔连接</w:t>
            </w:r>
            <w:r>
              <w:rPr>
                <w:rFonts w:hint="eastAsia" w:ascii="宋体" w:hAnsi="宋体" w:eastAsia="宋体" w:cs="宋体"/>
                <w:color w:val="000000"/>
                <w:kern w:val="0"/>
                <w:sz w:val="20"/>
                <w:szCs w:val="20"/>
                <w:highlight w:val="none"/>
                <w:lang w:val="en-US" w:eastAsia="zh-CN" w:bidi="ar"/>
              </w:rPr>
              <w:t>内部质量应符合国家现行标准《燃气用钢骨架聚乙烯塑料复合管件》</w:t>
            </w:r>
            <w:r>
              <w:rPr>
                <w:rFonts w:hint="default" w:ascii="Times New Roman" w:hAnsi="Times New Roman" w:eastAsia="宋体" w:cs="Times New Roman"/>
                <w:color w:val="000000"/>
                <w:kern w:val="0"/>
                <w:sz w:val="20"/>
                <w:szCs w:val="20"/>
                <w:highlight w:val="none"/>
                <w:lang w:val="en-US" w:eastAsia="zh-CN" w:bidi="ar"/>
              </w:rPr>
              <w:t>CJ/T126</w:t>
            </w:r>
            <w:r>
              <w:rPr>
                <w:rFonts w:hint="eastAsia" w:ascii="宋体" w:hAnsi="宋体" w:eastAsia="宋体" w:cs="宋体"/>
                <w:color w:val="000000"/>
                <w:kern w:val="0"/>
                <w:sz w:val="20"/>
                <w:szCs w:val="20"/>
                <w:highlight w:val="none"/>
                <w:lang w:val="en-US" w:eastAsia="zh-CN" w:bidi="ar"/>
              </w:rPr>
              <w:t>的规定，可采用在现场抽检试验件的方式检查。试验件的接头应采用与实际施工相同的条件焊接制备。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4.2.8</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绝缘电阻、接地电阻检测。</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8.5.1 安装前，应对绝缘法兰进行绝缘试验检查，其绝缘电阻不应小于1MΩ；当相对湿度大于60%时，其绝缘电阻不应小于500KΩ。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4.3.14 沿</w:t>
            </w:r>
            <w:r>
              <w:rPr>
                <w:rFonts w:hint="eastAsia" w:ascii="宋体" w:hAnsi="宋体" w:eastAsia="宋体" w:cs="宋体"/>
                <w:color w:val="auto"/>
                <w:sz w:val="21"/>
                <w:szCs w:val="21"/>
                <w:highlight w:val="none"/>
              </w:rPr>
              <w:t>屋面或外墙明敷的室内燃气管道，不得布置在屋面上的檐角、屋檐、屋脊等易受雷击部位。当安装在建筑物的避雷保护范围内时，应每隔25m至少于与避雷网采用直径不小于8mm的镀锌圆钢进行连接，焊接部位应采取防腐措施，管道任何部位的接地电阻值不得大于10Ω；当安装在建筑物的避雷保护范围外时，应符合设计文件的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检查比例：100%检查。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检查方法：目视检查和接地摇表测试。</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4.3.30 室内、外燃气管道的防雷、防静电措施应按设计文件要求施工。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检查数量：100%检查。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检查方法：目视检查、按设计文件要求检测。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《城镇燃气埋地钢质管道腐蚀控制技术规程》</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95-2013</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 阴极保护系统竣工后，应进行下列参数的测试：</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强制电流阴极保护系统测试应包括下列参数：</w:t>
            </w:r>
          </w:p>
          <w:p>
            <w:pPr>
              <w:keepNext w:val="0"/>
              <w:keepLines w:val="0"/>
              <w:pageBreakBefore w:val="0"/>
              <w:numPr>
                <w:ilvl w:val="0"/>
                <w:numId w:val="11"/>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管道沿线土壤电阻率；</w:t>
            </w:r>
          </w:p>
          <w:p>
            <w:pPr>
              <w:keepNext w:val="0"/>
              <w:keepLines w:val="0"/>
              <w:pageBreakBefore w:val="0"/>
              <w:numPr>
                <w:ilvl w:val="0"/>
                <w:numId w:val="11"/>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管道自腐蚀电位；</w:t>
            </w:r>
          </w:p>
          <w:p>
            <w:pPr>
              <w:keepNext w:val="0"/>
              <w:keepLines w:val="0"/>
              <w:pageBreakBefore w:val="0"/>
              <w:numPr>
                <w:ilvl w:val="0"/>
                <w:numId w:val="11"/>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辅助阳极接地电阻；</w:t>
            </w:r>
          </w:p>
          <w:p>
            <w:pPr>
              <w:keepNext w:val="0"/>
              <w:keepLines w:val="0"/>
              <w:pageBreakBefore w:val="0"/>
              <w:numPr>
                <w:ilvl w:val="0"/>
                <w:numId w:val="11"/>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辅助阳极埋设点的土壤电阻率；</w:t>
            </w:r>
          </w:p>
          <w:p>
            <w:pPr>
              <w:keepNext w:val="0"/>
              <w:keepLines w:val="0"/>
              <w:pageBreakBefore w:val="0"/>
              <w:numPr>
                <w:ilvl w:val="0"/>
                <w:numId w:val="11"/>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绝缘装置的绝缘性能；</w:t>
            </w:r>
          </w:p>
          <w:p>
            <w:pPr>
              <w:keepNext w:val="0"/>
              <w:keepLines w:val="0"/>
              <w:pageBreakBefore w:val="0"/>
              <w:numPr>
                <w:ilvl w:val="0"/>
                <w:numId w:val="11"/>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管道极化电位；</w:t>
            </w:r>
          </w:p>
          <w:p>
            <w:pPr>
              <w:keepNext w:val="0"/>
              <w:keepLines w:val="0"/>
              <w:pageBreakBefore w:val="0"/>
              <w:numPr>
                <w:ilvl w:val="0"/>
                <w:numId w:val="11"/>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管道保护电流；</w:t>
            </w:r>
          </w:p>
          <w:p>
            <w:pPr>
              <w:keepNext w:val="0"/>
              <w:keepLines w:val="0"/>
              <w:pageBreakBefore w:val="0"/>
              <w:numPr>
                <w:ilvl w:val="0"/>
                <w:numId w:val="11"/>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电源输出电流、电压。</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牺牲阳极阴极保护系统测试应包括下列参数：</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阳极开路电位；</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阳极闭路电位；</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管道自腐蚀电位；</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管道极化电位；</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单支阳极输出电流；</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组合阳极联合输出电流；</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单支阳极接地电阻；</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组合阳极接地电阻；</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阳极埋设点的土壤电阻率；</w:t>
            </w:r>
          </w:p>
          <w:p>
            <w:pPr>
              <w:keepNext w:val="0"/>
              <w:keepLines w:val="0"/>
              <w:pageBreakBefore w:val="0"/>
              <w:numPr>
                <w:ilvl w:val="0"/>
                <w:numId w:val="12"/>
              </w:numPr>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绝缘装置的绝缘性能。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4.2.9</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防腐层电火花检漏试验。</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5.1.21 埋地钢质输配管道埋设前，应对防腐层进行100%的外观检查，防腐层表面不得出现气泡、破损、裂纹、剥离等缺陷。不符合质量要求时，应返工处理直至合格。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7.2.7 法兰或钢塑过渡连接完成后，其金属部分应按设计要求的防腐等级进行防腐，并检验合格。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 组装后的管段应采用下水滑道牵引下水，置于浮箱平台，并调整至管道设计轴线水面上，将管段组装成整管。焊口应进行射线照相探伤和防腐补口，并应在管道下沟前对整条管道的防腐层做电火花绝缘检查。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当引入管埋地部分与室外埋地PE管相连时，其连接位置距建筑物基础不宜小于0.5m，且应采用钢塑焊接转换接头。当采用法兰转换接头时，应对法兰及其紧固件的周围死角和空隙部分采用防腐胶泥填充进行过渡，进行防腐层施工前胶泥应干实。防腐层的种类和防腐等级应符合设计文件要求，接头钢质部分的防腐等级不应低于管道的防腐等级。</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检查数量：100%检查。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检查方法：目视检查、针孔检漏仪检测。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《埋地钢质管道聚乙烯防腐层》</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23257-2017</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补口质量检验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补口质量应检验外观、漏点及剥离强度等三项内容，检验宜在补口安装24h后进行：</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每一个补口均应用电火花检漏仪进行漏点检查。检漏电压为15kV。若有漏点，应重新补口并检漏，直至合格。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9.5.6 补伤质量应检验外观、漏点及剥离强度等三项内容：</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每一个补伤处均应用电火花检漏仪进行漏点检查，检漏电压为15kV。若不合格，应重新修补并检漏，直至合格。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4.2.10</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防腐层剥离强度试验。</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《埋地钢质管道聚乙烯防腐层》</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23257-2017</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补口质量检验</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补口质量应检验外观、漏点及剥离强度等三项内容，检验宜在补口安装24h后进行：</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补口后热收缩带（套）的剥离强度按附录K规定的方法进行检测。检验时的管体温度宜为15℃~25℃，对钢管和聚乙烯防腐层的剥离强度应不小于50N/cm并80%表面呈内聚破坏，当剥离强度超过100N/cm时，可以呈界面破坏，剥离面的底漆应完整附着在钢管表面。每100个补口至少抽测1个口，如不合格，应加倍抽测。加倍抽测仍有不合格时，则对应的100个补口应全部返修。</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9.5.6 补伤质量应检验外观、漏点及剥离强度等三项内容：</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c）采用补伤片补伤的剥离强度按附录K规定的方法进行检验，管体温度为15℃~25℃时的剥离强度应不低于50N/cm。</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9.5.8 现场施工过程的补伤，每20个补伤抽查一处剥离强度，不合格时，应加倍抽查。加倍抽查仍出现不合格时，则对应的20个补伤应全部返修。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管道强度试验和严密性试验。</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5.1.24 输配管道安装结束后，必须进行管道清扫、强度试验和严密性试验，并应合格。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11.1.11 场站内的燃气管道安装完毕后必须进行吹扫和压力试验，并应符合下列规定：</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场站内管道的吹扫和强度试验应符合本规范第12章的规定；</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埋地管道的严密性试验应符合本规范第12章的规定；</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地上管道进行严密性试验时，试验压力应为设计压力，且不得小于0.3MPa；试验时压力应缓慢上升到规定值，采用发泡剂进行检查，无渗漏为合格。其他要求应符合本规范第12.4节的规定。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所有未参加严密性试验的设备、仪表、管件，应在严密性试验合格后进行复位，然后按设计压力对系统升压，应采用发泡剂检查设备、仪表、管件及其与管道的连接处，不漏为合格。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 室内燃气管道的试验应符合下列要求：</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自引入管阀门起至燃具之间的管道的试验应符合本规范的要求；</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自引入管阀门起至室外配气支管之间管线的试验应符合国家现行标准《城镇燃气输配工程施工及验收规范》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33的有关规定。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室内燃气管道强度试验的范围应符合下列规定：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明管敷设时，居民用户应为引入管阀门至燃气计量装置前阀门之间的管道系统；暗埋或暗封敷设时，居民用户应为引入管阀门至燃具接入管阀门（含阀门）之间的管道；</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商业用户及工业企业用户应为引入管阀门至燃具接入管阀门（含阀门）之间的管道（含暗埋或暗封的燃气管道）。</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 严密性试验范围应为引入管阀门至燃具前阀门之间的管道。通气前还应对燃具前阀门至燃具之间的管道进行检查。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管道附件强度、严密性试验。</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阀门、凝水缸及补偿器等在正式安装前，应按其产品标准要求单独进行强度和严密性试验，经试验合格的设备、附件应做好标记，并应填写试验记录。</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8.1.9 管道附件、设备安装完成后，应与管线一起进行严密性试验。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 阀门的安装应符合下列要求：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在安装前应对阀门逐个进行外观检查，并宜对引入管阀门进行严密性试验。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储罐压力试验。</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11.4.2 试验及验收应符合下列要求：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储罐的水压试验压力应为设计压力的1.25倍，安全阀、液位计不应参与试验。试验时压力缓慢上升，达到规定压力后保持半小时，无泄漏、无可见变形、无异常声响为合格。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储罐水压试验合格后，装上安全阀、液位计进行严密性试验。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50094-2010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 球形储罐必须按设计图样规定的试验方法进行耐压试验。耐压试验应包括液压试验、气压试验和气液组合试验。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施工试验检测资料</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调压装置的厂界环境噪声。</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5.2.16 调压装置的厂界环境噪声应控制在国家现行环境标准允许的范围内。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设计单位</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工程交桩记录。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土方施工前，建设单位应组织有关单位向施工单位进行现场交桩。临时水准点、管道轴线控制桩、高程桩，应经过复核后方可使用，并应定期校核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沟槽回填检查记录。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2.4.6 回填土压实后，应分层检查密实度，并做好回填记录。沟槽各部位的密实度应符合下列要求（图2.4.6）：</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区部位，密实度不应小于90%；</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区部位，密实度应符合相应地面对密实度的要求。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anchor distT="0" distB="0" distL="114300" distR="114300" simplePos="0" relativeHeight="251660288" behindDoc="0" locked="0" layoutInCell="1" allowOverlap="1">
                  <wp:simplePos x="0" y="0"/>
                  <wp:positionH relativeFrom="column">
                    <wp:posOffset>951865</wp:posOffset>
                  </wp:positionH>
                  <wp:positionV relativeFrom="paragraph">
                    <wp:posOffset>95885</wp:posOffset>
                  </wp:positionV>
                  <wp:extent cx="2034540" cy="1082040"/>
                  <wp:effectExtent l="0" t="0" r="3810" b="3810"/>
                  <wp:wrapNone/>
                  <wp:docPr id="5" name="图片 8" descr="1651733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1651733803(1)"/>
                          <pic:cNvPicPr>
                            <a:picLocks noChangeAspect="1"/>
                          </pic:cNvPicPr>
                        </pic:nvPicPr>
                        <pic:blipFill>
                          <a:blip r:embed="rId16"/>
                          <a:srcRect l="5102" r="8003"/>
                          <a:stretch>
                            <a:fillRect/>
                          </a:stretch>
                        </pic:blipFill>
                        <pic:spPr>
                          <a:xfrm>
                            <a:off x="0" y="0"/>
                            <a:ext cx="2034540" cy="1082040"/>
                          </a:xfrm>
                          <a:prstGeom prst="rect">
                            <a:avLst/>
                          </a:prstGeom>
                        </pic:spPr>
                      </pic:pic>
                    </a:graphicData>
                  </a:graphic>
                </wp:anchor>
              </w:drawing>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autoSpaceDE/>
              <w:autoSpaceDN/>
              <w:bidi w:val="0"/>
              <w:spacing w:line="260" w:lineRule="atLeast"/>
              <w:ind w:left="0" w:leftChars="0"/>
              <w:jc w:val="left"/>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autoSpaceDE/>
              <w:autoSpaceDN/>
              <w:bidi w:val="0"/>
              <w:spacing w:line="260" w:lineRule="atLeast"/>
              <w:ind w:left="0" w:leftChars="0"/>
              <w:jc w:val="left"/>
              <w:rPr>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autoSpaceDE/>
              <w:autoSpaceDN/>
              <w:bidi w:val="0"/>
              <w:spacing w:line="260" w:lineRule="atLeast"/>
              <w:ind w:left="0" w:leftChars="0"/>
              <w:jc w:val="left"/>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钢质管道焊接检查记录。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5.2.6 管道焊接完成后，强度试验及严密性试验之前，必须对所有焊缝进行外观检查和对焊缝内部质量进行检验，外观检查应在内部质量检验前进行。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4.3.7 钢制管道的焊接应符合下列规定：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管道对接焊缝质量应符合设计文件的要求，当设计文件无明确要求时应符合下列要求：</w:t>
            </w:r>
          </w:p>
          <w:p>
            <w:pPr>
              <w:keepNext w:val="0"/>
              <w:keepLines w:val="0"/>
              <w:pageBreakBefore w:val="0"/>
              <w:widowControl w:val="0"/>
              <w:numPr>
                <w:numId w:val="0"/>
              </w:numPr>
              <w:kinsoku/>
              <w:wordWrap/>
              <w:overflowPunct/>
              <w:topLinePunct w:val="0"/>
              <w:autoSpaceDE/>
              <w:autoSpaceDN/>
              <w:bidi w:val="0"/>
              <w:adjustRightInd/>
              <w:snapToGrid/>
              <w:spacing w:line="260" w:lineRule="atLeast"/>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对接焊缝内部质量采用射线探伤检测时，其质量不应低于现行国家标准《无损检测 金属管道熔化焊环向对接接头射线照相检测方法》</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12605中的Ⅲ级焊缝质量标准。</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检查数量：当管道明设或暗封敷设时，焊缝外观质量应100%检查，焊缝内部质量的检查比例不少于5%且不少于1个连接部位。当管道暗埋敷设时，焊缝外观和焊缝内部质量应100%检查。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检查方法：焊缝外观检查采用目视检查或焊缝检查尺检查；焊缝内部质量检查查看无损检测报告。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聚乙烯管道电熔、热熔连接质量检查记录。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 热熔连接的焊接接头连接完成后，应进行100%外观检验及10%翻边切除检验，并应符合国家现行标准《聚乙烯燃气管道工程技术规程》</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63的要求。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 电熔连接的焊接接头连接完成后，应进行外观检查，并应符合国家现行标准《聚乙烯燃气管道工程技术标准》</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63的要求。</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7.2.5 电熔鞍形连接完成后，应进行外观检查，并应符合国家现行标准《聚乙烯燃气管道工程技术标准》</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63的要求。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埋地钢管补口、补伤及防腐层检查记录。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5.1.21 埋地钢质输配管道埋设前，应对防腐层进行100%的外观检查，防腐层表面不得出现气泡、破损、裂纹、剥离等缺陷。不符合质量要求时，应返工处理直至合格。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5.4.10 管道下沟前必须对防腐层进行100%的外观检查，回填前应进行100%电火花检漏，回填后必须对防腐层完整性进行全线检查，不合格必须返工处理直至合格。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7.2.7 法兰或钢塑过渡连接完成后，其金属部分应按设计要求的防腐等级进行防腐，并检验合格。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 组装后的管段应采用下水滑道牵引下水，置于浮箱平台，并调整至管道设计轴线水面上，将管段组装成整管。焊口应进行射线照相探伤和防腐补口，并应在管道下沟前对整条管道的防腐层做电火花绝缘检查。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当引入管埋地部分与室外埋地PE管相连时，其连接位置距建筑物基础不宜小于0.5m，且应采用钢塑焊接转换接头。当采用法兰转换接头时，应对法兰及其紧固件的周围死角和空隙部分采用防腐胶泥填充进行过渡，进行防腐层施工前胶泥应干实。防腐层的种类和防腐等级应符合设计文件要求，接头钢质部分的防腐等级不应低于管道的防腐等级。</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检查数量：100%检查。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检查方法：目视检查、针孔检漏仪检测。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4.3.6</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阀门试验记录。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阀门、凝水缸及补偿器等在正式安装前，应按其产品标准要求单独进行强度和严密性试验，经试验合格的设备、附件应做好标记，并应填写试验记录。</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8.1.9 管道附件、设备安装完成后，应与管线一起进行严密性试验。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 阀门的安装应符合下列要求：</w:t>
            </w:r>
          </w:p>
          <w:p>
            <w:pPr>
              <w:keepNext w:val="0"/>
              <w:keepLines w:val="0"/>
              <w:pageBreakBefore w:val="0"/>
              <w:widowControl w:val="0"/>
              <w:kinsoku/>
              <w:wordWrap/>
              <w:overflowPunct/>
              <w:topLinePunct w:val="0"/>
              <w:autoSpaceDE/>
              <w:autoSpaceDN/>
              <w:bidi w:val="0"/>
              <w:adjustRightInd/>
              <w:snapToGrid/>
              <w:spacing w:line="260" w:lineRule="atLeast"/>
              <w:ind w:lef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在安装前应对阀门逐个进行外观检查，并宜对引入管阀门进行严密性试验。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4.3.7</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穿跨越工程（沉管）施工记录。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250-2016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河底管沟的几何尺寸和质量应符合下列规定：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管沟开挖过程中，应定时测量管沟尺寸。管沟开挖完成后，应对管沟进行测量，并应做好记录。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 管道穿跨越工程》SY 4207-2007</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6.1.1.4.1 主控项目</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沉管开挖深度允许偏差为±0.3m。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检验数量：每15m检查不应少于1处。</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检验方法：仪器测量，检查施工记录。</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6.1.1.4.2 一般项目</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沉管法管沟开挖沟底宽度允许偏差为±0.6m。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检验数量：每15m检查不应少于1处。</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检验方法：仪器测量，检查施工记录。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4.3.8</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穿跨越工程（定向钻）施工记录。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《城镇燃气管道穿跨越工程技术规程》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250-2016</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5.3.14 回拖作业应符合下列规定：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应实时记录回拖过程的回拖力、扭矩、回拖速度、钻进液流量等数据，并应附于竣工资料中。</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5.3.18 施工完毕后，应测量出、入土点坐标，做好施工记录；并进行防腐层完整性评价，检测合格后方可与两端管道进行连接。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《石油天然气建设工程施工质量验收规范 管道穿跨越工程》SY 4207-2007</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7.1.1.2 主控项目</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导向孔钻进曲线的曲率半径应符合设计要求。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检验数量：全数检查。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检验方法：检查施工记录。</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7.1.2.2 主控项目</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孔的孔径应满足管道回拖要求，一般情况下穿越管段直径小于或等于219mm时，最小扩孔直径以比管径大100mm；穿越管段直径大于219mm且小于610mm时，最小扩孔直径宜为管径的1.5倍；穿越管段直径大于或等于610mm时，最小扩孔直径宜比管径大300mm。</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检验数量：全数检查。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检验方法：检查施工记录。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4.3.9</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管道吹扫记录。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5.1.24 输配管道安装结束后，必须进行管道清扫、强度试验和严密性试验，并应合格。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11.1.11 场站内的燃气管道安装完毕后必须进行吹扫和压力试验，并应符合下列规定：</w:t>
            </w:r>
          </w:p>
          <w:p>
            <w:pPr>
              <w:keepNext w:val="0"/>
              <w:keepLines w:val="0"/>
              <w:pageBreakBefore w:val="0"/>
              <w:kinsoku/>
              <w:wordWrap/>
              <w:overflowPunct/>
              <w:topLinePunct w:val="0"/>
              <w:autoSpaceDE/>
              <w:autoSpaceDN/>
              <w:bidi w:val="0"/>
              <w:spacing w:line="260" w:lineRule="atLeas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场站内管道的吹扫和强度试验应符合本规范第12章的规定；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 管道安装完毕后应依次进行管道吹扫、强度试验和严密性试验。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4.3.10</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管道强度、严密性试验记录。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5.1.24 输配管道安装结束后，必须进行管道清扫、强度试验和严密性试验，并应合格。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11.1.11 场站内的燃气管道安装完毕后必须进行吹扫和压力试验，并应符合下列规定：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场站内管道的吹扫和强度试验应符合本规范第12章的规定；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埋地管道的严密性试验应符合本规范第12章的规定；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地上管道进行严密性试验时，试验压力应为设计压力，且不得小于0.3MPa；试验时压力应缓慢上升到规定值，采用发泡剂进行检查，无渗漏为合格。其他要求应符合本规范第12.4节的规定。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 管道安装完毕后应依次进行管道吹扫、强度试验和严密性试验。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 室内燃气管道的试验应符合下列要求：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自引入管阀门起至燃具之间的管道的试验应符合本规范的要求；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自引入管阀门起至室外配气支管之间管线的试验应符合国家现行标准《城镇燃气输配工程施工及验收规范》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33的有关规定。</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室内燃气管道强度试验的范围应符合下列规定：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明管敷设时，居民用户应为引入管阀门至燃气计量装置前阀门之间的管道系统；暗埋或暗封敷设时，居民用户应为引入管阀门至燃具接入管阀门（含阀门）之间的管道；</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商业用户及工业企业用户应为引入管阀门至燃具接入管阀门（含阀门）之间的管道（含暗埋或暗封的燃气管道）。</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 强度试验试验压力应为设计压力的1.5倍且不得低于0.1MPa，</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8.2.5强度试验应符合下列要求：</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在低压燃气管道系统达到试验压力时；稳压不少于0.5h后，应用发泡剂检查所有接头，无渗漏、压力计量装置无压力降为合格；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在中压燃气管道系统达到试验压力时，稳压不少于0.5h后，应用发泡剂检查所有接头，无渗漏、压力计量装置无压力降为合格；或稳压不少于lh，观察压力计量装置，无压力降为合格；</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当中压以上燃气管道系统进行强度试验时，应在达到试验压力的50%时停止不少于15min，用发泡剂检查所有接头，无渗漏后方可继续缓慢升压至试验压力并稳压不少于lh后，压力计量装置无压力降为合格。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 严密性试验范围应为引入管阀门至燃具前管阀门之间的管道。通气前还应对燃具前阀门至燃具之间的管道进行检查。</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8.3.3 严密性试验应符合下列要求： </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低压管道系统</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试验压力应为设计压力且不得低于5kPa。在试验压力下，居民用户应稳压不少于15min，商业和工业企业用户应稳压不少于30min，并用发泡剂检查全部连接点，无渗漏、压力计无压力降为合格。</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当试验系统中有不锈钢波纹软管、覆塑铜管、铝塑复合管、耐油胶管时，在试验压力下的稳压时间不宜小于1h，除对各密封点检查外，还应对外包覆层端面是否有渗漏现象进行检查。</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中压及以上压力管道系统</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试验压力应为设计压力且不得低于0.1MPa。在试验压力下稳压不得少于2h，用发泡剂检查全部连接点，无渗漏、压力计量装置无压力降为合格。</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8.3.4 低压燃气管道严密性试验的压力计量装置应采用U形压力计。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4.3.11</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阴极保护测试记录。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《燃气工程项目规范》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55009-2021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5.1.20 埋地钢质输配管道应采用外防腐层辅以阴极保护系统的腐蚀控制措施。新建输配管道的阴极保护系统应与输配管道同时实施，并应同时投入使用。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《油气长输管道工程施工及验收规范》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50369-2014</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16.2.5 阴极保护投入运行前，应做好自然电位测试；运行后应做好保护电位和保护电流测试。测试记录应完整。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4.3.1</w:t>
            </w:r>
            <w:r>
              <w:rPr>
                <w:rFonts w:hint="eastAsia" w:ascii="宋体" w:hAnsi="宋体" w:eastAsia="宋体" w:cs="宋体"/>
                <w:color w:val="auto"/>
                <w:sz w:val="21"/>
                <w:szCs w:val="21"/>
                <w:highlight w:val="none"/>
                <w:lang w:val="en-US" w:eastAsia="zh-CN"/>
              </w:rPr>
              <w:t>2</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球形储罐焊接记录（含焊缝及焊工布置图）。</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50094-2010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6.4.9 施工单位应在焊接记录（含焊缝布置图）中记录焊工代号，如需要或有要求时还应在焊缝附近的指定部位打上焊工代号钢印（不允许打钢印的球形储罐除外）。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4.3.13</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球形储罐焊缝返修记录。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50094-2010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6.5.3 焊缝内部缺陷的修补应符合下列规定：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焊接修补的部位、次数和检测结果应作记录。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4.3.14</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球形储罐焊后热处理记录。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50094-2010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8.4.3 热处理时，应对热处理温度进行连续自动记录。热电偶及记录仪表应经过校准并在有效周期内，准确度应至少达到±1%的要求。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4.3.15</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球形储罐基础沉降记录。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《球形储罐施工规范》</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50094-2010</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10.1.8 球形储罐在充水、放水过程中，应对基础的沉降进行观测，并应作实测记录，沉降观测及沉降量应符合下列规定。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4.3.16</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钢管除锈、刷漆检查记录。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 涂料应有制造厂的质量合格文件。涂漆前应清除被涂表面的铁锈、焊渣、毛刺、油、水等污物。</w:t>
            </w:r>
          </w:p>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 涂料的种类、涂敷次序、层数、各层的表干要求及施工的环境温度应按设计和所选涂料的产品规定进行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4.3.17</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电气仪表安装调试记录。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12.5.3 竣工资料的收集、整理工作应与工程建设过程同步，工程完工后应及时做好整理和移交工作。整体工程竣工资料宜包括下列内容：</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交工技术文件：</w:t>
            </w:r>
          </w:p>
          <w:p>
            <w:pPr>
              <w:keepNext w:val="0"/>
              <w:keepLines w:val="0"/>
              <w:pageBreakBefore w:val="0"/>
              <w:kinsoku/>
              <w:wordWrap/>
              <w:overflowPunct/>
              <w:topLinePunct w:val="0"/>
              <w:autoSpaceDE/>
              <w:autoSpaceDN/>
              <w:bidi w:val="0"/>
              <w:spacing w:line="260" w:lineRule="atLeast"/>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6）施工记录：隐蔽工程记录、焊接记录、管道吹扫记录、强度和严密性试验记录、阀门试验记录、电气仪表工程的安装调试记录等。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4.3.18</w:t>
            </w:r>
          </w:p>
        </w:tc>
        <w:tc>
          <w:tcPr>
            <w:tcW w:w="125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施工记录</w:t>
            </w:r>
          </w:p>
        </w:tc>
        <w:tc>
          <w:tcPr>
            <w:tcW w:w="1119"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燃气报警控制系统调试记录。</w:t>
            </w:r>
          </w:p>
        </w:tc>
        <w:tc>
          <w:tcPr>
            <w:tcW w:w="4027"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《城镇燃气报警控制系统技术规程》</w:t>
            </w:r>
            <w:r>
              <w:rPr>
                <w:rFonts w:hint="eastAsia" w:ascii="宋体" w:hAnsi="宋体" w:eastAsia="宋体" w:cs="宋体"/>
                <w:color w:val="auto"/>
                <w:sz w:val="21"/>
                <w:szCs w:val="21"/>
                <w:highlight w:val="none"/>
                <w:lang w:eastAsia="zh-CN"/>
              </w:rPr>
              <w:t>CJJ/T</w:t>
            </w:r>
            <w:r>
              <w:rPr>
                <w:rFonts w:hint="eastAsia" w:ascii="宋体" w:hAnsi="宋体" w:eastAsia="宋体" w:cs="宋体"/>
                <w:color w:val="auto"/>
                <w:sz w:val="21"/>
                <w:szCs w:val="21"/>
                <w:highlight w:val="none"/>
              </w:rPr>
              <w:t>146-2011</w:t>
            </w:r>
          </w:p>
        </w:tc>
        <w:tc>
          <w:tcPr>
            <w:tcW w:w="11060" w:type="dxa"/>
            <w:vAlign w:val="center"/>
          </w:tcPr>
          <w:p>
            <w:pPr>
              <w:keepNext w:val="0"/>
              <w:keepLines w:val="0"/>
              <w:pageBreakBefore w:val="0"/>
              <w:kinsoku/>
              <w:wordWrap/>
              <w:overflowPunct/>
              <w:topLinePunct w:val="0"/>
              <w:autoSpaceDE/>
              <w:autoSpaceDN/>
              <w:bidi w:val="0"/>
              <w:spacing w:line="260" w:lineRule="atLeas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4.5.7 系统联调应符合下列规定：</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应按设计要求进行系统联调；</w:t>
            </w:r>
          </w:p>
          <w:p>
            <w:pPr>
              <w:keepNext w:val="0"/>
              <w:keepLines w:val="0"/>
              <w:pageBreakBefore w:val="0"/>
              <w:kinsoku/>
              <w:wordWrap/>
              <w:overflowPunct/>
              <w:topLinePunct w:val="0"/>
              <w:autoSpaceDE/>
              <w:autoSpaceDN/>
              <w:bidi w:val="0"/>
              <w:spacing w:line="260" w:lineRule="atLeast"/>
              <w:ind w:left="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城镇燃气报警控制系统在连续正常运行120h后，应按本规程附录B的规定填写调试记录表。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质量验收记录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w:t>
            </w:r>
          </w:p>
        </w:tc>
        <w:tc>
          <w:tcPr>
            <w:tcW w:w="125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勘察单位</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地基验槽记录。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《建筑地基基础工程施工质量验收标准》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50202-2018</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 地基基础工程必须进行验槽，验槽检验要点应符合本标准附录A的规定。</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A.1.7 验槽完毕填写验槽记录或检验报告，对存在的问题或异常情况提出处理意见。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4.4.2</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隐蔽工程验收记录。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《建筑工程施工质量验收统一标准》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50300-2013</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 建筑工程施工质量应按下列要求进行验收：</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隐蔽工程在隐蔽前应由施工单位通知监理单位进行验收，并应形成验收文件，验收合格后方可继续施工；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12.5.3 竣工资料的收集、整理工作应与工程建设过程同步，工程完工后应及时做好整理和移交工作。整体工程竣工资料宜包括下列内容：</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交工技术文件：</w:t>
            </w:r>
          </w:p>
          <w:p>
            <w:pPr>
              <w:keepNext w:val="0"/>
              <w:keepLines w:val="0"/>
              <w:pageBreakBefore w:val="0"/>
              <w:kinsoku/>
              <w:wordWrap/>
              <w:overflowPunct/>
              <w:topLinePunct w:val="0"/>
              <w:autoSpaceDE/>
              <w:autoSpaceDN/>
              <w:bidi w:val="0"/>
              <w:spacing w:line="260" w:lineRule="atLeas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6）施工记录：隐蔽工程记录、焊接记录、管道吹扫记录、强度和严密性试验记录、阀门试验记录、电气仪表工程的安装调试记录等。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勘察单位</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检验批、分项、子分部、分部工程验收记录。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《建筑工程施工质量验收统一标准》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50300-2013</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5.0.5 建筑工程施工质量验收记录可按下列规定填写：</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检验批质量验收记录可按本标准附录E填写，填写时应具有现场验收检查原始记录；</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分项工程质量验收记录可按本标准附录F填写；</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分部工程质量验收记录可按本标准附录G填写；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工程质量验收应在施工单位自检合格的基础上，按分项、分部（子分部）、单位（子单位）工程进行。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w:t>
            </w:r>
          </w:p>
        </w:tc>
        <w:tc>
          <w:tcPr>
            <w:tcW w:w="125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单位工程质量控制资料核查记录。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《建筑工程施工质量验收统一标准》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50300-2013</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5.0.5 建筑工程施工质量验收记录可按下列规定填写：</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单位工程质量竣工验收记录、质量控制资料核查记录、安全和功能检验资料核查及主要功能抽查记录、观感质量检查记录应按本标准附录H填写。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w:t>
            </w:r>
          </w:p>
        </w:tc>
        <w:tc>
          <w:tcPr>
            <w:tcW w:w="125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单位工程安全和功能检验资料</w:t>
            </w:r>
            <w:r>
              <w:rPr>
                <w:rFonts w:hint="eastAsia" w:ascii="宋体" w:hAnsi="宋体" w:eastAsia="宋体" w:cs="宋体"/>
                <w:color w:val="auto"/>
                <w:sz w:val="21"/>
                <w:szCs w:val="21"/>
                <w:highlight w:val="none"/>
                <w:lang w:eastAsia="zh-CN"/>
              </w:rPr>
              <w:t>核查</w:t>
            </w:r>
            <w:r>
              <w:rPr>
                <w:rFonts w:hint="eastAsia" w:ascii="宋体" w:hAnsi="宋体" w:eastAsia="宋体" w:cs="宋体"/>
                <w:color w:val="auto"/>
                <w:sz w:val="21"/>
                <w:szCs w:val="21"/>
                <w:highlight w:val="none"/>
              </w:rPr>
              <w:t>及主要功能抽查记录。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《建筑工程施工质量验收统一标准》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50300-2013</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5.0.5 建筑工程施工质量验收记录可按下列规定填写：</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单位工程质量竣工验收记录、质量控制资料核查记录、安全和功能检验资料核查及主要功能抽查记录、观感质量检查记录应按本标准附录H填写。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4.4.6</w:t>
            </w:r>
          </w:p>
        </w:tc>
        <w:tc>
          <w:tcPr>
            <w:tcW w:w="125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p>
            <w:pPr>
              <w:pStyle w:val="2"/>
              <w:keepNext w:val="0"/>
              <w:keepLines w:val="0"/>
              <w:pageBreakBefore w:val="0"/>
              <w:kinsoku/>
              <w:wordWrap/>
              <w:overflowPunct/>
              <w:topLinePunct w:val="0"/>
              <w:autoSpaceDE/>
              <w:autoSpaceDN/>
              <w:bidi w:val="0"/>
              <w:spacing w:line="260" w:lineRule="atLeas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单位工程观感质量检查记录。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《建筑工程施工质量验收统一标准》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50300-2013</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3.0.6 建筑工程施工质量应按下列要求进行验收：</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工程的观感质量应由验收人员现场检查，并应共同确认。</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5.0.5 建筑工程施工质量验收记录可按下列规定填写：</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单位工程质量竣工验收记录、质量控制资料核查记录、安全和功能检验资料核查及主要功能抽查记录、观感质量检查记录应按本标准附录H填写。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4.4.7</w:t>
            </w:r>
          </w:p>
        </w:tc>
        <w:tc>
          <w:tcPr>
            <w:tcW w:w="125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建设单位、施工单位</w:t>
            </w:r>
          </w:p>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监理单位、勘察、设计单位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单位工程质量竣工验收记录。</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《建筑工程施工质量验收统一标准》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50300-2013</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5.0.5 建筑工程施工质量验收记录可按下列规定填写：</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单位工程质量竣工验收记录、质量控制资料核查记录、安全和功能检验资料核查及主要功能抽查记录、观感质量检查记录应按本标准附录H填写。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4.4.8</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竣工报告。</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《建筑工程施工质量验收统一标准》</w:t>
            </w:r>
            <w:r>
              <w:rPr>
                <w:rFonts w:hint="eastAsia" w:ascii="宋体" w:hAnsi="宋体" w:eastAsia="宋体" w:cs="宋体"/>
                <w:color w:val="auto"/>
                <w:sz w:val="21"/>
                <w:szCs w:val="21"/>
                <w:highlight w:val="none"/>
                <w:lang w:eastAsia="zh-CN"/>
              </w:rPr>
              <w:t>GB</w:t>
            </w:r>
            <w:r>
              <w:rPr>
                <w:rFonts w:hint="eastAsia" w:ascii="宋体" w:hAnsi="宋体" w:eastAsia="宋体" w:cs="宋体"/>
                <w:color w:val="auto"/>
                <w:sz w:val="21"/>
                <w:szCs w:val="21"/>
                <w:highlight w:val="none"/>
              </w:rPr>
              <w:t>50300-2013</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6.0.5 单位工程完工后，施工单位应组织有关人员进行自检。总监理工程师应组织各专业监理工程师对工程质量进行竣工预验收。存在施工质量问题时，应由施工单位整改。整改完毕后，由施工单位向建设单位提交工程竣工报告，申请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12.5.2 工程竣工验收的基本条件应符合下列要求：</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施工单位在工程完工后对工程质量自检合格，并提出《工程竣工报告》。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《城镇燃气室内工程施工与质量验收规范》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94-2009</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 施工单位在工程完工自检合格的基础上，监理单位应组织进行预验收。预验收合格后，施工单位应向建设单位提交竣工报告并申请进行竣工验收。建设单位应组织有关部门进行竣工验收。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《住房城乡建设部关于印发〈房屋建筑和市政基础设施工程竣工验收规定〉的通知》（建质〔2013〕171号）</w:t>
            </w:r>
            <w:r>
              <w:rPr>
                <w:rFonts w:hint="eastAsia" w:ascii="宋体" w:hAnsi="宋体" w:eastAsia="宋体" w:cs="宋体"/>
                <w:color w:val="auto"/>
                <w:sz w:val="21"/>
                <w:szCs w:val="21"/>
                <w:highlight w:val="none"/>
              </w:rPr>
              <w:t>》（建质[2013]171号）</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工程符合下列要求方可进行竣工验收：</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施工单位在工程完工后对工程质量进行了检查，确认工程质量符合有关法律、法规和工程建设强制性标准，符合设计文件及合同要求，并提出工程竣工报告。工程竣工报告应经项目经理和施工单位有关负责人审核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4.4.9</w:t>
            </w:r>
          </w:p>
        </w:tc>
        <w:tc>
          <w:tcPr>
            <w:tcW w:w="125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w:t>
            </w:r>
          </w:p>
        </w:tc>
        <w:tc>
          <w:tcPr>
            <w:tcW w:w="2882" w:type="dxa"/>
            <w:vMerge w:val="restart"/>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工程质量评估报告。</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《城镇燃气输配工程施工及验收规范》</w:t>
            </w:r>
            <w:r>
              <w:rPr>
                <w:rFonts w:hint="eastAsia" w:ascii="宋体" w:hAnsi="宋体" w:eastAsia="宋体" w:cs="宋体"/>
                <w:color w:val="auto"/>
                <w:sz w:val="21"/>
                <w:szCs w:val="21"/>
                <w:highlight w:val="none"/>
                <w:lang w:eastAsia="zh-CN"/>
              </w:rPr>
              <w:t>CJJ</w:t>
            </w:r>
            <w:r>
              <w:rPr>
                <w:rFonts w:hint="eastAsia" w:ascii="宋体" w:hAnsi="宋体" w:eastAsia="宋体" w:cs="宋体"/>
                <w:color w:val="auto"/>
                <w:sz w:val="21"/>
                <w:szCs w:val="21"/>
                <w:highlight w:val="none"/>
              </w:rPr>
              <w:t>33-2005</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12.5.2 工程竣工验收的基本条件应符合下列要求：</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监理单位对施工单位的工程质量自检结果予以确认并提出《工程质量评估报告》。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25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1119"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2882" w:type="dxa"/>
            <w:vMerge w:val="continue"/>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《住房城乡建设部关于印发〈房屋建筑和市政基础设施工程竣工验收规定〉的通知》（建质〔2013〕171号）</w:t>
            </w:r>
            <w:r>
              <w:rPr>
                <w:rFonts w:hint="eastAsia" w:ascii="宋体" w:hAnsi="宋体" w:eastAsia="宋体" w:cs="宋体"/>
                <w:color w:val="auto"/>
                <w:sz w:val="21"/>
                <w:szCs w:val="21"/>
                <w:highlight w:val="none"/>
              </w:rPr>
              <w:t>》（建质[2013]171号）</w:t>
            </w:r>
          </w:p>
        </w:tc>
        <w:tc>
          <w:tcPr>
            <w:tcW w:w="11060" w:type="dxa"/>
            <w:vAlign w:val="center"/>
          </w:tcPr>
          <w:p>
            <w:pPr>
              <w:keepNext w:val="0"/>
              <w:keepLines w:val="0"/>
              <w:pageBreakBefore w:val="0"/>
              <w:numPr>
                <w:ilvl w:val="0"/>
                <w:numId w:val="13"/>
              </w:numPr>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工程符合下列要求方可进行竣工验收：</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（三）对于委托监理的工程项目，监理单位对工程进行了质量评估，具有完整的监理资料，并提出工程质量评估报告。工程质量评估报告应经总监理工程师和监理单位相关负责人审核签字。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4.4.10</w:t>
            </w:r>
          </w:p>
        </w:tc>
        <w:tc>
          <w:tcPr>
            <w:tcW w:w="125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勘察、设计单位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勘察、设计检查报告。</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《住房城乡建设部关于印发〈房屋建筑和市政基础设施工程竣工验收规定〉的通知》（建质〔2013〕171号）</w:t>
            </w:r>
            <w:r>
              <w:rPr>
                <w:rFonts w:hint="eastAsia" w:ascii="宋体" w:hAnsi="宋体" w:eastAsia="宋体" w:cs="宋体"/>
                <w:color w:val="auto"/>
                <w:sz w:val="21"/>
                <w:szCs w:val="21"/>
                <w:highlight w:val="none"/>
              </w:rPr>
              <w:t>》</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工程符合下列要求方可进行竣工验收：</w:t>
            </w:r>
          </w:p>
          <w:p>
            <w:pPr>
              <w:keepNext w:val="0"/>
              <w:keepLines w:val="0"/>
              <w:pageBreakBefore w:val="0"/>
              <w:kinsoku/>
              <w:wordWrap/>
              <w:overflowPunct/>
              <w:topLinePunct w:val="0"/>
              <w:autoSpaceDE/>
              <w:autoSpaceDN/>
              <w:bidi w:val="0"/>
              <w:spacing w:line="260" w:lineRule="atLeast"/>
              <w:ind w:lef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（四）勘察、设计单位对勘察、设计文件及施工过程中由设计单位签署的设计变更通知书进行了检查，提出质量检查报告。质量检查报告应经该项目勘察、设计单位负责人和勘察、设计单位有关负责人审核签字。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4.4.11</w:t>
            </w:r>
          </w:p>
        </w:tc>
        <w:tc>
          <w:tcPr>
            <w:tcW w:w="125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质量验收记录</w:t>
            </w:r>
          </w:p>
        </w:tc>
        <w:tc>
          <w:tcPr>
            <w:tcW w:w="1119"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2882"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报告。</w:t>
            </w:r>
          </w:p>
        </w:tc>
        <w:tc>
          <w:tcPr>
            <w:tcW w:w="4027" w:type="dxa"/>
            <w:vAlign w:val="center"/>
          </w:tcPr>
          <w:p>
            <w:pPr>
              <w:keepNext w:val="0"/>
              <w:keepLines w:val="0"/>
              <w:pageBreakBefore w:val="0"/>
              <w:kinsoku/>
              <w:wordWrap/>
              <w:overflowPunct/>
              <w:topLinePunct w:val="0"/>
              <w:autoSpaceDE/>
              <w:autoSpaceDN/>
              <w:bidi w:val="0"/>
              <w:spacing w:line="260" w:lineRule="atLeast"/>
              <w:ind w:left="0"/>
              <w:rPr>
                <w:rFonts w:hint="eastAsia"/>
                <w:highlight w:val="none"/>
                <w:lang w:eastAsia="zh-CN"/>
              </w:rPr>
            </w:pPr>
            <w:r>
              <w:rPr>
                <w:rFonts w:hint="eastAsia" w:ascii="宋体" w:hAnsi="宋体" w:eastAsia="宋体" w:cs="宋体"/>
                <w:color w:val="auto"/>
                <w:sz w:val="21"/>
                <w:szCs w:val="21"/>
                <w:highlight w:val="none"/>
                <w:lang w:val="en-US" w:eastAsia="zh-CN"/>
              </w:rPr>
              <w:t>《住房城乡建设部关于印发〈房屋建筑和市政基础设施工程竣工验收规定〉的通知》</w:t>
            </w:r>
            <w:r>
              <w:rPr>
                <w:rFonts w:hint="eastAsia" w:ascii="宋体" w:hAnsi="宋体" w:eastAsia="宋体" w:cs="宋体"/>
                <w:color w:val="auto"/>
                <w:sz w:val="21"/>
                <w:szCs w:val="21"/>
                <w:highlight w:val="none"/>
              </w:rPr>
              <w:t>（建质〔</w:t>
            </w:r>
            <w:r>
              <w:rPr>
                <w:rFonts w:hint="eastAsia" w:ascii="宋体" w:hAnsi="宋体" w:eastAsia="宋体" w:cs="宋体"/>
                <w:color w:val="auto"/>
                <w:sz w:val="21"/>
                <w:szCs w:val="21"/>
                <w:highlight w:val="none"/>
              </w:rPr>
              <w:t>2013〕</w:t>
            </w:r>
            <w:r>
              <w:rPr>
                <w:rFonts w:hint="eastAsia" w:ascii="宋体" w:hAnsi="宋体" w:eastAsia="宋体" w:cs="宋体"/>
                <w:color w:val="auto"/>
                <w:sz w:val="21"/>
                <w:szCs w:val="21"/>
                <w:highlight w:val="none"/>
              </w:rPr>
              <w:t>171号）</w:t>
            </w:r>
          </w:p>
        </w:tc>
        <w:tc>
          <w:tcPr>
            <w:tcW w:w="11060"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工程竣工验收合格后，建设单位应当及时提出工程竣工验收报告。工程竣工验收报告主要包括工程概况，建设单位执行基本建设程序情况，对工程勘察、设计、施工、监理等方面的评价，工程竣工验收时间、程序、内容和组织形式，工程竣工验收意见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本实施细则是根据法律法规、国家有关规定和工程建设强制性标准制定，用于规范企业及项目质量行为、提升质量管理水平，工程建设各方主体必须遵照执行。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本细则所列内容仅代表基础性要求，工程建设各方主体在执行本细则外，还应执行工程建设法律法规、国家有关规定和相关工程技术标准要求。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0347" w:type="dxa"/>
            <w:gridSpan w:val="5"/>
            <w:vAlign w:val="center"/>
          </w:tcPr>
          <w:p>
            <w:pPr>
              <w:keepNext w:val="0"/>
              <w:keepLines w:val="0"/>
              <w:pageBreakBefore w:val="0"/>
              <w:kinsoku/>
              <w:wordWrap/>
              <w:overflowPunct/>
              <w:topLinePunct w:val="0"/>
              <w:autoSpaceDE/>
              <w:autoSpaceDN/>
              <w:bidi w:val="0"/>
              <w:spacing w:line="260" w:lineRule="atLeas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各企业应在住房城乡建设部《工程质量安全手册》和本细则的基础上，制定具有企业特色的标准化质量手册。</w:t>
            </w:r>
          </w:p>
        </w:tc>
      </w:tr>
    </w:tbl>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sectPr>
      <w:footerReference r:id="rId7" w:type="default"/>
      <w:type w:val="continuous"/>
      <w:pgSz w:w="23814" w:h="16839" w:orient="landscape"/>
      <w:pgMar w:top="1418" w:right="1418" w:bottom="1134" w:left="1418" w:header="851" w:footer="102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embedRegular r:id="rId1" w:fontKey="{15FD7AA7-E315-4E7C-A1A0-A333A8353EB8}"/>
  </w:font>
  <w:font w:name="方正楷体_GBK">
    <w:panose1 w:val="02000000000000000000"/>
    <w:charset w:val="86"/>
    <w:family w:val="script"/>
    <w:pitch w:val="default"/>
    <w:sig w:usb0="800002BF" w:usb1="38CF7CFA" w:usb2="00000016" w:usb3="00000000" w:csb0="00040000" w:csb1="00000000"/>
    <w:embedRegular r:id="rId2" w:fontKey="{D685AC1D-E667-4EDC-8AE5-A9EC7456AFE3}"/>
  </w:font>
  <w:font w:name="方正黑体_GBK">
    <w:altName w:val="微软雅黑"/>
    <w:panose1 w:val="00000000000000000000"/>
    <w:charset w:val="86"/>
    <w:family w:val="script"/>
    <w:pitch w:val="default"/>
    <w:sig w:usb0="00000000" w:usb1="00000000" w:usb2="00000010" w:usb3="00000000" w:csb0="00040000" w:csb1="00000000"/>
    <w:embedRegular r:id="rId3" w:fontKey="{31DDA4B4-D4D7-4240-B3AF-BC11E8D5EA25}"/>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OW//RAQAAowMAAA4AAABkcnMvZTJvRG9jLnhtbK1TwY7TMBC9I/EP&#10;lu80aRGrEj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0CYsOXPC0sQvP75ffv6+/PrG&#10;Xid9eo8Vpd17SozDWxgod75Huky0hzbY9CVCjOKk7vmqrhoik+nRerVelxSSFJsdwi8envuA8Z0C&#10;y5JR80Djy6qK0weMY+qckqo5uNPG5BEax/qa37x8VeYH1wiBG0c1Eomx2WTFYT9MzPbQnIlYTytQ&#10;c0cbz5l570jhtC2zEWZjPxtHH/Shox6XuR76N8dI3eQmU4URdipMs8s0pz1Ly/G3n7Me/q3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zlv/0QEAAKMDAAAOAAAAAAAAAAEAIAAAAB8BAABk&#10;cnMvZTJvRG9jLnhtbFBLBQYAAAAABgAGAFkBAABiBQAAAAA=&#10;">
              <v:fill on="f" focussize="0,0"/>
              <v:stroke on="f" weight="0.5pt"/>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4384" behindDoc="0" locked="0" layoutInCell="1" allowOverlap="1">
              <wp:simplePos x="0" y="0"/>
              <wp:positionH relativeFrom="margin">
                <wp:posOffset>6417310</wp:posOffset>
              </wp:positionH>
              <wp:positionV relativeFrom="paragraph">
                <wp:posOffset>0</wp:posOffset>
              </wp:positionV>
              <wp:extent cx="48641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486410" cy="1828800"/>
                      </a:xfrm>
                      <a:prstGeom prst="rect">
                        <a:avLst/>
                      </a:prstGeom>
                      <a:noFill/>
                      <a:ln w="6350">
                        <a:noFill/>
                      </a:ln>
                    </wps:spPr>
                    <wps:txbx>
                      <w:txbxContent>
                        <w:p>
                          <w:r>
                            <w:t xml:space="preserve">— </w:t>
                          </w:r>
                          <w:r>
                            <w:fldChar w:fldCharType="begin"/>
                          </w:r>
                          <w:r>
                            <w:instrText xml:space="preserve"> PAGE  \* MERGEFORMAT </w:instrText>
                          </w:r>
                          <w:r>
                            <w:fldChar w:fldCharType="separate"/>
                          </w:r>
                          <w:r>
                            <w:t>67</w:t>
                          </w:r>
                          <w:r>
                            <w:fldChar w:fldCharType="end"/>
                          </w:r>
                          <w:r>
                            <w:t xml:space="preserve"> —</w:t>
                          </w:r>
                        </w:p>
                      </w:txbxContent>
                    </wps:txbx>
                    <wps:bodyPr wrap="square" lIns="0" tIns="0" rIns="0" bIns="0" upright="1">
                      <a:spAutoFit/>
                    </wps:bodyPr>
                  </wps:wsp>
                </a:graphicData>
              </a:graphic>
            </wp:anchor>
          </w:drawing>
        </mc:Choice>
        <mc:Fallback>
          <w:pict>
            <v:shape id="文本框 10" o:spid="_x0000_s1026" o:spt="202" type="#_x0000_t202" style="position:absolute;left:0pt;margin-left:505.3pt;margin-top:0pt;height:144pt;width:38.3pt;mso-position-horizontal-relative:margin;z-index:251664384;mso-width-relative:page;mso-height-relative:page;" filled="f" stroked="f" coordsize="21600,21600" o:gfxdata="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8Qon1gAAAAoBAAAPAAAAAAAAAAEA&#10;IAAAACIAAABkcnMvZG93bnJldi54bWxQSwECFAAUAAAACACHTuJAefZ+79gBAAClAwAADgAAAAAA&#10;AAABACAAAAAlAQAAZHJzL2Uyb0RvYy54bWxQSwUGAAAAAAYABgBZAQAAbwU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67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3D958"/>
    <w:multiLevelType w:val="singleLevel"/>
    <w:tmpl w:val="9203D958"/>
    <w:lvl w:ilvl="0" w:tentative="0">
      <w:start w:val="5"/>
      <w:numFmt w:val="chineseCounting"/>
      <w:suff w:val="nothing"/>
      <w:lvlText w:val="（%1）"/>
      <w:lvlJc w:val="left"/>
      <w:rPr>
        <w:rFonts w:hint="eastAsia" w:cs="Times New Roman"/>
      </w:rPr>
    </w:lvl>
  </w:abstractNum>
  <w:abstractNum w:abstractNumId="1">
    <w:nsid w:val="ADE1056A"/>
    <w:multiLevelType w:val="singleLevel"/>
    <w:tmpl w:val="ADE1056A"/>
    <w:lvl w:ilvl="0" w:tentative="0">
      <w:start w:val="1"/>
      <w:numFmt w:val="decimal"/>
      <w:suff w:val="nothing"/>
      <w:lvlText w:val="%1）"/>
      <w:lvlJc w:val="left"/>
    </w:lvl>
  </w:abstractNum>
  <w:abstractNum w:abstractNumId="2">
    <w:nsid w:val="C7194AEA"/>
    <w:multiLevelType w:val="singleLevel"/>
    <w:tmpl w:val="C7194AEA"/>
    <w:lvl w:ilvl="0" w:tentative="0">
      <w:start w:val="1"/>
      <w:numFmt w:val="decimal"/>
      <w:suff w:val="nothing"/>
      <w:lvlText w:val="%1）"/>
      <w:lvlJc w:val="left"/>
    </w:lvl>
  </w:abstractNum>
  <w:abstractNum w:abstractNumId="3">
    <w:nsid w:val="C7714F13"/>
    <w:multiLevelType w:val="singleLevel"/>
    <w:tmpl w:val="C7714F13"/>
    <w:lvl w:ilvl="0" w:tentative="0">
      <w:start w:val="1"/>
      <w:numFmt w:val="decimal"/>
      <w:suff w:val="nothing"/>
      <w:lvlText w:val="%1）"/>
      <w:lvlJc w:val="left"/>
      <w:pPr>
        <w:ind w:left="210"/>
      </w:pPr>
    </w:lvl>
  </w:abstractNum>
  <w:abstractNum w:abstractNumId="4">
    <w:nsid w:val="CE6B4BB8"/>
    <w:multiLevelType w:val="multilevel"/>
    <w:tmpl w:val="CE6B4BB8"/>
    <w:lvl w:ilvl="0" w:tentative="0">
      <w:start w:val="1"/>
      <w:numFmt w:val="decimal"/>
      <w:pStyle w:val="4"/>
      <w:isLgl/>
      <w:lvlText w:val="%1."/>
      <w:lvlJc w:val="left"/>
      <w:pPr>
        <w:ind w:left="425" w:hanging="425"/>
      </w:pPr>
      <w:rPr>
        <w:rFonts w:hint="default" w:ascii="黑体" w:hAnsi="黑体" w:eastAsia="宋体" w:cs="宋体"/>
      </w:rPr>
    </w:lvl>
    <w:lvl w:ilvl="1" w:tentative="0">
      <w:start w:val="1"/>
      <w:numFmt w:val="decimal"/>
      <w:isLgl/>
      <w:lvlText w:val="%1.%2  "/>
      <w:lvlJc w:val="left"/>
      <w:pPr>
        <w:ind w:left="567" w:hanging="567"/>
      </w:pPr>
      <w:rPr>
        <w:rFonts w:hint="default" w:ascii="黑体" w:hAnsi="黑体" w:eastAsia="宋体" w:cs="宋体"/>
        <w:b/>
        <w:sz w:val="24"/>
      </w:rPr>
    </w:lvl>
    <w:lvl w:ilvl="2" w:tentative="0">
      <w:start w:val="1"/>
      <w:numFmt w:val="decimal"/>
      <w:isLgl/>
      <w:lvlText w:val="%1.%2.%3."/>
      <w:lvlJc w:val="left"/>
      <w:pPr>
        <w:ind w:left="709" w:hanging="709"/>
      </w:pPr>
      <w:rPr>
        <w:rFonts w:hint="default" w:ascii="黑体" w:hAnsi="黑体" w:eastAsia="宋体" w:cs="宋体"/>
        <w:b/>
        <w:sz w:val="24"/>
      </w:rPr>
    </w:lvl>
    <w:lvl w:ilvl="3" w:tentative="0">
      <w:start w:val="1"/>
      <w:numFmt w:val="decimal"/>
      <w:isLgl/>
      <w:lvlText w:val="%1.%2.%3.%4."/>
      <w:lvlJc w:val="left"/>
      <w:pPr>
        <w:ind w:left="850" w:hanging="850"/>
      </w:pPr>
      <w:rPr>
        <w:rFonts w:hint="default" w:ascii="宋体" w:hAnsi="宋体" w:eastAsia="宋体" w:cs="宋体"/>
        <w:b/>
        <w:sz w:val="24"/>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5">
    <w:nsid w:val="D3210C51"/>
    <w:multiLevelType w:val="singleLevel"/>
    <w:tmpl w:val="D3210C51"/>
    <w:lvl w:ilvl="0" w:tentative="0">
      <w:start w:val="1"/>
      <w:numFmt w:val="decimal"/>
      <w:suff w:val="nothing"/>
      <w:lvlText w:val="%1）"/>
      <w:lvlJc w:val="left"/>
      <w:pPr>
        <w:ind w:left="210"/>
      </w:pPr>
    </w:lvl>
  </w:abstractNum>
  <w:abstractNum w:abstractNumId="6">
    <w:nsid w:val="0DB74B1F"/>
    <w:multiLevelType w:val="singleLevel"/>
    <w:tmpl w:val="0DB74B1F"/>
    <w:lvl w:ilvl="0" w:tentative="0">
      <w:start w:val="7"/>
      <w:numFmt w:val="chineseCounting"/>
      <w:suff w:val="space"/>
      <w:lvlText w:val="第%1条"/>
      <w:lvlJc w:val="left"/>
      <w:rPr>
        <w:rFonts w:hint="eastAsia"/>
      </w:rPr>
    </w:lvl>
  </w:abstractNum>
  <w:abstractNum w:abstractNumId="7">
    <w:nsid w:val="31D7AB0F"/>
    <w:multiLevelType w:val="singleLevel"/>
    <w:tmpl w:val="31D7AB0F"/>
    <w:lvl w:ilvl="0" w:tentative="0">
      <w:start w:val="1"/>
      <w:numFmt w:val="decimal"/>
      <w:suff w:val="space"/>
      <w:lvlText w:val="%1)"/>
      <w:lvlJc w:val="left"/>
    </w:lvl>
  </w:abstractNum>
  <w:abstractNum w:abstractNumId="8">
    <w:nsid w:val="37E47E81"/>
    <w:multiLevelType w:val="singleLevel"/>
    <w:tmpl w:val="37E47E81"/>
    <w:lvl w:ilvl="0" w:tentative="0">
      <w:start w:val="1"/>
      <w:numFmt w:val="lowerLetter"/>
      <w:suff w:val="space"/>
      <w:lvlText w:val="%1)"/>
      <w:lvlJc w:val="left"/>
    </w:lvl>
  </w:abstractNum>
  <w:abstractNum w:abstractNumId="9">
    <w:nsid w:val="38AAAEA5"/>
    <w:multiLevelType w:val="singleLevel"/>
    <w:tmpl w:val="38AAAEA5"/>
    <w:lvl w:ilvl="0" w:tentative="0">
      <w:start w:val="1"/>
      <w:numFmt w:val="decimal"/>
      <w:suff w:val="space"/>
      <w:lvlText w:val="%1)"/>
      <w:lvlJc w:val="left"/>
      <w:pPr>
        <w:ind w:left="-60"/>
      </w:pPr>
    </w:lvl>
  </w:abstractNum>
  <w:abstractNum w:abstractNumId="10">
    <w:nsid w:val="4751B65C"/>
    <w:multiLevelType w:val="singleLevel"/>
    <w:tmpl w:val="4751B65C"/>
    <w:lvl w:ilvl="0" w:tentative="0">
      <w:start w:val="1"/>
      <w:numFmt w:val="decimal"/>
      <w:suff w:val="nothing"/>
      <w:lvlText w:val="%1）"/>
      <w:lvlJc w:val="left"/>
    </w:lvl>
  </w:abstractNum>
  <w:abstractNum w:abstractNumId="11">
    <w:nsid w:val="51D37F1D"/>
    <w:multiLevelType w:val="singleLevel"/>
    <w:tmpl w:val="51D37F1D"/>
    <w:lvl w:ilvl="0" w:tentative="0">
      <w:start w:val="5"/>
      <w:numFmt w:val="chineseCounting"/>
      <w:suff w:val="space"/>
      <w:lvlText w:val="第%1条"/>
      <w:lvlJc w:val="left"/>
      <w:rPr>
        <w:rFonts w:hint="eastAsia"/>
      </w:rPr>
    </w:lvl>
  </w:abstractNum>
  <w:abstractNum w:abstractNumId="12">
    <w:nsid w:val="74A03011"/>
    <w:multiLevelType w:val="singleLevel"/>
    <w:tmpl w:val="74A03011"/>
    <w:lvl w:ilvl="0" w:tentative="0">
      <w:start w:val="18"/>
      <w:numFmt w:val="chineseCounting"/>
      <w:suff w:val="space"/>
      <w:lvlText w:val="第%1条"/>
      <w:lvlJc w:val="left"/>
      <w:rPr>
        <w:rFonts w:hint="eastAsia"/>
      </w:rPr>
    </w:lvl>
  </w:abstractNum>
  <w:num w:numId="1">
    <w:abstractNumId w:val="4"/>
  </w:num>
  <w:num w:numId="2">
    <w:abstractNumId w:val="6"/>
  </w:num>
  <w:num w:numId="3">
    <w:abstractNumId w:val="0"/>
  </w:num>
  <w:num w:numId="4">
    <w:abstractNumId w:val="12"/>
  </w:num>
  <w:num w:numId="5">
    <w:abstractNumId w:val="9"/>
  </w:num>
  <w:num w:numId="6">
    <w:abstractNumId w:val="8"/>
  </w:num>
  <w:num w:numId="7">
    <w:abstractNumId w:val="3"/>
  </w:num>
  <w:num w:numId="8">
    <w:abstractNumId w:val="5"/>
  </w:num>
  <w:num w:numId="9">
    <w:abstractNumId w:val="10"/>
  </w:num>
  <w:num w:numId="10">
    <w:abstractNumId w:val="7"/>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80"/>
  <w:drawingGridHorizontalSpacing w:val="2"/>
  <w:drawingGridVerticalSpacing w:val="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ZWJjYzI1NmQ4MDVjZWFjZTlhNWQxMjBmNjBiMDUifQ=="/>
  </w:docVars>
  <w:rsids>
    <w:rsidRoot w:val="00AB6879"/>
    <w:rsid w:val="00006CF9"/>
    <w:rsid w:val="00010C2C"/>
    <w:rsid w:val="000169D7"/>
    <w:rsid w:val="00020C37"/>
    <w:rsid w:val="00030624"/>
    <w:rsid w:val="00040CE5"/>
    <w:rsid w:val="0004702E"/>
    <w:rsid w:val="000476EC"/>
    <w:rsid w:val="00047FDA"/>
    <w:rsid w:val="000522F1"/>
    <w:rsid w:val="00054FE3"/>
    <w:rsid w:val="00063947"/>
    <w:rsid w:val="0006680B"/>
    <w:rsid w:val="00067313"/>
    <w:rsid w:val="00076444"/>
    <w:rsid w:val="00083A00"/>
    <w:rsid w:val="000858A3"/>
    <w:rsid w:val="00087ED3"/>
    <w:rsid w:val="00094FF9"/>
    <w:rsid w:val="00097F82"/>
    <w:rsid w:val="000A081D"/>
    <w:rsid w:val="000A188E"/>
    <w:rsid w:val="000A1BF0"/>
    <w:rsid w:val="000B1202"/>
    <w:rsid w:val="000B3F51"/>
    <w:rsid w:val="000C00E4"/>
    <w:rsid w:val="000C4727"/>
    <w:rsid w:val="000C4902"/>
    <w:rsid w:val="000C530F"/>
    <w:rsid w:val="000D16F0"/>
    <w:rsid w:val="000E088D"/>
    <w:rsid w:val="000E2B1F"/>
    <w:rsid w:val="000E6DB3"/>
    <w:rsid w:val="000E7178"/>
    <w:rsid w:val="000F09EC"/>
    <w:rsid w:val="000F1778"/>
    <w:rsid w:val="00100C7E"/>
    <w:rsid w:val="00104CE9"/>
    <w:rsid w:val="0011507B"/>
    <w:rsid w:val="001157F6"/>
    <w:rsid w:val="00121A16"/>
    <w:rsid w:val="00122C21"/>
    <w:rsid w:val="00124B5B"/>
    <w:rsid w:val="00125237"/>
    <w:rsid w:val="00126471"/>
    <w:rsid w:val="001270AE"/>
    <w:rsid w:val="0014142B"/>
    <w:rsid w:val="00152C1E"/>
    <w:rsid w:val="0015722F"/>
    <w:rsid w:val="00157375"/>
    <w:rsid w:val="001578A7"/>
    <w:rsid w:val="00157CA1"/>
    <w:rsid w:val="00167AB9"/>
    <w:rsid w:val="00167E6F"/>
    <w:rsid w:val="00170BE2"/>
    <w:rsid w:val="00170E21"/>
    <w:rsid w:val="001711B7"/>
    <w:rsid w:val="00171BC5"/>
    <w:rsid w:val="001808AE"/>
    <w:rsid w:val="00180D31"/>
    <w:rsid w:val="00182989"/>
    <w:rsid w:val="00183408"/>
    <w:rsid w:val="00185DB2"/>
    <w:rsid w:val="001900CA"/>
    <w:rsid w:val="00191F70"/>
    <w:rsid w:val="001B44F6"/>
    <w:rsid w:val="001B7F7A"/>
    <w:rsid w:val="001C3084"/>
    <w:rsid w:val="001C7D51"/>
    <w:rsid w:val="001D0FAA"/>
    <w:rsid w:val="001D258C"/>
    <w:rsid w:val="001D41F0"/>
    <w:rsid w:val="001E7AE3"/>
    <w:rsid w:val="001F00FC"/>
    <w:rsid w:val="001F0485"/>
    <w:rsid w:val="002014CA"/>
    <w:rsid w:val="00206FC4"/>
    <w:rsid w:val="00212487"/>
    <w:rsid w:val="0022181C"/>
    <w:rsid w:val="00222E97"/>
    <w:rsid w:val="002254FA"/>
    <w:rsid w:val="0023368B"/>
    <w:rsid w:val="00234640"/>
    <w:rsid w:val="00234832"/>
    <w:rsid w:val="00237A6E"/>
    <w:rsid w:val="00266763"/>
    <w:rsid w:val="0026741A"/>
    <w:rsid w:val="00267FEF"/>
    <w:rsid w:val="0027245E"/>
    <w:rsid w:val="00273A6D"/>
    <w:rsid w:val="002740AE"/>
    <w:rsid w:val="00274A3A"/>
    <w:rsid w:val="00274B24"/>
    <w:rsid w:val="00275751"/>
    <w:rsid w:val="002817C2"/>
    <w:rsid w:val="00285280"/>
    <w:rsid w:val="00286C68"/>
    <w:rsid w:val="00286E0C"/>
    <w:rsid w:val="00287D4B"/>
    <w:rsid w:val="00287DE2"/>
    <w:rsid w:val="00292245"/>
    <w:rsid w:val="00293237"/>
    <w:rsid w:val="00294788"/>
    <w:rsid w:val="00295D0B"/>
    <w:rsid w:val="002A47B5"/>
    <w:rsid w:val="002A5395"/>
    <w:rsid w:val="002B13D2"/>
    <w:rsid w:val="002C73EE"/>
    <w:rsid w:val="002D02E2"/>
    <w:rsid w:val="002D4264"/>
    <w:rsid w:val="002D5A70"/>
    <w:rsid w:val="002D6DDB"/>
    <w:rsid w:val="002E063A"/>
    <w:rsid w:val="002E15A1"/>
    <w:rsid w:val="002E6B48"/>
    <w:rsid w:val="002E7B41"/>
    <w:rsid w:val="002F041A"/>
    <w:rsid w:val="00300D14"/>
    <w:rsid w:val="003035C0"/>
    <w:rsid w:val="003123DA"/>
    <w:rsid w:val="00312D17"/>
    <w:rsid w:val="003245DA"/>
    <w:rsid w:val="00326C9C"/>
    <w:rsid w:val="00332165"/>
    <w:rsid w:val="00334F42"/>
    <w:rsid w:val="003434F1"/>
    <w:rsid w:val="00350335"/>
    <w:rsid w:val="003532FE"/>
    <w:rsid w:val="00357B96"/>
    <w:rsid w:val="00361603"/>
    <w:rsid w:val="00363F93"/>
    <w:rsid w:val="00364911"/>
    <w:rsid w:val="003666A8"/>
    <w:rsid w:val="00372735"/>
    <w:rsid w:val="00374943"/>
    <w:rsid w:val="00382AE9"/>
    <w:rsid w:val="00384441"/>
    <w:rsid w:val="00385E9C"/>
    <w:rsid w:val="0039724A"/>
    <w:rsid w:val="0039744A"/>
    <w:rsid w:val="003A02E7"/>
    <w:rsid w:val="003B24AA"/>
    <w:rsid w:val="003B2745"/>
    <w:rsid w:val="003B2A2A"/>
    <w:rsid w:val="003B4304"/>
    <w:rsid w:val="003B473B"/>
    <w:rsid w:val="003B77C8"/>
    <w:rsid w:val="003C5B24"/>
    <w:rsid w:val="003C6FBC"/>
    <w:rsid w:val="003D2CDE"/>
    <w:rsid w:val="003D3B8E"/>
    <w:rsid w:val="003E0869"/>
    <w:rsid w:val="003E0A9E"/>
    <w:rsid w:val="003E508F"/>
    <w:rsid w:val="003E64F6"/>
    <w:rsid w:val="003E7772"/>
    <w:rsid w:val="003F0BFC"/>
    <w:rsid w:val="003F4DBB"/>
    <w:rsid w:val="003F7FA9"/>
    <w:rsid w:val="00427928"/>
    <w:rsid w:val="0043044C"/>
    <w:rsid w:val="00430900"/>
    <w:rsid w:val="00430CC4"/>
    <w:rsid w:val="00432A7B"/>
    <w:rsid w:val="00444E89"/>
    <w:rsid w:val="00454397"/>
    <w:rsid w:val="00455926"/>
    <w:rsid w:val="0045692F"/>
    <w:rsid w:val="00457FCA"/>
    <w:rsid w:val="00461190"/>
    <w:rsid w:val="004655DB"/>
    <w:rsid w:val="00467328"/>
    <w:rsid w:val="00474116"/>
    <w:rsid w:val="00475572"/>
    <w:rsid w:val="0049100D"/>
    <w:rsid w:val="00491D48"/>
    <w:rsid w:val="004943F0"/>
    <w:rsid w:val="004B493F"/>
    <w:rsid w:val="004D5C91"/>
    <w:rsid w:val="004E0635"/>
    <w:rsid w:val="004E106C"/>
    <w:rsid w:val="004E1078"/>
    <w:rsid w:val="004E2714"/>
    <w:rsid w:val="004E4749"/>
    <w:rsid w:val="004E528F"/>
    <w:rsid w:val="004F4269"/>
    <w:rsid w:val="00507D72"/>
    <w:rsid w:val="00517F01"/>
    <w:rsid w:val="0052393B"/>
    <w:rsid w:val="00524D51"/>
    <w:rsid w:val="00524F8E"/>
    <w:rsid w:val="00534385"/>
    <w:rsid w:val="005469BA"/>
    <w:rsid w:val="0055175D"/>
    <w:rsid w:val="00552D1E"/>
    <w:rsid w:val="00553AC2"/>
    <w:rsid w:val="0056268A"/>
    <w:rsid w:val="00572E2B"/>
    <w:rsid w:val="005858C8"/>
    <w:rsid w:val="005865AC"/>
    <w:rsid w:val="005900CF"/>
    <w:rsid w:val="00594915"/>
    <w:rsid w:val="005A51D5"/>
    <w:rsid w:val="005B1297"/>
    <w:rsid w:val="005B54EF"/>
    <w:rsid w:val="005B7338"/>
    <w:rsid w:val="005B7D89"/>
    <w:rsid w:val="005C19EE"/>
    <w:rsid w:val="005C4979"/>
    <w:rsid w:val="005C67F0"/>
    <w:rsid w:val="005D4A68"/>
    <w:rsid w:val="005D5F92"/>
    <w:rsid w:val="005D722F"/>
    <w:rsid w:val="005E1F38"/>
    <w:rsid w:val="005E3C92"/>
    <w:rsid w:val="005E6520"/>
    <w:rsid w:val="005F0C51"/>
    <w:rsid w:val="005F3CCC"/>
    <w:rsid w:val="005F42FD"/>
    <w:rsid w:val="005F5AB4"/>
    <w:rsid w:val="005F7795"/>
    <w:rsid w:val="006008B1"/>
    <w:rsid w:val="006075D8"/>
    <w:rsid w:val="00610597"/>
    <w:rsid w:val="00612CC2"/>
    <w:rsid w:val="00614037"/>
    <w:rsid w:val="006141DB"/>
    <w:rsid w:val="00615FF5"/>
    <w:rsid w:val="00622B4A"/>
    <w:rsid w:val="006257C3"/>
    <w:rsid w:val="00632919"/>
    <w:rsid w:val="0064031C"/>
    <w:rsid w:val="006444F7"/>
    <w:rsid w:val="00654D8B"/>
    <w:rsid w:val="00654E4A"/>
    <w:rsid w:val="006561F2"/>
    <w:rsid w:val="0066221A"/>
    <w:rsid w:val="0066749F"/>
    <w:rsid w:val="006707B2"/>
    <w:rsid w:val="00671CA2"/>
    <w:rsid w:val="0068662A"/>
    <w:rsid w:val="006874D3"/>
    <w:rsid w:val="006924EE"/>
    <w:rsid w:val="0069623F"/>
    <w:rsid w:val="006A0BB0"/>
    <w:rsid w:val="006A1468"/>
    <w:rsid w:val="006B345B"/>
    <w:rsid w:val="006B584B"/>
    <w:rsid w:val="006C22FC"/>
    <w:rsid w:val="006C30A2"/>
    <w:rsid w:val="006C5259"/>
    <w:rsid w:val="006D0AD7"/>
    <w:rsid w:val="006D25C0"/>
    <w:rsid w:val="006D40E3"/>
    <w:rsid w:val="006D483F"/>
    <w:rsid w:val="006D5135"/>
    <w:rsid w:val="006D57F6"/>
    <w:rsid w:val="006D69D1"/>
    <w:rsid w:val="006E058E"/>
    <w:rsid w:val="006E24A3"/>
    <w:rsid w:val="006E7815"/>
    <w:rsid w:val="007024E6"/>
    <w:rsid w:val="00702CF7"/>
    <w:rsid w:val="007041E1"/>
    <w:rsid w:val="00706A7D"/>
    <w:rsid w:val="0071191E"/>
    <w:rsid w:val="007239DA"/>
    <w:rsid w:val="00727D68"/>
    <w:rsid w:val="0073502A"/>
    <w:rsid w:val="007350A8"/>
    <w:rsid w:val="007422F8"/>
    <w:rsid w:val="007448B7"/>
    <w:rsid w:val="0074597E"/>
    <w:rsid w:val="00761B01"/>
    <w:rsid w:val="00761CB9"/>
    <w:rsid w:val="00761E64"/>
    <w:rsid w:val="00765AE6"/>
    <w:rsid w:val="00766A5D"/>
    <w:rsid w:val="00767BAE"/>
    <w:rsid w:val="00770DD6"/>
    <w:rsid w:val="00773A5B"/>
    <w:rsid w:val="00782FCD"/>
    <w:rsid w:val="00785F0C"/>
    <w:rsid w:val="007935FA"/>
    <w:rsid w:val="00795F2D"/>
    <w:rsid w:val="007A7FEE"/>
    <w:rsid w:val="007B028E"/>
    <w:rsid w:val="007B063A"/>
    <w:rsid w:val="007B1E96"/>
    <w:rsid w:val="007C198B"/>
    <w:rsid w:val="007C74DA"/>
    <w:rsid w:val="007D1BD5"/>
    <w:rsid w:val="007E1D87"/>
    <w:rsid w:val="007E245F"/>
    <w:rsid w:val="007E3A4B"/>
    <w:rsid w:val="007E3DF0"/>
    <w:rsid w:val="007E5701"/>
    <w:rsid w:val="007F41DC"/>
    <w:rsid w:val="007F4440"/>
    <w:rsid w:val="00816655"/>
    <w:rsid w:val="00816B09"/>
    <w:rsid w:val="008239D6"/>
    <w:rsid w:val="0084303F"/>
    <w:rsid w:val="00845A04"/>
    <w:rsid w:val="00845F89"/>
    <w:rsid w:val="0085237B"/>
    <w:rsid w:val="00853A98"/>
    <w:rsid w:val="008709BF"/>
    <w:rsid w:val="008712D8"/>
    <w:rsid w:val="00873CEF"/>
    <w:rsid w:val="00873F61"/>
    <w:rsid w:val="00874009"/>
    <w:rsid w:val="00883810"/>
    <w:rsid w:val="008844C3"/>
    <w:rsid w:val="008877E5"/>
    <w:rsid w:val="00887BD6"/>
    <w:rsid w:val="00890DBF"/>
    <w:rsid w:val="0089189B"/>
    <w:rsid w:val="008A5076"/>
    <w:rsid w:val="008B1C6F"/>
    <w:rsid w:val="008B268D"/>
    <w:rsid w:val="008B5966"/>
    <w:rsid w:val="008B7624"/>
    <w:rsid w:val="008C1707"/>
    <w:rsid w:val="008C65FC"/>
    <w:rsid w:val="008D3210"/>
    <w:rsid w:val="008D41A7"/>
    <w:rsid w:val="008D5756"/>
    <w:rsid w:val="008D7512"/>
    <w:rsid w:val="008E3D1F"/>
    <w:rsid w:val="008F2D83"/>
    <w:rsid w:val="008F3226"/>
    <w:rsid w:val="008F783A"/>
    <w:rsid w:val="0090075C"/>
    <w:rsid w:val="00904317"/>
    <w:rsid w:val="00911381"/>
    <w:rsid w:val="009167BD"/>
    <w:rsid w:val="0092188D"/>
    <w:rsid w:val="0092590A"/>
    <w:rsid w:val="00925DA0"/>
    <w:rsid w:val="00930E0E"/>
    <w:rsid w:val="00930F20"/>
    <w:rsid w:val="009357E8"/>
    <w:rsid w:val="00954CB9"/>
    <w:rsid w:val="00963D56"/>
    <w:rsid w:val="00967D7F"/>
    <w:rsid w:val="009711D2"/>
    <w:rsid w:val="0097262E"/>
    <w:rsid w:val="0097756C"/>
    <w:rsid w:val="00982290"/>
    <w:rsid w:val="0098388D"/>
    <w:rsid w:val="009A2939"/>
    <w:rsid w:val="009A36A5"/>
    <w:rsid w:val="009A74A4"/>
    <w:rsid w:val="009A798D"/>
    <w:rsid w:val="009B13D5"/>
    <w:rsid w:val="009B149E"/>
    <w:rsid w:val="009B50EF"/>
    <w:rsid w:val="009B5474"/>
    <w:rsid w:val="009C147B"/>
    <w:rsid w:val="009C6F0B"/>
    <w:rsid w:val="009D468E"/>
    <w:rsid w:val="009D655E"/>
    <w:rsid w:val="009E2CC5"/>
    <w:rsid w:val="009F10B5"/>
    <w:rsid w:val="009F200E"/>
    <w:rsid w:val="009F2872"/>
    <w:rsid w:val="009F3C8E"/>
    <w:rsid w:val="00A0397F"/>
    <w:rsid w:val="00A05B71"/>
    <w:rsid w:val="00A11E4A"/>
    <w:rsid w:val="00A236C7"/>
    <w:rsid w:val="00A24948"/>
    <w:rsid w:val="00A30875"/>
    <w:rsid w:val="00A34138"/>
    <w:rsid w:val="00A367BB"/>
    <w:rsid w:val="00A42F47"/>
    <w:rsid w:val="00A462A2"/>
    <w:rsid w:val="00A46E03"/>
    <w:rsid w:val="00A51EEA"/>
    <w:rsid w:val="00A52F42"/>
    <w:rsid w:val="00A543FF"/>
    <w:rsid w:val="00A61D13"/>
    <w:rsid w:val="00A653DD"/>
    <w:rsid w:val="00A7035E"/>
    <w:rsid w:val="00A7205A"/>
    <w:rsid w:val="00A7623D"/>
    <w:rsid w:val="00A83119"/>
    <w:rsid w:val="00A83FE7"/>
    <w:rsid w:val="00A845DC"/>
    <w:rsid w:val="00A84751"/>
    <w:rsid w:val="00A86228"/>
    <w:rsid w:val="00A938D2"/>
    <w:rsid w:val="00A93D6E"/>
    <w:rsid w:val="00A977C3"/>
    <w:rsid w:val="00AA36F9"/>
    <w:rsid w:val="00AA4621"/>
    <w:rsid w:val="00AB2CA2"/>
    <w:rsid w:val="00AB4EC4"/>
    <w:rsid w:val="00AB6879"/>
    <w:rsid w:val="00AB7F6D"/>
    <w:rsid w:val="00AC1743"/>
    <w:rsid w:val="00AC7708"/>
    <w:rsid w:val="00AC7E9A"/>
    <w:rsid w:val="00AD0A2A"/>
    <w:rsid w:val="00AD1788"/>
    <w:rsid w:val="00AD4461"/>
    <w:rsid w:val="00AE6590"/>
    <w:rsid w:val="00AE767A"/>
    <w:rsid w:val="00AE7F49"/>
    <w:rsid w:val="00AF0691"/>
    <w:rsid w:val="00AF3138"/>
    <w:rsid w:val="00AF3FF5"/>
    <w:rsid w:val="00AF572B"/>
    <w:rsid w:val="00AF67CF"/>
    <w:rsid w:val="00B002BB"/>
    <w:rsid w:val="00B262FF"/>
    <w:rsid w:val="00B30EA7"/>
    <w:rsid w:val="00B31BAA"/>
    <w:rsid w:val="00B344FC"/>
    <w:rsid w:val="00B3683A"/>
    <w:rsid w:val="00B37B2D"/>
    <w:rsid w:val="00B4048D"/>
    <w:rsid w:val="00B41016"/>
    <w:rsid w:val="00B47B6B"/>
    <w:rsid w:val="00B511A9"/>
    <w:rsid w:val="00B54B1B"/>
    <w:rsid w:val="00B65BE4"/>
    <w:rsid w:val="00B6697E"/>
    <w:rsid w:val="00B75457"/>
    <w:rsid w:val="00B7657D"/>
    <w:rsid w:val="00B9139F"/>
    <w:rsid w:val="00BA20E2"/>
    <w:rsid w:val="00BA2AD5"/>
    <w:rsid w:val="00BA3F9C"/>
    <w:rsid w:val="00BA50D5"/>
    <w:rsid w:val="00BA6577"/>
    <w:rsid w:val="00BB2438"/>
    <w:rsid w:val="00BB2470"/>
    <w:rsid w:val="00BB509A"/>
    <w:rsid w:val="00BB7B6F"/>
    <w:rsid w:val="00BC02C7"/>
    <w:rsid w:val="00BC4632"/>
    <w:rsid w:val="00BC55FF"/>
    <w:rsid w:val="00BE1458"/>
    <w:rsid w:val="00BE33C8"/>
    <w:rsid w:val="00BE3E7C"/>
    <w:rsid w:val="00BF5807"/>
    <w:rsid w:val="00BF5E71"/>
    <w:rsid w:val="00C01678"/>
    <w:rsid w:val="00C17EFD"/>
    <w:rsid w:val="00C23340"/>
    <w:rsid w:val="00C34A02"/>
    <w:rsid w:val="00C428B7"/>
    <w:rsid w:val="00C4395E"/>
    <w:rsid w:val="00C46F8F"/>
    <w:rsid w:val="00C502B0"/>
    <w:rsid w:val="00C54664"/>
    <w:rsid w:val="00C572EB"/>
    <w:rsid w:val="00C5766C"/>
    <w:rsid w:val="00C70F45"/>
    <w:rsid w:val="00C71987"/>
    <w:rsid w:val="00C73F43"/>
    <w:rsid w:val="00C776BD"/>
    <w:rsid w:val="00C80622"/>
    <w:rsid w:val="00C80C2A"/>
    <w:rsid w:val="00C8157B"/>
    <w:rsid w:val="00C820DA"/>
    <w:rsid w:val="00C8535A"/>
    <w:rsid w:val="00C857FC"/>
    <w:rsid w:val="00C8679F"/>
    <w:rsid w:val="00C92821"/>
    <w:rsid w:val="00CA1A26"/>
    <w:rsid w:val="00CA4715"/>
    <w:rsid w:val="00CB0A7E"/>
    <w:rsid w:val="00CB233B"/>
    <w:rsid w:val="00CB4809"/>
    <w:rsid w:val="00CB495B"/>
    <w:rsid w:val="00CC3386"/>
    <w:rsid w:val="00CD2B0D"/>
    <w:rsid w:val="00CD42C0"/>
    <w:rsid w:val="00CE6DBC"/>
    <w:rsid w:val="00CE71FB"/>
    <w:rsid w:val="00CE77AD"/>
    <w:rsid w:val="00CE7D1E"/>
    <w:rsid w:val="00D045EC"/>
    <w:rsid w:val="00D17348"/>
    <w:rsid w:val="00D204F2"/>
    <w:rsid w:val="00D23F04"/>
    <w:rsid w:val="00D24437"/>
    <w:rsid w:val="00D3682C"/>
    <w:rsid w:val="00D46433"/>
    <w:rsid w:val="00D57812"/>
    <w:rsid w:val="00D60BBA"/>
    <w:rsid w:val="00D618D5"/>
    <w:rsid w:val="00D62788"/>
    <w:rsid w:val="00D64822"/>
    <w:rsid w:val="00D6484E"/>
    <w:rsid w:val="00D66AB8"/>
    <w:rsid w:val="00D66D43"/>
    <w:rsid w:val="00D71692"/>
    <w:rsid w:val="00D74BCE"/>
    <w:rsid w:val="00D77BD3"/>
    <w:rsid w:val="00D80E5B"/>
    <w:rsid w:val="00D840C6"/>
    <w:rsid w:val="00D84383"/>
    <w:rsid w:val="00D92478"/>
    <w:rsid w:val="00D937B8"/>
    <w:rsid w:val="00D96BFB"/>
    <w:rsid w:val="00D9717B"/>
    <w:rsid w:val="00D97303"/>
    <w:rsid w:val="00DA210C"/>
    <w:rsid w:val="00DA2ED0"/>
    <w:rsid w:val="00DA6555"/>
    <w:rsid w:val="00DB774C"/>
    <w:rsid w:val="00DC0502"/>
    <w:rsid w:val="00DC05B3"/>
    <w:rsid w:val="00DC19CB"/>
    <w:rsid w:val="00DC434F"/>
    <w:rsid w:val="00DC74E7"/>
    <w:rsid w:val="00DD0C55"/>
    <w:rsid w:val="00DD2EFA"/>
    <w:rsid w:val="00DD4EF1"/>
    <w:rsid w:val="00DF059B"/>
    <w:rsid w:val="00DF4857"/>
    <w:rsid w:val="00E0079A"/>
    <w:rsid w:val="00E040AF"/>
    <w:rsid w:val="00E04ACD"/>
    <w:rsid w:val="00E05F64"/>
    <w:rsid w:val="00E13150"/>
    <w:rsid w:val="00E308D0"/>
    <w:rsid w:val="00E31648"/>
    <w:rsid w:val="00E32BEE"/>
    <w:rsid w:val="00E36030"/>
    <w:rsid w:val="00E3730C"/>
    <w:rsid w:val="00E40F22"/>
    <w:rsid w:val="00E42397"/>
    <w:rsid w:val="00E453A6"/>
    <w:rsid w:val="00E52063"/>
    <w:rsid w:val="00E607A7"/>
    <w:rsid w:val="00E62286"/>
    <w:rsid w:val="00E64549"/>
    <w:rsid w:val="00E7251F"/>
    <w:rsid w:val="00E732A3"/>
    <w:rsid w:val="00E83DD0"/>
    <w:rsid w:val="00E907F7"/>
    <w:rsid w:val="00E917A4"/>
    <w:rsid w:val="00E92762"/>
    <w:rsid w:val="00E95A84"/>
    <w:rsid w:val="00E970B4"/>
    <w:rsid w:val="00EA0CDC"/>
    <w:rsid w:val="00EA2C9B"/>
    <w:rsid w:val="00EA34B2"/>
    <w:rsid w:val="00EA7031"/>
    <w:rsid w:val="00EB012A"/>
    <w:rsid w:val="00EB52C6"/>
    <w:rsid w:val="00EC0AC6"/>
    <w:rsid w:val="00EC0E69"/>
    <w:rsid w:val="00EC75B4"/>
    <w:rsid w:val="00ED02EE"/>
    <w:rsid w:val="00EE50FA"/>
    <w:rsid w:val="00EE542C"/>
    <w:rsid w:val="00EE5848"/>
    <w:rsid w:val="00EE6149"/>
    <w:rsid w:val="00EE6216"/>
    <w:rsid w:val="00EF0CE9"/>
    <w:rsid w:val="00EF0DA9"/>
    <w:rsid w:val="00EF1BD4"/>
    <w:rsid w:val="00EF45DF"/>
    <w:rsid w:val="00EF615E"/>
    <w:rsid w:val="00F01749"/>
    <w:rsid w:val="00F03F94"/>
    <w:rsid w:val="00F0604D"/>
    <w:rsid w:val="00F1171C"/>
    <w:rsid w:val="00F1488D"/>
    <w:rsid w:val="00F14EC8"/>
    <w:rsid w:val="00F22FE8"/>
    <w:rsid w:val="00F32EB3"/>
    <w:rsid w:val="00F34236"/>
    <w:rsid w:val="00F37FF3"/>
    <w:rsid w:val="00F41B26"/>
    <w:rsid w:val="00F55BDA"/>
    <w:rsid w:val="00F65E1F"/>
    <w:rsid w:val="00F70406"/>
    <w:rsid w:val="00F8062B"/>
    <w:rsid w:val="00F80FB0"/>
    <w:rsid w:val="00F81586"/>
    <w:rsid w:val="00F87D4A"/>
    <w:rsid w:val="00F919C1"/>
    <w:rsid w:val="00F94ABD"/>
    <w:rsid w:val="00F95B23"/>
    <w:rsid w:val="00FB2348"/>
    <w:rsid w:val="00FB2B42"/>
    <w:rsid w:val="00FB3240"/>
    <w:rsid w:val="00FC36F7"/>
    <w:rsid w:val="00FC4567"/>
    <w:rsid w:val="00FD6DAA"/>
    <w:rsid w:val="00FE12AE"/>
    <w:rsid w:val="00FE376F"/>
    <w:rsid w:val="012375FA"/>
    <w:rsid w:val="012617C3"/>
    <w:rsid w:val="013810AF"/>
    <w:rsid w:val="01546A41"/>
    <w:rsid w:val="016320EC"/>
    <w:rsid w:val="016C07AD"/>
    <w:rsid w:val="01784504"/>
    <w:rsid w:val="017B4E8F"/>
    <w:rsid w:val="017E6F26"/>
    <w:rsid w:val="01A3073B"/>
    <w:rsid w:val="01AA4EAC"/>
    <w:rsid w:val="023F4984"/>
    <w:rsid w:val="02551B85"/>
    <w:rsid w:val="02564B51"/>
    <w:rsid w:val="026D185A"/>
    <w:rsid w:val="0270382A"/>
    <w:rsid w:val="027475EC"/>
    <w:rsid w:val="02753E85"/>
    <w:rsid w:val="0286368E"/>
    <w:rsid w:val="02922A4D"/>
    <w:rsid w:val="02DD029C"/>
    <w:rsid w:val="02E81030"/>
    <w:rsid w:val="030727B5"/>
    <w:rsid w:val="030B3033"/>
    <w:rsid w:val="031306A7"/>
    <w:rsid w:val="0315214D"/>
    <w:rsid w:val="031F3302"/>
    <w:rsid w:val="032E3D8C"/>
    <w:rsid w:val="033E696D"/>
    <w:rsid w:val="033F485F"/>
    <w:rsid w:val="034D4E02"/>
    <w:rsid w:val="03506B28"/>
    <w:rsid w:val="03547F3F"/>
    <w:rsid w:val="0360322E"/>
    <w:rsid w:val="03662882"/>
    <w:rsid w:val="036839EA"/>
    <w:rsid w:val="036F14BD"/>
    <w:rsid w:val="037C1244"/>
    <w:rsid w:val="037C1B4A"/>
    <w:rsid w:val="03822CFE"/>
    <w:rsid w:val="03855C7E"/>
    <w:rsid w:val="039463D3"/>
    <w:rsid w:val="03B54542"/>
    <w:rsid w:val="03B7035E"/>
    <w:rsid w:val="03CA7E0E"/>
    <w:rsid w:val="03E94F8E"/>
    <w:rsid w:val="03EC7108"/>
    <w:rsid w:val="03F64D56"/>
    <w:rsid w:val="04060F42"/>
    <w:rsid w:val="0431202E"/>
    <w:rsid w:val="04640655"/>
    <w:rsid w:val="0471592F"/>
    <w:rsid w:val="04745EB1"/>
    <w:rsid w:val="047563BF"/>
    <w:rsid w:val="04760943"/>
    <w:rsid w:val="048115F1"/>
    <w:rsid w:val="04A94967"/>
    <w:rsid w:val="04A951C5"/>
    <w:rsid w:val="04C95EF8"/>
    <w:rsid w:val="04CD1713"/>
    <w:rsid w:val="04D26C19"/>
    <w:rsid w:val="05111DAD"/>
    <w:rsid w:val="052D0A47"/>
    <w:rsid w:val="052E64EB"/>
    <w:rsid w:val="055B4494"/>
    <w:rsid w:val="058352A9"/>
    <w:rsid w:val="05881E3A"/>
    <w:rsid w:val="05A53AC5"/>
    <w:rsid w:val="05B13057"/>
    <w:rsid w:val="05B42801"/>
    <w:rsid w:val="05B946DB"/>
    <w:rsid w:val="05E05ABA"/>
    <w:rsid w:val="05E50295"/>
    <w:rsid w:val="05F55289"/>
    <w:rsid w:val="0603061C"/>
    <w:rsid w:val="061013A2"/>
    <w:rsid w:val="06175254"/>
    <w:rsid w:val="06355343"/>
    <w:rsid w:val="064504DC"/>
    <w:rsid w:val="065344DE"/>
    <w:rsid w:val="065703B9"/>
    <w:rsid w:val="066962D7"/>
    <w:rsid w:val="06813F88"/>
    <w:rsid w:val="06B45389"/>
    <w:rsid w:val="06B83EA4"/>
    <w:rsid w:val="06BA7F39"/>
    <w:rsid w:val="06CE258E"/>
    <w:rsid w:val="06D70E11"/>
    <w:rsid w:val="06E67D12"/>
    <w:rsid w:val="07026731"/>
    <w:rsid w:val="07100621"/>
    <w:rsid w:val="072D7C3C"/>
    <w:rsid w:val="073312BA"/>
    <w:rsid w:val="07520C39"/>
    <w:rsid w:val="075A7AEE"/>
    <w:rsid w:val="07A1571D"/>
    <w:rsid w:val="07DE5732"/>
    <w:rsid w:val="07E001E3"/>
    <w:rsid w:val="08337756"/>
    <w:rsid w:val="085B58CB"/>
    <w:rsid w:val="0865578D"/>
    <w:rsid w:val="0886622F"/>
    <w:rsid w:val="08BD676D"/>
    <w:rsid w:val="08CA4C07"/>
    <w:rsid w:val="09093579"/>
    <w:rsid w:val="09207704"/>
    <w:rsid w:val="09464F61"/>
    <w:rsid w:val="094729BD"/>
    <w:rsid w:val="095264E5"/>
    <w:rsid w:val="09670057"/>
    <w:rsid w:val="0972399A"/>
    <w:rsid w:val="09C676BC"/>
    <w:rsid w:val="09E82B0F"/>
    <w:rsid w:val="09EA33AB"/>
    <w:rsid w:val="09EA39F6"/>
    <w:rsid w:val="0A12656B"/>
    <w:rsid w:val="0A1F0DB5"/>
    <w:rsid w:val="0A2001BE"/>
    <w:rsid w:val="0A2C5771"/>
    <w:rsid w:val="0A3A3B56"/>
    <w:rsid w:val="0A6F38B0"/>
    <w:rsid w:val="0A897568"/>
    <w:rsid w:val="0AA3355A"/>
    <w:rsid w:val="0AC01B2F"/>
    <w:rsid w:val="0AC91212"/>
    <w:rsid w:val="0AEC4F01"/>
    <w:rsid w:val="0B22064F"/>
    <w:rsid w:val="0B220922"/>
    <w:rsid w:val="0B447B21"/>
    <w:rsid w:val="0B45008E"/>
    <w:rsid w:val="0B495EAF"/>
    <w:rsid w:val="0B8213C1"/>
    <w:rsid w:val="0B8E5735"/>
    <w:rsid w:val="0BA46261"/>
    <w:rsid w:val="0BDF05C2"/>
    <w:rsid w:val="0BE333E9"/>
    <w:rsid w:val="0BF277E3"/>
    <w:rsid w:val="0BF91683"/>
    <w:rsid w:val="0C215260"/>
    <w:rsid w:val="0C290057"/>
    <w:rsid w:val="0C4A697C"/>
    <w:rsid w:val="0CB65D04"/>
    <w:rsid w:val="0CC7352F"/>
    <w:rsid w:val="0CD10852"/>
    <w:rsid w:val="0CDD4579"/>
    <w:rsid w:val="0CEA0261"/>
    <w:rsid w:val="0D1C7D1F"/>
    <w:rsid w:val="0D3C38BF"/>
    <w:rsid w:val="0D676AC1"/>
    <w:rsid w:val="0D810CB5"/>
    <w:rsid w:val="0DC33118"/>
    <w:rsid w:val="0DC5015A"/>
    <w:rsid w:val="0DCE08EE"/>
    <w:rsid w:val="0DCE6B40"/>
    <w:rsid w:val="0DF843DB"/>
    <w:rsid w:val="0E06678C"/>
    <w:rsid w:val="0E1516DC"/>
    <w:rsid w:val="0E285928"/>
    <w:rsid w:val="0E2C2B37"/>
    <w:rsid w:val="0E3422FD"/>
    <w:rsid w:val="0E3E1638"/>
    <w:rsid w:val="0E802453"/>
    <w:rsid w:val="0E8419DF"/>
    <w:rsid w:val="0E8536A2"/>
    <w:rsid w:val="0E8B4A92"/>
    <w:rsid w:val="0E8D1CD1"/>
    <w:rsid w:val="0E8D69FB"/>
    <w:rsid w:val="0EA039FB"/>
    <w:rsid w:val="0EA87391"/>
    <w:rsid w:val="0EA93835"/>
    <w:rsid w:val="0EB61AAE"/>
    <w:rsid w:val="0EBB474D"/>
    <w:rsid w:val="0EC3241C"/>
    <w:rsid w:val="0EC341CA"/>
    <w:rsid w:val="0EDA7072"/>
    <w:rsid w:val="0EE16D35"/>
    <w:rsid w:val="0EF54B6B"/>
    <w:rsid w:val="0EF54D21"/>
    <w:rsid w:val="0F16079E"/>
    <w:rsid w:val="0F3D5D2B"/>
    <w:rsid w:val="0F725DC4"/>
    <w:rsid w:val="0F7335C5"/>
    <w:rsid w:val="0F7A6F7F"/>
    <w:rsid w:val="0F810A2B"/>
    <w:rsid w:val="0F900551"/>
    <w:rsid w:val="0F937B15"/>
    <w:rsid w:val="0FA649E0"/>
    <w:rsid w:val="0FA9329A"/>
    <w:rsid w:val="0FAB7138"/>
    <w:rsid w:val="0FB35296"/>
    <w:rsid w:val="0FBF2FB7"/>
    <w:rsid w:val="0FD03282"/>
    <w:rsid w:val="0FDB3CB0"/>
    <w:rsid w:val="0FDC19E8"/>
    <w:rsid w:val="0FFC7697"/>
    <w:rsid w:val="0FFF1232"/>
    <w:rsid w:val="102E580A"/>
    <w:rsid w:val="10643CCA"/>
    <w:rsid w:val="106A6FF4"/>
    <w:rsid w:val="106D6219"/>
    <w:rsid w:val="10BB7585"/>
    <w:rsid w:val="10C53AD6"/>
    <w:rsid w:val="10CC55B8"/>
    <w:rsid w:val="10D60B3D"/>
    <w:rsid w:val="10DC4F31"/>
    <w:rsid w:val="10E548CC"/>
    <w:rsid w:val="10EF574B"/>
    <w:rsid w:val="10F62523"/>
    <w:rsid w:val="110E3E23"/>
    <w:rsid w:val="113644D2"/>
    <w:rsid w:val="113D2012"/>
    <w:rsid w:val="115A1A13"/>
    <w:rsid w:val="115A7460"/>
    <w:rsid w:val="116F12D7"/>
    <w:rsid w:val="117B5624"/>
    <w:rsid w:val="117C6387"/>
    <w:rsid w:val="117D33E9"/>
    <w:rsid w:val="119971CD"/>
    <w:rsid w:val="11AE4CBE"/>
    <w:rsid w:val="11B57B67"/>
    <w:rsid w:val="11F56D91"/>
    <w:rsid w:val="123F1DBA"/>
    <w:rsid w:val="125D0492"/>
    <w:rsid w:val="126D1954"/>
    <w:rsid w:val="12816876"/>
    <w:rsid w:val="12C375EF"/>
    <w:rsid w:val="12C37CA8"/>
    <w:rsid w:val="12C94975"/>
    <w:rsid w:val="12CA561E"/>
    <w:rsid w:val="12D124A1"/>
    <w:rsid w:val="12EC6EE1"/>
    <w:rsid w:val="12F31522"/>
    <w:rsid w:val="12F61623"/>
    <w:rsid w:val="130A362E"/>
    <w:rsid w:val="130E4C12"/>
    <w:rsid w:val="13233EED"/>
    <w:rsid w:val="13407773"/>
    <w:rsid w:val="13441D7E"/>
    <w:rsid w:val="134D74D4"/>
    <w:rsid w:val="13542DF8"/>
    <w:rsid w:val="1376180B"/>
    <w:rsid w:val="137B0804"/>
    <w:rsid w:val="139D2D1B"/>
    <w:rsid w:val="13A201F4"/>
    <w:rsid w:val="13CA1BEF"/>
    <w:rsid w:val="13CB7DA9"/>
    <w:rsid w:val="13ED1BA2"/>
    <w:rsid w:val="140D6FAA"/>
    <w:rsid w:val="141F0095"/>
    <w:rsid w:val="141F00F5"/>
    <w:rsid w:val="14213E6D"/>
    <w:rsid w:val="143E2110"/>
    <w:rsid w:val="14416EB1"/>
    <w:rsid w:val="145A23BC"/>
    <w:rsid w:val="14693DEC"/>
    <w:rsid w:val="147E0B09"/>
    <w:rsid w:val="148113AA"/>
    <w:rsid w:val="14897E4C"/>
    <w:rsid w:val="14956609"/>
    <w:rsid w:val="149A3343"/>
    <w:rsid w:val="14AA7F19"/>
    <w:rsid w:val="14B52807"/>
    <w:rsid w:val="14C01F6E"/>
    <w:rsid w:val="14D902A4"/>
    <w:rsid w:val="14DE3DD7"/>
    <w:rsid w:val="15253679"/>
    <w:rsid w:val="1541573B"/>
    <w:rsid w:val="1553598C"/>
    <w:rsid w:val="15595889"/>
    <w:rsid w:val="15747FCD"/>
    <w:rsid w:val="159A1CC4"/>
    <w:rsid w:val="15A66514"/>
    <w:rsid w:val="15B351E1"/>
    <w:rsid w:val="15C03212"/>
    <w:rsid w:val="15CB6525"/>
    <w:rsid w:val="15EA64E1"/>
    <w:rsid w:val="160B0931"/>
    <w:rsid w:val="16341C65"/>
    <w:rsid w:val="1638724C"/>
    <w:rsid w:val="16390B2A"/>
    <w:rsid w:val="163D20FF"/>
    <w:rsid w:val="16492D73"/>
    <w:rsid w:val="16612C47"/>
    <w:rsid w:val="166242C9"/>
    <w:rsid w:val="16670DD7"/>
    <w:rsid w:val="166D15EC"/>
    <w:rsid w:val="166D65D9"/>
    <w:rsid w:val="16846935"/>
    <w:rsid w:val="16AA6A67"/>
    <w:rsid w:val="16D1671C"/>
    <w:rsid w:val="16DC3460"/>
    <w:rsid w:val="16EC3A09"/>
    <w:rsid w:val="16F37B9A"/>
    <w:rsid w:val="170D6313"/>
    <w:rsid w:val="170F76ED"/>
    <w:rsid w:val="171E4694"/>
    <w:rsid w:val="172C7339"/>
    <w:rsid w:val="1744335B"/>
    <w:rsid w:val="17492104"/>
    <w:rsid w:val="17802201"/>
    <w:rsid w:val="178502B5"/>
    <w:rsid w:val="178937FF"/>
    <w:rsid w:val="17A07677"/>
    <w:rsid w:val="17B0170E"/>
    <w:rsid w:val="17CC6FD9"/>
    <w:rsid w:val="17E3111F"/>
    <w:rsid w:val="180C6BE2"/>
    <w:rsid w:val="182D40BB"/>
    <w:rsid w:val="183879D7"/>
    <w:rsid w:val="183B2A6B"/>
    <w:rsid w:val="185F4F64"/>
    <w:rsid w:val="18633981"/>
    <w:rsid w:val="187E44D2"/>
    <w:rsid w:val="18972950"/>
    <w:rsid w:val="1899430D"/>
    <w:rsid w:val="18D53478"/>
    <w:rsid w:val="18DB509A"/>
    <w:rsid w:val="18E53E06"/>
    <w:rsid w:val="18E722AD"/>
    <w:rsid w:val="18F331DF"/>
    <w:rsid w:val="18F549A8"/>
    <w:rsid w:val="19045B0B"/>
    <w:rsid w:val="191B532F"/>
    <w:rsid w:val="192B2350"/>
    <w:rsid w:val="193957B5"/>
    <w:rsid w:val="194D230F"/>
    <w:rsid w:val="195C449A"/>
    <w:rsid w:val="19645B6B"/>
    <w:rsid w:val="19AF1F1B"/>
    <w:rsid w:val="19B250B4"/>
    <w:rsid w:val="19E33D6F"/>
    <w:rsid w:val="1A0A7151"/>
    <w:rsid w:val="1A197394"/>
    <w:rsid w:val="1A2521DD"/>
    <w:rsid w:val="1A292FD3"/>
    <w:rsid w:val="1A330456"/>
    <w:rsid w:val="1A425633"/>
    <w:rsid w:val="1A4A57A0"/>
    <w:rsid w:val="1A6F204B"/>
    <w:rsid w:val="1A6F7C3E"/>
    <w:rsid w:val="1A7A42D7"/>
    <w:rsid w:val="1A7E1388"/>
    <w:rsid w:val="1A8444B2"/>
    <w:rsid w:val="1A853D75"/>
    <w:rsid w:val="1AA9696A"/>
    <w:rsid w:val="1ABB61FB"/>
    <w:rsid w:val="1AE600F4"/>
    <w:rsid w:val="1AEF6C50"/>
    <w:rsid w:val="1AFD2812"/>
    <w:rsid w:val="1B1F13D0"/>
    <w:rsid w:val="1B4D72F6"/>
    <w:rsid w:val="1B55264E"/>
    <w:rsid w:val="1B8173C3"/>
    <w:rsid w:val="1B9B6A0B"/>
    <w:rsid w:val="1BA535D6"/>
    <w:rsid w:val="1BAA4748"/>
    <w:rsid w:val="1BB45658"/>
    <w:rsid w:val="1BB630ED"/>
    <w:rsid w:val="1BC1042C"/>
    <w:rsid w:val="1BD94E2F"/>
    <w:rsid w:val="1BEF4851"/>
    <w:rsid w:val="1C507C76"/>
    <w:rsid w:val="1C512E16"/>
    <w:rsid w:val="1C884DD7"/>
    <w:rsid w:val="1C8C02F2"/>
    <w:rsid w:val="1C8E7BC6"/>
    <w:rsid w:val="1CB735C0"/>
    <w:rsid w:val="1CC574E2"/>
    <w:rsid w:val="1CCC20E5"/>
    <w:rsid w:val="1CDD1006"/>
    <w:rsid w:val="1CEF4EA0"/>
    <w:rsid w:val="1D0910E5"/>
    <w:rsid w:val="1D117B98"/>
    <w:rsid w:val="1D1502E7"/>
    <w:rsid w:val="1D156539"/>
    <w:rsid w:val="1D202768"/>
    <w:rsid w:val="1D271DC8"/>
    <w:rsid w:val="1D273130"/>
    <w:rsid w:val="1D301902"/>
    <w:rsid w:val="1D3A21FB"/>
    <w:rsid w:val="1D3C1D18"/>
    <w:rsid w:val="1D465F18"/>
    <w:rsid w:val="1D691539"/>
    <w:rsid w:val="1D8E363E"/>
    <w:rsid w:val="1D9C4C7C"/>
    <w:rsid w:val="1DA03EEE"/>
    <w:rsid w:val="1DA30EAE"/>
    <w:rsid w:val="1DAA0909"/>
    <w:rsid w:val="1DC64DF4"/>
    <w:rsid w:val="1DFB4A39"/>
    <w:rsid w:val="1E05035C"/>
    <w:rsid w:val="1E2243A0"/>
    <w:rsid w:val="1E2E1F24"/>
    <w:rsid w:val="1E36109D"/>
    <w:rsid w:val="1E4C7CB2"/>
    <w:rsid w:val="1E7772A0"/>
    <w:rsid w:val="1E7E1164"/>
    <w:rsid w:val="1E8E65A3"/>
    <w:rsid w:val="1EA45806"/>
    <w:rsid w:val="1ECB20C9"/>
    <w:rsid w:val="1ECE462E"/>
    <w:rsid w:val="1EDD6BE3"/>
    <w:rsid w:val="1EF02DBA"/>
    <w:rsid w:val="1F0B4912"/>
    <w:rsid w:val="1F1D22DF"/>
    <w:rsid w:val="1F316F2E"/>
    <w:rsid w:val="1F481CE3"/>
    <w:rsid w:val="1F4849A4"/>
    <w:rsid w:val="1F4E2C02"/>
    <w:rsid w:val="1F603ED3"/>
    <w:rsid w:val="1F95570F"/>
    <w:rsid w:val="1FA37E2C"/>
    <w:rsid w:val="1FAB4F33"/>
    <w:rsid w:val="1FB30D56"/>
    <w:rsid w:val="1FBB6672"/>
    <w:rsid w:val="1FE3088A"/>
    <w:rsid w:val="1FE30F60"/>
    <w:rsid w:val="1FEA0742"/>
    <w:rsid w:val="1FF57AD7"/>
    <w:rsid w:val="1FFD5EBF"/>
    <w:rsid w:val="20044690"/>
    <w:rsid w:val="2007660D"/>
    <w:rsid w:val="200C59D1"/>
    <w:rsid w:val="200F7CB6"/>
    <w:rsid w:val="20112FE8"/>
    <w:rsid w:val="204431AA"/>
    <w:rsid w:val="20607C32"/>
    <w:rsid w:val="206F5549"/>
    <w:rsid w:val="208732AA"/>
    <w:rsid w:val="20932183"/>
    <w:rsid w:val="20AF647A"/>
    <w:rsid w:val="20D34C97"/>
    <w:rsid w:val="20F35916"/>
    <w:rsid w:val="20F55112"/>
    <w:rsid w:val="20F871F2"/>
    <w:rsid w:val="21011147"/>
    <w:rsid w:val="210A7A37"/>
    <w:rsid w:val="21224D81"/>
    <w:rsid w:val="213114BA"/>
    <w:rsid w:val="213A36FB"/>
    <w:rsid w:val="21461012"/>
    <w:rsid w:val="214935DA"/>
    <w:rsid w:val="21510D91"/>
    <w:rsid w:val="215E2BCE"/>
    <w:rsid w:val="21744E01"/>
    <w:rsid w:val="21835AB5"/>
    <w:rsid w:val="21852C8B"/>
    <w:rsid w:val="2190131F"/>
    <w:rsid w:val="21BA3F9F"/>
    <w:rsid w:val="21CF215F"/>
    <w:rsid w:val="21DB48C2"/>
    <w:rsid w:val="21EE48C0"/>
    <w:rsid w:val="21F20BF7"/>
    <w:rsid w:val="22034BB2"/>
    <w:rsid w:val="22094789"/>
    <w:rsid w:val="221A3D42"/>
    <w:rsid w:val="221E2873"/>
    <w:rsid w:val="2229591A"/>
    <w:rsid w:val="2238786B"/>
    <w:rsid w:val="225673D8"/>
    <w:rsid w:val="226A4C31"/>
    <w:rsid w:val="228925DB"/>
    <w:rsid w:val="229B4DEB"/>
    <w:rsid w:val="229E2B2D"/>
    <w:rsid w:val="22A44E77"/>
    <w:rsid w:val="22D87DED"/>
    <w:rsid w:val="22E25109"/>
    <w:rsid w:val="231777D5"/>
    <w:rsid w:val="234D171A"/>
    <w:rsid w:val="23611AE3"/>
    <w:rsid w:val="236614AF"/>
    <w:rsid w:val="2369313B"/>
    <w:rsid w:val="236B2721"/>
    <w:rsid w:val="23730FC9"/>
    <w:rsid w:val="23966F9F"/>
    <w:rsid w:val="239911F4"/>
    <w:rsid w:val="23AA344D"/>
    <w:rsid w:val="23BB652D"/>
    <w:rsid w:val="23C60266"/>
    <w:rsid w:val="23D94F43"/>
    <w:rsid w:val="23F61D2C"/>
    <w:rsid w:val="23F873F7"/>
    <w:rsid w:val="24327310"/>
    <w:rsid w:val="243B47C7"/>
    <w:rsid w:val="246B4C91"/>
    <w:rsid w:val="24727DCD"/>
    <w:rsid w:val="24765B0F"/>
    <w:rsid w:val="24855D52"/>
    <w:rsid w:val="248A3369"/>
    <w:rsid w:val="249113C9"/>
    <w:rsid w:val="24AC1531"/>
    <w:rsid w:val="24DE5462"/>
    <w:rsid w:val="24E26528"/>
    <w:rsid w:val="24ED6CA2"/>
    <w:rsid w:val="24F44C86"/>
    <w:rsid w:val="251A293E"/>
    <w:rsid w:val="251F40F9"/>
    <w:rsid w:val="253B4663"/>
    <w:rsid w:val="255106D6"/>
    <w:rsid w:val="256533FF"/>
    <w:rsid w:val="25685D6E"/>
    <w:rsid w:val="257E0D99"/>
    <w:rsid w:val="25835FBC"/>
    <w:rsid w:val="25965D3D"/>
    <w:rsid w:val="25A12DD9"/>
    <w:rsid w:val="25C26B32"/>
    <w:rsid w:val="25C86273"/>
    <w:rsid w:val="25CB20DE"/>
    <w:rsid w:val="25DA49E2"/>
    <w:rsid w:val="26233A75"/>
    <w:rsid w:val="26445310"/>
    <w:rsid w:val="266F5B75"/>
    <w:rsid w:val="268061B4"/>
    <w:rsid w:val="269229A8"/>
    <w:rsid w:val="26CB663D"/>
    <w:rsid w:val="26CC5EBA"/>
    <w:rsid w:val="26D23C48"/>
    <w:rsid w:val="26DA3F62"/>
    <w:rsid w:val="26E01966"/>
    <w:rsid w:val="26E34FB2"/>
    <w:rsid w:val="26F253E2"/>
    <w:rsid w:val="26F55B81"/>
    <w:rsid w:val="27090EBD"/>
    <w:rsid w:val="27167E66"/>
    <w:rsid w:val="271D102C"/>
    <w:rsid w:val="27244EB6"/>
    <w:rsid w:val="27307214"/>
    <w:rsid w:val="274467BC"/>
    <w:rsid w:val="275E670E"/>
    <w:rsid w:val="276F1C0A"/>
    <w:rsid w:val="27707D7A"/>
    <w:rsid w:val="27B076AB"/>
    <w:rsid w:val="27EB05C2"/>
    <w:rsid w:val="280D4603"/>
    <w:rsid w:val="2810627B"/>
    <w:rsid w:val="28151E19"/>
    <w:rsid w:val="28235FAE"/>
    <w:rsid w:val="283F3EE2"/>
    <w:rsid w:val="284101E2"/>
    <w:rsid w:val="2852346A"/>
    <w:rsid w:val="28852E12"/>
    <w:rsid w:val="28976ACF"/>
    <w:rsid w:val="28996270"/>
    <w:rsid w:val="28B44E58"/>
    <w:rsid w:val="28DD7CC7"/>
    <w:rsid w:val="28DE1ED5"/>
    <w:rsid w:val="28FD468F"/>
    <w:rsid w:val="295B1F6B"/>
    <w:rsid w:val="29782621"/>
    <w:rsid w:val="29890093"/>
    <w:rsid w:val="29916F47"/>
    <w:rsid w:val="29A053DC"/>
    <w:rsid w:val="29F101ED"/>
    <w:rsid w:val="29F27FD8"/>
    <w:rsid w:val="29FF0559"/>
    <w:rsid w:val="2A16248A"/>
    <w:rsid w:val="2A175AF9"/>
    <w:rsid w:val="2A421663"/>
    <w:rsid w:val="2A4C6830"/>
    <w:rsid w:val="2A7228D5"/>
    <w:rsid w:val="2A750617"/>
    <w:rsid w:val="2A7A2226"/>
    <w:rsid w:val="2AA152C2"/>
    <w:rsid w:val="2AAA2063"/>
    <w:rsid w:val="2ACA020E"/>
    <w:rsid w:val="2ACA451F"/>
    <w:rsid w:val="2ACC6A20"/>
    <w:rsid w:val="2AD233E9"/>
    <w:rsid w:val="2AD70610"/>
    <w:rsid w:val="2AE70FDC"/>
    <w:rsid w:val="2AEF3F25"/>
    <w:rsid w:val="2B066F7B"/>
    <w:rsid w:val="2B207EA9"/>
    <w:rsid w:val="2B234BA1"/>
    <w:rsid w:val="2B356F3C"/>
    <w:rsid w:val="2B392F3E"/>
    <w:rsid w:val="2B586B41"/>
    <w:rsid w:val="2B724D2B"/>
    <w:rsid w:val="2B8559E6"/>
    <w:rsid w:val="2BA4714E"/>
    <w:rsid w:val="2BAA5CC3"/>
    <w:rsid w:val="2BB5365F"/>
    <w:rsid w:val="2BFF47C5"/>
    <w:rsid w:val="2C1B17A6"/>
    <w:rsid w:val="2C3279D2"/>
    <w:rsid w:val="2C3A5674"/>
    <w:rsid w:val="2C424719"/>
    <w:rsid w:val="2C70340D"/>
    <w:rsid w:val="2C7E2675"/>
    <w:rsid w:val="2C7F0500"/>
    <w:rsid w:val="2C9D59FF"/>
    <w:rsid w:val="2C9E00E8"/>
    <w:rsid w:val="2CA62D0A"/>
    <w:rsid w:val="2CA95DB8"/>
    <w:rsid w:val="2CAD4098"/>
    <w:rsid w:val="2CB20151"/>
    <w:rsid w:val="2CD56E91"/>
    <w:rsid w:val="2CF91A3F"/>
    <w:rsid w:val="2D0948F7"/>
    <w:rsid w:val="2D0D61FC"/>
    <w:rsid w:val="2D1548C7"/>
    <w:rsid w:val="2D1B54A6"/>
    <w:rsid w:val="2D1E4F96"/>
    <w:rsid w:val="2D4C4C78"/>
    <w:rsid w:val="2D64317E"/>
    <w:rsid w:val="2D8477E3"/>
    <w:rsid w:val="2D8A3D2F"/>
    <w:rsid w:val="2D9012A1"/>
    <w:rsid w:val="2D9E60D7"/>
    <w:rsid w:val="2D9F7082"/>
    <w:rsid w:val="2DA846A6"/>
    <w:rsid w:val="2DBD005A"/>
    <w:rsid w:val="2DC071BC"/>
    <w:rsid w:val="2DFE5055"/>
    <w:rsid w:val="2E0527A2"/>
    <w:rsid w:val="2E1D755E"/>
    <w:rsid w:val="2E2015C6"/>
    <w:rsid w:val="2E750BE6"/>
    <w:rsid w:val="2E82683A"/>
    <w:rsid w:val="2E9508AA"/>
    <w:rsid w:val="2EA94D3F"/>
    <w:rsid w:val="2EB920D4"/>
    <w:rsid w:val="2EBF4CDB"/>
    <w:rsid w:val="2EC73DA7"/>
    <w:rsid w:val="2EC740AE"/>
    <w:rsid w:val="2ECA6E64"/>
    <w:rsid w:val="2EE63891"/>
    <w:rsid w:val="2EEB70FA"/>
    <w:rsid w:val="2EF41DE0"/>
    <w:rsid w:val="2F0C34E0"/>
    <w:rsid w:val="2F255F0F"/>
    <w:rsid w:val="2F2D326E"/>
    <w:rsid w:val="2F2D3E72"/>
    <w:rsid w:val="2F451785"/>
    <w:rsid w:val="2F4A686A"/>
    <w:rsid w:val="2F527179"/>
    <w:rsid w:val="2F7013AD"/>
    <w:rsid w:val="2F804773"/>
    <w:rsid w:val="2F83192F"/>
    <w:rsid w:val="2F994CB2"/>
    <w:rsid w:val="2F9A34FD"/>
    <w:rsid w:val="2F9C7272"/>
    <w:rsid w:val="2FB20FFF"/>
    <w:rsid w:val="2FC448BC"/>
    <w:rsid w:val="2FD81674"/>
    <w:rsid w:val="2FEA0C29"/>
    <w:rsid w:val="300264A9"/>
    <w:rsid w:val="300E29B3"/>
    <w:rsid w:val="300F506A"/>
    <w:rsid w:val="303D3876"/>
    <w:rsid w:val="3049232A"/>
    <w:rsid w:val="305701CE"/>
    <w:rsid w:val="30744C88"/>
    <w:rsid w:val="30752DB6"/>
    <w:rsid w:val="309D61D2"/>
    <w:rsid w:val="30B56910"/>
    <w:rsid w:val="30ED5F37"/>
    <w:rsid w:val="30ED6CF2"/>
    <w:rsid w:val="30ED7B76"/>
    <w:rsid w:val="30F41A4D"/>
    <w:rsid w:val="30F5479B"/>
    <w:rsid w:val="30FB21E1"/>
    <w:rsid w:val="31055242"/>
    <w:rsid w:val="310D4304"/>
    <w:rsid w:val="311035DE"/>
    <w:rsid w:val="312E32CE"/>
    <w:rsid w:val="31600503"/>
    <w:rsid w:val="31864EB8"/>
    <w:rsid w:val="318B7901"/>
    <w:rsid w:val="31D15FD9"/>
    <w:rsid w:val="31EC5F48"/>
    <w:rsid w:val="31EE28F9"/>
    <w:rsid w:val="31F33F08"/>
    <w:rsid w:val="31F64379"/>
    <w:rsid w:val="31FE335B"/>
    <w:rsid w:val="32101078"/>
    <w:rsid w:val="3216623C"/>
    <w:rsid w:val="322E7A29"/>
    <w:rsid w:val="323A351E"/>
    <w:rsid w:val="324803BF"/>
    <w:rsid w:val="32537490"/>
    <w:rsid w:val="326F1DF0"/>
    <w:rsid w:val="327B6E8F"/>
    <w:rsid w:val="32BB5035"/>
    <w:rsid w:val="32BF68D3"/>
    <w:rsid w:val="32C43EEA"/>
    <w:rsid w:val="32D14858"/>
    <w:rsid w:val="32DA370D"/>
    <w:rsid w:val="32E75249"/>
    <w:rsid w:val="32F00FEE"/>
    <w:rsid w:val="32F06445"/>
    <w:rsid w:val="33087F73"/>
    <w:rsid w:val="33294383"/>
    <w:rsid w:val="33391DE5"/>
    <w:rsid w:val="3348667A"/>
    <w:rsid w:val="336F654B"/>
    <w:rsid w:val="337C6E6F"/>
    <w:rsid w:val="33B849D4"/>
    <w:rsid w:val="33B87B68"/>
    <w:rsid w:val="33BB681A"/>
    <w:rsid w:val="33CA6381"/>
    <w:rsid w:val="33D17B6B"/>
    <w:rsid w:val="33D40484"/>
    <w:rsid w:val="33D940BA"/>
    <w:rsid w:val="33EB36F8"/>
    <w:rsid w:val="34012F1B"/>
    <w:rsid w:val="34180991"/>
    <w:rsid w:val="342F48F7"/>
    <w:rsid w:val="345E3ECA"/>
    <w:rsid w:val="346F27C6"/>
    <w:rsid w:val="347112C6"/>
    <w:rsid w:val="348734CF"/>
    <w:rsid w:val="34977659"/>
    <w:rsid w:val="34A67D6C"/>
    <w:rsid w:val="34FC447A"/>
    <w:rsid w:val="34FE79FB"/>
    <w:rsid w:val="35154937"/>
    <w:rsid w:val="352041F6"/>
    <w:rsid w:val="352549E8"/>
    <w:rsid w:val="35527ED3"/>
    <w:rsid w:val="356D7F42"/>
    <w:rsid w:val="35A623D8"/>
    <w:rsid w:val="35AE5EB4"/>
    <w:rsid w:val="35B84163"/>
    <w:rsid w:val="35B90875"/>
    <w:rsid w:val="35BC534C"/>
    <w:rsid w:val="35CE46AE"/>
    <w:rsid w:val="35D040CB"/>
    <w:rsid w:val="35DA5322"/>
    <w:rsid w:val="35DE35E9"/>
    <w:rsid w:val="35E054DE"/>
    <w:rsid w:val="35EA1EB9"/>
    <w:rsid w:val="36032F7B"/>
    <w:rsid w:val="3623361D"/>
    <w:rsid w:val="363E0457"/>
    <w:rsid w:val="365723A0"/>
    <w:rsid w:val="366B498D"/>
    <w:rsid w:val="366C3066"/>
    <w:rsid w:val="36730100"/>
    <w:rsid w:val="36751224"/>
    <w:rsid w:val="367B1BC1"/>
    <w:rsid w:val="3687595A"/>
    <w:rsid w:val="369D1071"/>
    <w:rsid w:val="36BB1AA7"/>
    <w:rsid w:val="36BE6EA2"/>
    <w:rsid w:val="36CA5847"/>
    <w:rsid w:val="36CB62E7"/>
    <w:rsid w:val="36F2306C"/>
    <w:rsid w:val="36F72AFB"/>
    <w:rsid w:val="37142E18"/>
    <w:rsid w:val="372066CC"/>
    <w:rsid w:val="375515B4"/>
    <w:rsid w:val="375D66BB"/>
    <w:rsid w:val="376260C8"/>
    <w:rsid w:val="377D3E76"/>
    <w:rsid w:val="377F6B83"/>
    <w:rsid w:val="37977E1F"/>
    <w:rsid w:val="37A32ECD"/>
    <w:rsid w:val="37B41B31"/>
    <w:rsid w:val="37BC000F"/>
    <w:rsid w:val="37BE767C"/>
    <w:rsid w:val="37CB0FAA"/>
    <w:rsid w:val="37EF5949"/>
    <w:rsid w:val="3805122C"/>
    <w:rsid w:val="3814321D"/>
    <w:rsid w:val="383334E4"/>
    <w:rsid w:val="384271D0"/>
    <w:rsid w:val="38471845"/>
    <w:rsid w:val="384C6E5B"/>
    <w:rsid w:val="385009BF"/>
    <w:rsid w:val="385C6522"/>
    <w:rsid w:val="385F5794"/>
    <w:rsid w:val="38683787"/>
    <w:rsid w:val="388D1A3B"/>
    <w:rsid w:val="38944B3C"/>
    <w:rsid w:val="38BD3406"/>
    <w:rsid w:val="38C33EA2"/>
    <w:rsid w:val="38CF2341"/>
    <w:rsid w:val="38D5008E"/>
    <w:rsid w:val="38EE7F12"/>
    <w:rsid w:val="39022FC2"/>
    <w:rsid w:val="390E4110"/>
    <w:rsid w:val="391734C0"/>
    <w:rsid w:val="3925145A"/>
    <w:rsid w:val="39280D1A"/>
    <w:rsid w:val="39827B7C"/>
    <w:rsid w:val="39974173"/>
    <w:rsid w:val="39A01D15"/>
    <w:rsid w:val="39A53451"/>
    <w:rsid w:val="39AC56D7"/>
    <w:rsid w:val="39AE222F"/>
    <w:rsid w:val="39B527DE"/>
    <w:rsid w:val="39BB2AFB"/>
    <w:rsid w:val="39C33DA3"/>
    <w:rsid w:val="39D260A7"/>
    <w:rsid w:val="39D4303D"/>
    <w:rsid w:val="39D5064D"/>
    <w:rsid w:val="39DA600C"/>
    <w:rsid w:val="39DF3CFF"/>
    <w:rsid w:val="39E20006"/>
    <w:rsid w:val="39F20C9A"/>
    <w:rsid w:val="39F350B4"/>
    <w:rsid w:val="3A132B98"/>
    <w:rsid w:val="3A887EF3"/>
    <w:rsid w:val="3A964CA2"/>
    <w:rsid w:val="3AA840F1"/>
    <w:rsid w:val="3ACA22B9"/>
    <w:rsid w:val="3AE12711"/>
    <w:rsid w:val="3B0910A8"/>
    <w:rsid w:val="3B27770B"/>
    <w:rsid w:val="3B283B8A"/>
    <w:rsid w:val="3B2B1185"/>
    <w:rsid w:val="3B343BD6"/>
    <w:rsid w:val="3B6720EF"/>
    <w:rsid w:val="3B6E1985"/>
    <w:rsid w:val="3B8C62D6"/>
    <w:rsid w:val="3B9044DF"/>
    <w:rsid w:val="3B95677B"/>
    <w:rsid w:val="3BAB20EB"/>
    <w:rsid w:val="3BBD2756"/>
    <w:rsid w:val="3BD41192"/>
    <w:rsid w:val="3BE23632"/>
    <w:rsid w:val="3BE26657"/>
    <w:rsid w:val="3BF03FA1"/>
    <w:rsid w:val="3BFF5566"/>
    <w:rsid w:val="3C1A6612"/>
    <w:rsid w:val="3C24593E"/>
    <w:rsid w:val="3C2B3430"/>
    <w:rsid w:val="3C4271FA"/>
    <w:rsid w:val="3C770992"/>
    <w:rsid w:val="3C7B0826"/>
    <w:rsid w:val="3CC35212"/>
    <w:rsid w:val="3CD613E9"/>
    <w:rsid w:val="3CD63197"/>
    <w:rsid w:val="3CDE3B55"/>
    <w:rsid w:val="3CDE5A3A"/>
    <w:rsid w:val="3CEC5689"/>
    <w:rsid w:val="3D013191"/>
    <w:rsid w:val="3D0731E6"/>
    <w:rsid w:val="3D08531B"/>
    <w:rsid w:val="3D1D7FBF"/>
    <w:rsid w:val="3D254E4B"/>
    <w:rsid w:val="3D2A7CD4"/>
    <w:rsid w:val="3D4E0F7F"/>
    <w:rsid w:val="3D4E5423"/>
    <w:rsid w:val="3D643600"/>
    <w:rsid w:val="3DA45043"/>
    <w:rsid w:val="3DA45CB2"/>
    <w:rsid w:val="3DAE7C70"/>
    <w:rsid w:val="3DDA6CB7"/>
    <w:rsid w:val="3DDE7208"/>
    <w:rsid w:val="3DE27A9B"/>
    <w:rsid w:val="3E0B4A65"/>
    <w:rsid w:val="3E1917FC"/>
    <w:rsid w:val="3E194C7B"/>
    <w:rsid w:val="3E310271"/>
    <w:rsid w:val="3E3A0D01"/>
    <w:rsid w:val="3E673147"/>
    <w:rsid w:val="3E7474C5"/>
    <w:rsid w:val="3E772B2E"/>
    <w:rsid w:val="3E853709"/>
    <w:rsid w:val="3E9E0431"/>
    <w:rsid w:val="3EC05384"/>
    <w:rsid w:val="3ECA54DD"/>
    <w:rsid w:val="3EDE27D7"/>
    <w:rsid w:val="3EE4400B"/>
    <w:rsid w:val="3EF611E6"/>
    <w:rsid w:val="3F0264C5"/>
    <w:rsid w:val="3F172887"/>
    <w:rsid w:val="3F1E4982"/>
    <w:rsid w:val="3F222FE0"/>
    <w:rsid w:val="3F2E72C4"/>
    <w:rsid w:val="3F3B4420"/>
    <w:rsid w:val="3F402333"/>
    <w:rsid w:val="3F4D76DD"/>
    <w:rsid w:val="3F6103DE"/>
    <w:rsid w:val="3FC01DFA"/>
    <w:rsid w:val="3FC75019"/>
    <w:rsid w:val="3FEF55C5"/>
    <w:rsid w:val="3FF32EFC"/>
    <w:rsid w:val="400C5122"/>
    <w:rsid w:val="40134CFD"/>
    <w:rsid w:val="402205BD"/>
    <w:rsid w:val="40320146"/>
    <w:rsid w:val="40362C79"/>
    <w:rsid w:val="406945C3"/>
    <w:rsid w:val="406A3401"/>
    <w:rsid w:val="406F6832"/>
    <w:rsid w:val="40727B47"/>
    <w:rsid w:val="408651AA"/>
    <w:rsid w:val="408812A1"/>
    <w:rsid w:val="408F67D7"/>
    <w:rsid w:val="40906071"/>
    <w:rsid w:val="40A13ABC"/>
    <w:rsid w:val="40E90B18"/>
    <w:rsid w:val="40FA31CC"/>
    <w:rsid w:val="410B117F"/>
    <w:rsid w:val="41270B99"/>
    <w:rsid w:val="412E1809"/>
    <w:rsid w:val="415A3828"/>
    <w:rsid w:val="416168A9"/>
    <w:rsid w:val="416845DA"/>
    <w:rsid w:val="4181395F"/>
    <w:rsid w:val="41A503D5"/>
    <w:rsid w:val="41AA6639"/>
    <w:rsid w:val="41AB6068"/>
    <w:rsid w:val="41B16896"/>
    <w:rsid w:val="41C73BA3"/>
    <w:rsid w:val="41CE2C59"/>
    <w:rsid w:val="41D96828"/>
    <w:rsid w:val="41E750FE"/>
    <w:rsid w:val="41F67E38"/>
    <w:rsid w:val="41F836BE"/>
    <w:rsid w:val="4206180B"/>
    <w:rsid w:val="42072EE9"/>
    <w:rsid w:val="422F1170"/>
    <w:rsid w:val="42301D21"/>
    <w:rsid w:val="42434AC7"/>
    <w:rsid w:val="424E37D0"/>
    <w:rsid w:val="42512A5B"/>
    <w:rsid w:val="425B0CB6"/>
    <w:rsid w:val="42723962"/>
    <w:rsid w:val="42755200"/>
    <w:rsid w:val="42836415"/>
    <w:rsid w:val="42BD2703"/>
    <w:rsid w:val="42BF022A"/>
    <w:rsid w:val="42E9345E"/>
    <w:rsid w:val="430A0135"/>
    <w:rsid w:val="43192030"/>
    <w:rsid w:val="43427296"/>
    <w:rsid w:val="4348021F"/>
    <w:rsid w:val="43486FC5"/>
    <w:rsid w:val="436D5ED7"/>
    <w:rsid w:val="436F7EA2"/>
    <w:rsid w:val="43762FDE"/>
    <w:rsid w:val="437B6846"/>
    <w:rsid w:val="438324EF"/>
    <w:rsid w:val="438405CD"/>
    <w:rsid w:val="43880F63"/>
    <w:rsid w:val="43AF64F0"/>
    <w:rsid w:val="43B12268"/>
    <w:rsid w:val="43D13417"/>
    <w:rsid w:val="43FE4D82"/>
    <w:rsid w:val="441F577B"/>
    <w:rsid w:val="4436276D"/>
    <w:rsid w:val="443F607C"/>
    <w:rsid w:val="44666861"/>
    <w:rsid w:val="446F6FC1"/>
    <w:rsid w:val="449D7370"/>
    <w:rsid w:val="44A57DDF"/>
    <w:rsid w:val="44E658B7"/>
    <w:rsid w:val="45070715"/>
    <w:rsid w:val="451E0CB6"/>
    <w:rsid w:val="45322F35"/>
    <w:rsid w:val="453579B5"/>
    <w:rsid w:val="453A52BD"/>
    <w:rsid w:val="45406E1A"/>
    <w:rsid w:val="45704CF5"/>
    <w:rsid w:val="45726B02"/>
    <w:rsid w:val="45857508"/>
    <w:rsid w:val="45880BDF"/>
    <w:rsid w:val="45C85647"/>
    <w:rsid w:val="45CB3E84"/>
    <w:rsid w:val="45CD7101"/>
    <w:rsid w:val="45D514DB"/>
    <w:rsid w:val="45DB537A"/>
    <w:rsid w:val="45E10CC7"/>
    <w:rsid w:val="45E87EEF"/>
    <w:rsid w:val="45FC019C"/>
    <w:rsid w:val="46177843"/>
    <w:rsid w:val="462F56C6"/>
    <w:rsid w:val="46324454"/>
    <w:rsid w:val="463B15AE"/>
    <w:rsid w:val="46494E1C"/>
    <w:rsid w:val="464C0026"/>
    <w:rsid w:val="464C54F2"/>
    <w:rsid w:val="464D121A"/>
    <w:rsid w:val="464F176F"/>
    <w:rsid w:val="46503FBA"/>
    <w:rsid w:val="4654337F"/>
    <w:rsid w:val="46737941"/>
    <w:rsid w:val="467B289A"/>
    <w:rsid w:val="467D3578"/>
    <w:rsid w:val="46881C14"/>
    <w:rsid w:val="4690085B"/>
    <w:rsid w:val="469A2A78"/>
    <w:rsid w:val="46A0170F"/>
    <w:rsid w:val="46A22FA8"/>
    <w:rsid w:val="46A606A1"/>
    <w:rsid w:val="46A936CA"/>
    <w:rsid w:val="46C3440D"/>
    <w:rsid w:val="46C87FF5"/>
    <w:rsid w:val="46CE3131"/>
    <w:rsid w:val="46D032C7"/>
    <w:rsid w:val="46E57892"/>
    <w:rsid w:val="46E72716"/>
    <w:rsid w:val="46ED1809"/>
    <w:rsid w:val="471823E8"/>
    <w:rsid w:val="47195E2A"/>
    <w:rsid w:val="471C7F42"/>
    <w:rsid w:val="471D19C3"/>
    <w:rsid w:val="47341D77"/>
    <w:rsid w:val="4753289C"/>
    <w:rsid w:val="47665328"/>
    <w:rsid w:val="47763D4D"/>
    <w:rsid w:val="47B6609F"/>
    <w:rsid w:val="47F0411D"/>
    <w:rsid w:val="480356D5"/>
    <w:rsid w:val="480C2163"/>
    <w:rsid w:val="480F7BC7"/>
    <w:rsid w:val="481D7ADA"/>
    <w:rsid w:val="48446D0B"/>
    <w:rsid w:val="487114EA"/>
    <w:rsid w:val="487321E2"/>
    <w:rsid w:val="488B6A44"/>
    <w:rsid w:val="48921FD6"/>
    <w:rsid w:val="48E861DE"/>
    <w:rsid w:val="48ED577E"/>
    <w:rsid w:val="48FB73A4"/>
    <w:rsid w:val="49357497"/>
    <w:rsid w:val="493A2D00"/>
    <w:rsid w:val="49403578"/>
    <w:rsid w:val="4960212C"/>
    <w:rsid w:val="49773C28"/>
    <w:rsid w:val="497A30FC"/>
    <w:rsid w:val="49962FE1"/>
    <w:rsid w:val="49A81A17"/>
    <w:rsid w:val="49BC54C3"/>
    <w:rsid w:val="49D55CE0"/>
    <w:rsid w:val="49FF31B8"/>
    <w:rsid w:val="4A037596"/>
    <w:rsid w:val="4A143551"/>
    <w:rsid w:val="4A370FED"/>
    <w:rsid w:val="4A5E47CC"/>
    <w:rsid w:val="4A687C24"/>
    <w:rsid w:val="4A8204BA"/>
    <w:rsid w:val="4A82670C"/>
    <w:rsid w:val="4A8D0DD3"/>
    <w:rsid w:val="4A9F23B5"/>
    <w:rsid w:val="4AA30431"/>
    <w:rsid w:val="4AB30511"/>
    <w:rsid w:val="4AB6302F"/>
    <w:rsid w:val="4AC27530"/>
    <w:rsid w:val="4AC41C6A"/>
    <w:rsid w:val="4ACA1E61"/>
    <w:rsid w:val="4AD30D16"/>
    <w:rsid w:val="4AD55208"/>
    <w:rsid w:val="4AE063AD"/>
    <w:rsid w:val="4AFE45F7"/>
    <w:rsid w:val="4B082B2F"/>
    <w:rsid w:val="4B271062"/>
    <w:rsid w:val="4B2F3C11"/>
    <w:rsid w:val="4B47219D"/>
    <w:rsid w:val="4B691DEB"/>
    <w:rsid w:val="4B867A5E"/>
    <w:rsid w:val="4B8A2A0D"/>
    <w:rsid w:val="4BAF6489"/>
    <w:rsid w:val="4BB40B47"/>
    <w:rsid w:val="4BB749CD"/>
    <w:rsid w:val="4BCB0138"/>
    <w:rsid w:val="4BDE28E8"/>
    <w:rsid w:val="4BEE652D"/>
    <w:rsid w:val="4BF935DC"/>
    <w:rsid w:val="4C033D8E"/>
    <w:rsid w:val="4C157813"/>
    <w:rsid w:val="4C1930A0"/>
    <w:rsid w:val="4C1B775E"/>
    <w:rsid w:val="4C1D4081"/>
    <w:rsid w:val="4C211F55"/>
    <w:rsid w:val="4C290139"/>
    <w:rsid w:val="4C3337D0"/>
    <w:rsid w:val="4C3440CD"/>
    <w:rsid w:val="4C3923DB"/>
    <w:rsid w:val="4C3B4DC5"/>
    <w:rsid w:val="4C426A60"/>
    <w:rsid w:val="4C442EC3"/>
    <w:rsid w:val="4C4B6B7C"/>
    <w:rsid w:val="4C683B50"/>
    <w:rsid w:val="4C6F3738"/>
    <w:rsid w:val="4C7648D7"/>
    <w:rsid w:val="4C885B30"/>
    <w:rsid w:val="4C8A2E46"/>
    <w:rsid w:val="4C9170DB"/>
    <w:rsid w:val="4C985CF9"/>
    <w:rsid w:val="4C9A0E65"/>
    <w:rsid w:val="4CA63DE7"/>
    <w:rsid w:val="4CAE37E9"/>
    <w:rsid w:val="4CB4635D"/>
    <w:rsid w:val="4CD77234"/>
    <w:rsid w:val="4CFA4C80"/>
    <w:rsid w:val="4D1D271C"/>
    <w:rsid w:val="4D6420F9"/>
    <w:rsid w:val="4D6B792C"/>
    <w:rsid w:val="4D8C494F"/>
    <w:rsid w:val="4D911164"/>
    <w:rsid w:val="4D913ADD"/>
    <w:rsid w:val="4D9218E1"/>
    <w:rsid w:val="4D98024B"/>
    <w:rsid w:val="4D9F626A"/>
    <w:rsid w:val="4DA67CFD"/>
    <w:rsid w:val="4DBE1B6C"/>
    <w:rsid w:val="4DC077B7"/>
    <w:rsid w:val="4DF01C6D"/>
    <w:rsid w:val="4E105DDD"/>
    <w:rsid w:val="4E550E73"/>
    <w:rsid w:val="4E61135D"/>
    <w:rsid w:val="4E975330"/>
    <w:rsid w:val="4EB64BD7"/>
    <w:rsid w:val="4EC905AB"/>
    <w:rsid w:val="4ECB2ED2"/>
    <w:rsid w:val="4ED51F39"/>
    <w:rsid w:val="4EE400F6"/>
    <w:rsid w:val="4EEE19AB"/>
    <w:rsid w:val="4F043B94"/>
    <w:rsid w:val="4F10078B"/>
    <w:rsid w:val="4F1E452A"/>
    <w:rsid w:val="4F244FCF"/>
    <w:rsid w:val="4F253B0A"/>
    <w:rsid w:val="4F377967"/>
    <w:rsid w:val="4F63535B"/>
    <w:rsid w:val="4F692007"/>
    <w:rsid w:val="4F7A7D35"/>
    <w:rsid w:val="4F8A1684"/>
    <w:rsid w:val="4F8B6063"/>
    <w:rsid w:val="4F8B7E11"/>
    <w:rsid w:val="4FA50603"/>
    <w:rsid w:val="4FA7451F"/>
    <w:rsid w:val="4FCB46B2"/>
    <w:rsid w:val="4FCD042A"/>
    <w:rsid w:val="4FD044CB"/>
    <w:rsid w:val="4FDF1F0B"/>
    <w:rsid w:val="4FE85264"/>
    <w:rsid w:val="50102255"/>
    <w:rsid w:val="501260A8"/>
    <w:rsid w:val="502E6463"/>
    <w:rsid w:val="505A28B7"/>
    <w:rsid w:val="505D60AC"/>
    <w:rsid w:val="50903205"/>
    <w:rsid w:val="509E6660"/>
    <w:rsid w:val="50A43C01"/>
    <w:rsid w:val="50AC1E96"/>
    <w:rsid w:val="50BF5E83"/>
    <w:rsid w:val="50E517A3"/>
    <w:rsid w:val="50F22A39"/>
    <w:rsid w:val="50F934A0"/>
    <w:rsid w:val="51043056"/>
    <w:rsid w:val="510E0CFA"/>
    <w:rsid w:val="511552D2"/>
    <w:rsid w:val="51333CA7"/>
    <w:rsid w:val="51351EF4"/>
    <w:rsid w:val="513F5357"/>
    <w:rsid w:val="513F5914"/>
    <w:rsid w:val="51524269"/>
    <w:rsid w:val="515650D8"/>
    <w:rsid w:val="515B1A65"/>
    <w:rsid w:val="51650CDB"/>
    <w:rsid w:val="51677BCF"/>
    <w:rsid w:val="5175252B"/>
    <w:rsid w:val="51764AF1"/>
    <w:rsid w:val="517D7C2E"/>
    <w:rsid w:val="518A40F8"/>
    <w:rsid w:val="518C7E71"/>
    <w:rsid w:val="51A72EFC"/>
    <w:rsid w:val="51DA654B"/>
    <w:rsid w:val="51F02FA9"/>
    <w:rsid w:val="51F108BD"/>
    <w:rsid w:val="52005B4E"/>
    <w:rsid w:val="520862C3"/>
    <w:rsid w:val="521A1920"/>
    <w:rsid w:val="522510AD"/>
    <w:rsid w:val="5226042C"/>
    <w:rsid w:val="522E3BFF"/>
    <w:rsid w:val="523538C6"/>
    <w:rsid w:val="52383B54"/>
    <w:rsid w:val="52466271"/>
    <w:rsid w:val="52557820"/>
    <w:rsid w:val="52811BF9"/>
    <w:rsid w:val="528C3333"/>
    <w:rsid w:val="528D3EA0"/>
    <w:rsid w:val="528F15C5"/>
    <w:rsid w:val="52D84BFF"/>
    <w:rsid w:val="52DB51E3"/>
    <w:rsid w:val="52FD2C12"/>
    <w:rsid w:val="5302183A"/>
    <w:rsid w:val="5311478A"/>
    <w:rsid w:val="531620E8"/>
    <w:rsid w:val="53236374"/>
    <w:rsid w:val="532F27EE"/>
    <w:rsid w:val="53690469"/>
    <w:rsid w:val="53735011"/>
    <w:rsid w:val="537E4CD3"/>
    <w:rsid w:val="5382152B"/>
    <w:rsid w:val="538F59F6"/>
    <w:rsid w:val="53937294"/>
    <w:rsid w:val="53952781"/>
    <w:rsid w:val="5399336D"/>
    <w:rsid w:val="53D33222"/>
    <w:rsid w:val="53DF766E"/>
    <w:rsid w:val="53F77E65"/>
    <w:rsid w:val="53F9728F"/>
    <w:rsid w:val="541D0AB1"/>
    <w:rsid w:val="54216F96"/>
    <w:rsid w:val="542E7C25"/>
    <w:rsid w:val="54396CC1"/>
    <w:rsid w:val="544762D1"/>
    <w:rsid w:val="545A049F"/>
    <w:rsid w:val="546F0C65"/>
    <w:rsid w:val="548A25BF"/>
    <w:rsid w:val="548B3222"/>
    <w:rsid w:val="549F0DC3"/>
    <w:rsid w:val="54A40077"/>
    <w:rsid w:val="54C16083"/>
    <w:rsid w:val="54D933CD"/>
    <w:rsid w:val="54DC4464"/>
    <w:rsid w:val="54E02F26"/>
    <w:rsid w:val="54E3249D"/>
    <w:rsid w:val="54EF234D"/>
    <w:rsid w:val="55164621"/>
    <w:rsid w:val="551F0656"/>
    <w:rsid w:val="552F3B67"/>
    <w:rsid w:val="55491250"/>
    <w:rsid w:val="555146E8"/>
    <w:rsid w:val="55545149"/>
    <w:rsid w:val="55593060"/>
    <w:rsid w:val="556B1767"/>
    <w:rsid w:val="55765C1D"/>
    <w:rsid w:val="55790198"/>
    <w:rsid w:val="558A2919"/>
    <w:rsid w:val="55933216"/>
    <w:rsid w:val="55937A20"/>
    <w:rsid w:val="55A274B6"/>
    <w:rsid w:val="55A82D9F"/>
    <w:rsid w:val="55B43C43"/>
    <w:rsid w:val="55BA31FE"/>
    <w:rsid w:val="55D0786B"/>
    <w:rsid w:val="55DD5CB4"/>
    <w:rsid w:val="55E02EDB"/>
    <w:rsid w:val="56416338"/>
    <w:rsid w:val="56462CE4"/>
    <w:rsid w:val="564D6C27"/>
    <w:rsid w:val="5656675D"/>
    <w:rsid w:val="56A60C81"/>
    <w:rsid w:val="56B40E76"/>
    <w:rsid w:val="571A7346"/>
    <w:rsid w:val="572D4A2F"/>
    <w:rsid w:val="5731087A"/>
    <w:rsid w:val="5742757D"/>
    <w:rsid w:val="574D3BFE"/>
    <w:rsid w:val="574F6249"/>
    <w:rsid w:val="575D6537"/>
    <w:rsid w:val="57715068"/>
    <w:rsid w:val="5789732C"/>
    <w:rsid w:val="57B152D2"/>
    <w:rsid w:val="57B4461F"/>
    <w:rsid w:val="57D95558"/>
    <w:rsid w:val="57E5652D"/>
    <w:rsid w:val="57FB0B32"/>
    <w:rsid w:val="58095D77"/>
    <w:rsid w:val="582A4DDF"/>
    <w:rsid w:val="58351824"/>
    <w:rsid w:val="587F428B"/>
    <w:rsid w:val="5897595F"/>
    <w:rsid w:val="5898359F"/>
    <w:rsid w:val="58A67DD1"/>
    <w:rsid w:val="58C079C7"/>
    <w:rsid w:val="58CF5213"/>
    <w:rsid w:val="58D004CB"/>
    <w:rsid w:val="58EF1411"/>
    <w:rsid w:val="58FD3402"/>
    <w:rsid w:val="591930C3"/>
    <w:rsid w:val="59472A02"/>
    <w:rsid w:val="596428D3"/>
    <w:rsid w:val="596D0588"/>
    <w:rsid w:val="59750444"/>
    <w:rsid w:val="598C6DF6"/>
    <w:rsid w:val="59AB1DA0"/>
    <w:rsid w:val="59AD4947"/>
    <w:rsid w:val="59C21466"/>
    <w:rsid w:val="59D52229"/>
    <w:rsid w:val="59E36A9C"/>
    <w:rsid w:val="5A3317D1"/>
    <w:rsid w:val="5A427C66"/>
    <w:rsid w:val="5A493AAE"/>
    <w:rsid w:val="5A506F9B"/>
    <w:rsid w:val="5A5961EF"/>
    <w:rsid w:val="5A700229"/>
    <w:rsid w:val="5A8703E3"/>
    <w:rsid w:val="5A9209EF"/>
    <w:rsid w:val="5AAC50E0"/>
    <w:rsid w:val="5ABB5725"/>
    <w:rsid w:val="5AC6035D"/>
    <w:rsid w:val="5AE64A95"/>
    <w:rsid w:val="5AF31824"/>
    <w:rsid w:val="5AF563EF"/>
    <w:rsid w:val="5AF65419"/>
    <w:rsid w:val="5B0662CB"/>
    <w:rsid w:val="5B0877FA"/>
    <w:rsid w:val="5B0B1E06"/>
    <w:rsid w:val="5B123195"/>
    <w:rsid w:val="5B23548E"/>
    <w:rsid w:val="5B2555BE"/>
    <w:rsid w:val="5B4A6DD2"/>
    <w:rsid w:val="5B5952F0"/>
    <w:rsid w:val="5B7E60FC"/>
    <w:rsid w:val="5BA6198E"/>
    <w:rsid w:val="5BAA161F"/>
    <w:rsid w:val="5C2515ED"/>
    <w:rsid w:val="5C313AEE"/>
    <w:rsid w:val="5C3D3278"/>
    <w:rsid w:val="5C4001D5"/>
    <w:rsid w:val="5C705A1F"/>
    <w:rsid w:val="5C826B51"/>
    <w:rsid w:val="5C912102"/>
    <w:rsid w:val="5C9C18B0"/>
    <w:rsid w:val="5CB85FBE"/>
    <w:rsid w:val="5CC613FD"/>
    <w:rsid w:val="5CED4F23"/>
    <w:rsid w:val="5CF82EF2"/>
    <w:rsid w:val="5D064F7B"/>
    <w:rsid w:val="5D0A6805"/>
    <w:rsid w:val="5D1A6B11"/>
    <w:rsid w:val="5D310209"/>
    <w:rsid w:val="5D5757D7"/>
    <w:rsid w:val="5D665A1A"/>
    <w:rsid w:val="5D753EAF"/>
    <w:rsid w:val="5D900CE9"/>
    <w:rsid w:val="5D973CC0"/>
    <w:rsid w:val="5DCA244C"/>
    <w:rsid w:val="5DFB43B4"/>
    <w:rsid w:val="5E032790"/>
    <w:rsid w:val="5E447901"/>
    <w:rsid w:val="5E4B1131"/>
    <w:rsid w:val="5E5225FF"/>
    <w:rsid w:val="5E567766"/>
    <w:rsid w:val="5E826883"/>
    <w:rsid w:val="5E9D3A08"/>
    <w:rsid w:val="5EA77945"/>
    <w:rsid w:val="5EB37FD7"/>
    <w:rsid w:val="5ED65E9E"/>
    <w:rsid w:val="5EE66E12"/>
    <w:rsid w:val="5EE93E95"/>
    <w:rsid w:val="5F100271"/>
    <w:rsid w:val="5F2F2831"/>
    <w:rsid w:val="5F7A39FE"/>
    <w:rsid w:val="5F7A57AC"/>
    <w:rsid w:val="5F7D4880"/>
    <w:rsid w:val="5F8F74AA"/>
    <w:rsid w:val="5F984D27"/>
    <w:rsid w:val="5FA10F8B"/>
    <w:rsid w:val="5FE617BF"/>
    <w:rsid w:val="5FE64BF0"/>
    <w:rsid w:val="5FE8797A"/>
    <w:rsid w:val="6017749F"/>
    <w:rsid w:val="60275C02"/>
    <w:rsid w:val="603F4A29"/>
    <w:rsid w:val="604C0EF7"/>
    <w:rsid w:val="606011F5"/>
    <w:rsid w:val="608E6EF1"/>
    <w:rsid w:val="60A01B8E"/>
    <w:rsid w:val="60CD25B7"/>
    <w:rsid w:val="60D64C64"/>
    <w:rsid w:val="60F5158E"/>
    <w:rsid w:val="6107718E"/>
    <w:rsid w:val="61113EEE"/>
    <w:rsid w:val="6122484D"/>
    <w:rsid w:val="61261CDB"/>
    <w:rsid w:val="613657CA"/>
    <w:rsid w:val="613F0A5C"/>
    <w:rsid w:val="615C724D"/>
    <w:rsid w:val="6164220F"/>
    <w:rsid w:val="616C02AF"/>
    <w:rsid w:val="61914D9C"/>
    <w:rsid w:val="61A056D1"/>
    <w:rsid w:val="61A73945"/>
    <w:rsid w:val="61B36952"/>
    <w:rsid w:val="61B74A96"/>
    <w:rsid w:val="61BE5E24"/>
    <w:rsid w:val="61E67129"/>
    <w:rsid w:val="61EA6C19"/>
    <w:rsid w:val="61F05BDB"/>
    <w:rsid w:val="62061579"/>
    <w:rsid w:val="62076FC6"/>
    <w:rsid w:val="621413E8"/>
    <w:rsid w:val="622651BE"/>
    <w:rsid w:val="623B7FC1"/>
    <w:rsid w:val="626058F1"/>
    <w:rsid w:val="6261136A"/>
    <w:rsid w:val="62675B5F"/>
    <w:rsid w:val="626C278F"/>
    <w:rsid w:val="62726C0F"/>
    <w:rsid w:val="62A73117"/>
    <w:rsid w:val="62B13E15"/>
    <w:rsid w:val="62B45479"/>
    <w:rsid w:val="62C25DC1"/>
    <w:rsid w:val="62C775B6"/>
    <w:rsid w:val="62CD3A21"/>
    <w:rsid w:val="62DE6052"/>
    <w:rsid w:val="62E9056F"/>
    <w:rsid w:val="62F82D31"/>
    <w:rsid w:val="63451804"/>
    <w:rsid w:val="63464323"/>
    <w:rsid w:val="636C2BE9"/>
    <w:rsid w:val="63721D0E"/>
    <w:rsid w:val="63AA328D"/>
    <w:rsid w:val="63CB2A7A"/>
    <w:rsid w:val="63D8548A"/>
    <w:rsid w:val="63EB2A2D"/>
    <w:rsid w:val="63ED59B9"/>
    <w:rsid w:val="63FE023F"/>
    <w:rsid w:val="640C2CE7"/>
    <w:rsid w:val="64116EC5"/>
    <w:rsid w:val="642947D3"/>
    <w:rsid w:val="644D317A"/>
    <w:rsid w:val="646627A3"/>
    <w:rsid w:val="649E3CEB"/>
    <w:rsid w:val="64A87604"/>
    <w:rsid w:val="64AA2BA3"/>
    <w:rsid w:val="64B475B4"/>
    <w:rsid w:val="64D13A7A"/>
    <w:rsid w:val="64D65C16"/>
    <w:rsid w:val="64DD6861"/>
    <w:rsid w:val="64EA6203"/>
    <w:rsid w:val="64EE412E"/>
    <w:rsid w:val="64F67403"/>
    <w:rsid w:val="64FD6F24"/>
    <w:rsid w:val="650647F6"/>
    <w:rsid w:val="650F6997"/>
    <w:rsid w:val="6530580C"/>
    <w:rsid w:val="653B778C"/>
    <w:rsid w:val="654A5B17"/>
    <w:rsid w:val="654E019A"/>
    <w:rsid w:val="6575452D"/>
    <w:rsid w:val="657A6077"/>
    <w:rsid w:val="657B402C"/>
    <w:rsid w:val="65817895"/>
    <w:rsid w:val="658253BB"/>
    <w:rsid w:val="65A65FB1"/>
    <w:rsid w:val="65B759C2"/>
    <w:rsid w:val="65C54E88"/>
    <w:rsid w:val="65E816C2"/>
    <w:rsid w:val="65E847B1"/>
    <w:rsid w:val="65F12C81"/>
    <w:rsid w:val="65FC516D"/>
    <w:rsid w:val="66070380"/>
    <w:rsid w:val="661118E0"/>
    <w:rsid w:val="66320B8F"/>
    <w:rsid w:val="663A5C95"/>
    <w:rsid w:val="663C37BC"/>
    <w:rsid w:val="66567C98"/>
    <w:rsid w:val="6681025D"/>
    <w:rsid w:val="668F2BF0"/>
    <w:rsid w:val="66C336DD"/>
    <w:rsid w:val="66C54326"/>
    <w:rsid w:val="66D954AE"/>
    <w:rsid w:val="66E3632D"/>
    <w:rsid w:val="66E62C32"/>
    <w:rsid w:val="66E75E1D"/>
    <w:rsid w:val="66F45E44"/>
    <w:rsid w:val="672C5A47"/>
    <w:rsid w:val="673F2C72"/>
    <w:rsid w:val="676A445B"/>
    <w:rsid w:val="6773109E"/>
    <w:rsid w:val="67982C74"/>
    <w:rsid w:val="67CF5D1C"/>
    <w:rsid w:val="67D141C2"/>
    <w:rsid w:val="67D148EC"/>
    <w:rsid w:val="67D80486"/>
    <w:rsid w:val="67E22067"/>
    <w:rsid w:val="67E36959"/>
    <w:rsid w:val="67F879B2"/>
    <w:rsid w:val="68110444"/>
    <w:rsid w:val="683F5D41"/>
    <w:rsid w:val="684140AE"/>
    <w:rsid w:val="68540D2F"/>
    <w:rsid w:val="6861575B"/>
    <w:rsid w:val="6876553B"/>
    <w:rsid w:val="68807719"/>
    <w:rsid w:val="68A33FC6"/>
    <w:rsid w:val="68CE384C"/>
    <w:rsid w:val="68D75A1D"/>
    <w:rsid w:val="68E302E5"/>
    <w:rsid w:val="690A7DA7"/>
    <w:rsid w:val="69154011"/>
    <w:rsid w:val="691E189E"/>
    <w:rsid w:val="6949237B"/>
    <w:rsid w:val="696B22C3"/>
    <w:rsid w:val="696F7D1E"/>
    <w:rsid w:val="699102C2"/>
    <w:rsid w:val="699B2EEF"/>
    <w:rsid w:val="699E02E9"/>
    <w:rsid w:val="69CE5B8C"/>
    <w:rsid w:val="69D92D2B"/>
    <w:rsid w:val="69DC778F"/>
    <w:rsid w:val="69F853B1"/>
    <w:rsid w:val="6A0E06F6"/>
    <w:rsid w:val="6A3550F2"/>
    <w:rsid w:val="6A5C267E"/>
    <w:rsid w:val="6A8A3E6E"/>
    <w:rsid w:val="6A8D5B65"/>
    <w:rsid w:val="6AA35967"/>
    <w:rsid w:val="6AAB0F10"/>
    <w:rsid w:val="6AAB53B4"/>
    <w:rsid w:val="6AC00E5F"/>
    <w:rsid w:val="6AC9032C"/>
    <w:rsid w:val="6ADC731B"/>
    <w:rsid w:val="6AE461D0"/>
    <w:rsid w:val="6AE766A1"/>
    <w:rsid w:val="6AEF7C09"/>
    <w:rsid w:val="6AFD00C2"/>
    <w:rsid w:val="6B453112"/>
    <w:rsid w:val="6B5E5F82"/>
    <w:rsid w:val="6B842586"/>
    <w:rsid w:val="6B875938"/>
    <w:rsid w:val="6B935369"/>
    <w:rsid w:val="6B9C6327"/>
    <w:rsid w:val="6BA07497"/>
    <w:rsid w:val="6BA3608B"/>
    <w:rsid w:val="6BC3086A"/>
    <w:rsid w:val="6BCE3108"/>
    <w:rsid w:val="6BF66210"/>
    <w:rsid w:val="6C2076DB"/>
    <w:rsid w:val="6C2157F2"/>
    <w:rsid w:val="6C2F0EF2"/>
    <w:rsid w:val="6C3A5C83"/>
    <w:rsid w:val="6C53360D"/>
    <w:rsid w:val="6C586E75"/>
    <w:rsid w:val="6C68355C"/>
    <w:rsid w:val="6C976A69"/>
    <w:rsid w:val="6CA36342"/>
    <w:rsid w:val="6CC804C8"/>
    <w:rsid w:val="6CC93235"/>
    <w:rsid w:val="6CD81D64"/>
    <w:rsid w:val="6CE028AE"/>
    <w:rsid w:val="6CE32BE3"/>
    <w:rsid w:val="6CEC6FD0"/>
    <w:rsid w:val="6CFC0D94"/>
    <w:rsid w:val="6D1622F5"/>
    <w:rsid w:val="6D1F1741"/>
    <w:rsid w:val="6D3671B7"/>
    <w:rsid w:val="6D395D42"/>
    <w:rsid w:val="6D4535F9"/>
    <w:rsid w:val="6D5C369D"/>
    <w:rsid w:val="6D650099"/>
    <w:rsid w:val="6D7101EF"/>
    <w:rsid w:val="6D787F07"/>
    <w:rsid w:val="6D8228ED"/>
    <w:rsid w:val="6DA72132"/>
    <w:rsid w:val="6DB85E1E"/>
    <w:rsid w:val="6DC42971"/>
    <w:rsid w:val="6DFD3328"/>
    <w:rsid w:val="6E5E73CE"/>
    <w:rsid w:val="6E5F098F"/>
    <w:rsid w:val="6E68642E"/>
    <w:rsid w:val="6E767C7B"/>
    <w:rsid w:val="6E82527D"/>
    <w:rsid w:val="6E952369"/>
    <w:rsid w:val="6EDF562C"/>
    <w:rsid w:val="6EE669BA"/>
    <w:rsid w:val="6EF72976"/>
    <w:rsid w:val="6EF740FB"/>
    <w:rsid w:val="6F00742E"/>
    <w:rsid w:val="6F0137F4"/>
    <w:rsid w:val="6F086EBE"/>
    <w:rsid w:val="6F0D2199"/>
    <w:rsid w:val="6F125A01"/>
    <w:rsid w:val="6F3C2F1C"/>
    <w:rsid w:val="6F3F6D4E"/>
    <w:rsid w:val="6F4831D1"/>
    <w:rsid w:val="6F4D07E7"/>
    <w:rsid w:val="6F543212"/>
    <w:rsid w:val="6F5F10A7"/>
    <w:rsid w:val="6F667618"/>
    <w:rsid w:val="6F6C5228"/>
    <w:rsid w:val="6F7E69B3"/>
    <w:rsid w:val="6F8A1A3C"/>
    <w:rsid w:val="6F8D1401"/>
    <w:rsid w:val="6F9A6059"/>
    <w:rsid w:val="6FA8400A"/>
    <w:rsid w:val="6FAC7C04"/>
    <w:rsid w:val="6FB62831"/>
    <w:rsid w:val="6FC26F97"/>
    <w:rsid w:val="6FE969A8"/>
    <w:rsid w:val="70262914"/>
    <w:rsid w:val="70476FB4"/>
    <w:rsid w:val="70531E2E"/>
    <w:rsid w:val="705810C3"/>
    <w:rsid w:val="705B0D47"/>
    <w:rsid w:val="70700C31"/>
    <w:rsid w:val="708A2616"/>
    <w:rsid w:val="708D0F72"/>
    <w:rsid w:val="70937D8D"/>
    <w:rsid w:val="70AF7F0C"/>
    <w:rsid w:val="70B44110"/>
    <w:rsid w:val="70E76A1A"/>
    <w:rsid w:val="71035C45"/>
    <w:rsid w:val="710870BC"/>
    <w:rsid w:val="711C2B67"/>
    <w:rsid w:val="712F5076"/>
    <w:rsid w:val="71434477"/>
    <w:rsid w:val="716772A9"/>
    <w:rsid w:val="71900E5F"/>
    <w:rsid w:val="71941F5C"/>
    <w:rsid w:val="71B27028"/>
    <w:rsid w:val="71BC3A02"/>
    <w:rsid w:val="71CE1011"/>
    <w:rsid w:val="71D14601"/>
    <w:rsid w:val="71F4319C"/>
    <w:rsid w:val="71F63387"/>
    <w:rsid w:val="7205184D"/>
    <w:rsid w:val="721831A2"/>
    <w:rsid w:val="722842FE"/>
    <w:rsid w:val="72345FDA"/>
    <w:rsid w:val="723B3782"/>
    <w:rsid w:val="725319FA"/>
    <w:rsid w:val="725E4E64"/>
    <w:rsid w:val="725F6FF5"/>
    <w:rsid w:val="7260580F"/>
    <w:rsid w:val="726C1985"/>
    <w:rsid w:val="72B1108D"/>
    <w:rsid w:val="72BC34AF"/>
    <w:rsid w:val="72DB562A"/>
    <w:rsid w:val="72DC5E87"/>
    <w:rsid w:val="72E42010"/>
    <w:rsid w:val="73007336"/>
    <w:rsid w:val="73042E7C"/>
    <w:rsid w:val="73104373"/>
    <w:rsid w:val="733F48EB"/>
    <w:rsid w:val="73570B03"/>
    <w:rsid w:val="73572B6B"/>
    <w:rsid w:val="73644352"/>
    <w:rsid w:val="73834058"/>
    <w:rsid w:val="738B412B"/>
    <w:rsid w:val="7395275D"/>
    <w:rsid w:val="73D47FF6"/>
    <w:rsid w:val="73D50144"/>
    <w:rsid w:val="73F7592A"/>
    <w:rsid w:val="7416389E"/>
    <w:rsid w:val="74237D69"/>
    <w:rsid w:val="7449069D"/>
    <w:rsid w:val="74626AE3"/>
    <w:rsid w:val="746565D3"/>
    <w:rsid w:val="74870157"/>
    <w:rsid w:val="7499002B"/>
    <w:rsid w:val="74AD6E15"/>
    <w:rsid w:val="74B135C7"/>
    <w:rsid w:val="74D475BC"/>
    <w:rsid w:val="74E03F88"/>
    <w:rsid w:val="752524E0"/>
    <w:rsid w:val="75352341"/>
    <w:rsid w:val="75502DDF"/>
    <w:rsid w:val="75672FAD"/>
    <w:rsid w:val="757139A8"/>
    <w:rsid w:val="757F403F"/>
    <w:rsid w:val="75844358"/>
    <w:rsid w:val="75952EE8"/>
    <w:rsid w:val="7599318E"/>
    <w:rsid w:val="75AB2ED7"/>
    <w:rsid w:val="75AB309B"/>
    <w:rsid w:val="75B620BE"/>
    <w:rsid w:val="75BA129A"/>
    <w:rsid w:val="76037E52"/>
    <w:rsid w:val="760F67F7"/>
    <w:rsid w:val="76165DD7"/>
    <w:rsid w:val="7620726A"/>
    <w:rsid w:val="762E1FAC"/>
    <w:rsid w:val="765C3624"/>
    <w:rsid w:val="76810114"/>
    <w:rsid w:val="7686160D"/>
    <w:rsid w:val="768B613F"/>
    <w:rsid w:val="76935D1A"/>
    <w:rsid w:val="76C6757D"/>
    <w:rsid w:val="76E823FD"/>
    <w:rsid w:val="76FA2174"/>
    <w:rsid w:val="77046592"/>
    <w:rsid w:val="77073972"/>
    <w:rsid w:val="770B0193"/>
    <w:rsid w:val="77125FDE"/>
    <w:rsid w:val="773432D5"/>
    <w:rsid w:val="77373F04"/>
    <w:rsid w:val="77405A7F"/>
    <w:rsid w:val="774D6123"/>
    <w:rsid w:val="7770113A"/>
    <w:rsid w:val="778012CE"/>
    <w:rsid w:val="77905715"/>
    <w:rsid w:val="77AD0E64"/>
    <w:rsid w:val="77D9530E"/>
    <w:rsid w:val="77E72E63"/>
    <w:rsid w:val="77F35CA4"/>
    <w:rsid w:val="77F739E6"/>
    <w:rsid w:val="7807040A"/>
    <w:rsid w:val="78080A9D"/>
    <w:rsid w:val="781C0719"/>
    <w:rsid w:val="782513D5"/>
    <w:rsid w:val="7875635D"/>
    <w:rsid w:val="78792B34"/>
    <w:rsid w:val="78882890"/>
    <w:rsid w:val="788B039C"/>
    <w:rsid w:val="788C2381"/>
    <w:rsid w:val="78B10039"/>
    <w:rsid w:val="78B537F0"/>
    <w:rsid w:val="78C7160B"/>
    <w:rsid w:val="78CA10FB"/>
    <w:rsid w:val="78D745B3"/>
    <w:rsid w:val="78DB6168"/>
    <w:rsid w:val="78F0289D"/>
    <w:rsid w:val="7904460D"/>
    <w:rsid w:val="79330A4E"/>
    <w:rsid w:val="79413850"/>
    <w:rsid w:val="794C7D62"/>
    <w:rsid w:val="795F5CE7"/>
    <w:rsid w:val="797A48CF"/>
    <w:rsid w:val="797B776E"/>
    <w:rsid w:val="79A803FE"/>
    <w:rsid w:val="79AC25AE"/>
    <w:rsid w:val="79B55907"/>
    <w:rsid w:val="79DC4B46"/>
    <w:rsid w:val="79FE2424"/>
    <w:rsid w:val="7A0702E3"/>
    <w:rsid w:val="7A0C439F"/>
    <w:rsid w:val="7A1E34AC"/>
    <w:rsid w:val="7A2B3E1B"/>
    <w:rsid w:val="7A2D1941"/>
    <w:rsid w:val="7A406307"/>
    <w:rsid w:val="7A432514"/>
    <w:rsid w:val="7A5458A8"/>
    <w:rsid w:val="7A6530E0"/>
    <w:rsid w:val="7A7E49AE"/>
    <w:rsid w:val="7A827D2E"/>
    <w:rsid w:val="7A902F4D"/>
    <w:rsid w:val="7A9A3AF1"/>
    <w:rsid w:val="7AA80806"/>
    <w:rsid w:val="7AC53928"/>
    <w:rsid w:val="7ACA7190"/>
    <w:rsid w:val="7ACE2A72"/>
    <w:rsid w:val="7AD47DE7"/>
    <w:rsid w:val="7ADD3367"/>
    <w:rsid w:val="7AFB3264"/>
    <w:rsid w:val="7B0B276E"/>
    <w:rsid w:val="7B1D2A74"/>
    <w:rsid w:val="7B2253B4"/>
    <w:rsid w:val="7B32428B"/>
    <w:rsid w:val="7B3E36DA"/>
    <w:rsid w:val="7B737E55"/>
    <w:rsid w:val="7B7D6304"/>
    <w:rsid w:val="7BA577C9"/>
    <w:rsid w:val="7BB70840"/>
    <w:rsid w:val="7BDB5B2A"/>
    <w:rsid w:val="7BFA1CF7"/>
    <w:rsid w:val="7BFE32E1"/>
    <w:rsid w:val="7C0B2CCB"/>
    <w:rsid w:val="7C10151B"/>
    <w:rsid w:val="7C144448"/>
    <w:rsid w:val="7C18217D"/>
    <w:rsid w:val="7C2E374F"/>
    <w:rsid w:val="7C35307A"/>
    <w:rsid w:val="7C4B227C"/>
    <w:rsid w:val="7C574A54"/>
    <w:rsid w:val="7C8B1F44"/>
    <w:rsid w:val="7C92616D"/>
    <w:rsid w:val="7C9B7036"/>
    <w:rsid w:val="7CAD4FBB"/>
    <w:rsid w:val="7CB24380"/>
    <w:rsid w:val="7CFD1A9F"/>
    <w:rsid w:val="7D0B09C7"/>
    <w:rsid w:val="7D10197B"/>
    <w:rsid w:val="7D1818A6"/>
    <w:rsid w:val="7D234014"/>
    <w:rsid w:val="7D254B52"/>
    <w:rsid w:val="7D264E72"/>
    <w:rsid w:val="7D3134F6"/>
    <w:rsid w:val="7D365A74"/>
    <w:rsid w:val="7D395B17"/>
    <w:rsid w:val="7D420743"/>
    <w:rsid w:val="7D5E7F51"/>
    <w:rsid w:val="7D6C607B"/>
    <w:rsid w:val="7D720D8E"/>
    <w:rsid w:val="7D761851"/>
    <w:rsid w:val="7D7A2CF5"/>
    <w:rsid w:val="7D7D04EA"/>
    <w:rsid w:val="7D8E6B9B"/>
    <w:rsid w:val="7D9E2788"/>
    <w:rsid w:val="7DA168CE"/>
    <w:rsid w:val="7DAE703F"/>
    <w:rsid w:val="7DB3428E"/>
    <w:rsid w:val="7DCA74A7"/>
    <w:rsid w:val="7DD52299"/>
    <w:rsid w:val="7DDF46DB"/>
    <w:rsid w:val="7E0471DB"/>
    <w:rsid w:val="7E4B05E8"/>
    <w:rsid w:val="7E4F3588"/>
    <w:rsid w:val="7E5D031B"/>
    <w:rsid w:val="7E5D0EDC"/>
    <w:rsid w:val="7E6B2A38"/>
    <w:rsid w:val="7E851D4C"/>
    <w:rsid w:val="7E9462D1"/>
    <w:rsid w:val="7EB70C8D"/>
    <w:rsid w:val="7ED716A9"/>
    <w:rsid w:val="7EF95DA4"/>
    <w:rsid w:val="7F511F71"/>
    <w:rsid w:val="7F651B7D"/>
    <w:rsid w:val="7F78365F"/>
    <w:rsid w:val="7F7922EE"/>
    <w:rsid w:val="7F893B49"/>
    <w:rsid w:val="7FA166DE"/>
    <w:rsid w:val="7FC81F68"/>
    <w:rsid w:val="7FCC5758"/>
    <w:rsid w:val="7FE26D2A"/>
    <w:rsid w:val="7FE65FC0"/>
    <w:rsid w:val="7FFD3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99" w:semiHidden="0" w:name="heading 3"/>
    <w:lsdException w:qFormat="1" w:unhideWhenUsed="0" w:uiPriority="99" w:semiHidden="0" w:name="heading 4"/>
    <w:lsdException w:qFormat="1" w:uiPriority="0" w:name="heading 5" w:locked="1"/>
    <w:lsdException w:qFormat="1" w:unhideWhenUsed="0" w:uiPriority="1" w:semiHidden="0" w:name="heading 6" w:locked="1"/>
    <w:lsdException w:qFormat="1" w:unhideWhenUsed="0" w:uiPriority="1"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28"/>
    <w:qFormat/>
    <w:uiPriority w:val="0"/>
    <w:pPr>
      <w:keepNext/>
      <w:keepLines/>
      <w:numPr>
        <w:ilvl w:val="0"/>
        <w:numId w:val="1"/>
      </w:numPr>
      <w:spacing w:line="500" w:lineRule="exact"/>
      <w:jc w:val="center"/>
      <w:outlineLvl w:val="0"/>
    </w:pPr>
    <w:rPr>
      <w:rFonts w:ascii="黑体" w:hAnsi="黑体" w:eastAsia="黑体"/>
      <w:b/>
      <w:bCs/>
      <w:color w:val="000000"/>
      <w:kern w:val="44"/>
      <w:sz w:val="32"/>
      <w:szCs w:val="44"/>
    </w:rPr>
  </w:style>
  <w:style w:type="paragraph" w:styleId="5">
    <w:name w:val="heading 2"/>
    <w:basedOn w:val="1"/>
    <w:next w:val="1"/>
    <w:link w:val="130"/>
    <w:qFormat/>
    <w:locked/>
    <w:uiPriority w:val="0"/>
    <w:pPr>
      <w:keepNext/>
      <w:keepLines/>
      <w:widowControl/>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99"/>
    <w:pPr>
      <w:spacing w:beforeAutospacing="1" w:afterAutospacing="1"/>
      <w:jc w:val="left"/>
      <w:outlineLvl w:val="2"/>
    </w:pPr>
    <w:rPr>
      <w:rFonts w:ascii="宋体" w:hAnsi="宋体" w:eastAsia="宋体"/>
      <w:b/>
      <w:bCs/>
      <w:kern w:val="0"/>
      <w:sz w:val="27"/>
      <w:szCs w:val="27"/>
    </w:rPr>
  </w:style>
  <w:style w:type="paragraph" w:styleId="7">
    <w:name w:val="heading 4"/>
    <w:basedOn w:val="1"/>
    <w:next w:val="1"/>
    <w:link w:val="141"/>
    <w:qFormat/>
    <w:uiPriority w:val="99"/>
    <w:pPr>
      <w:spacing w:beforeAutospacing="1" w:afterAutospacing="1"/>
      <w:jc w:val="left"/>
      <w:outlineLvl w:val="3"/>
    </w:pPr>
    <w:rPr>
      <w:rFonts w:ascii="宋体" w:hAnsi="宋体" w:eastAsia="宋体"/>
      <w:b/>
      <w:bCs/>
      <w:kern w:val="0"/>
      <w:sz w:val="24"/>
      <w:szCs w:val="24"/>
    </w:rPr>
  </w:style>
  <w:style w:type="paragraph" w:styleId="8">
    <w:name w:val="heading 6"/>
    <w:basedOn w:val="1"/>
    <w:next w:val="1"/>
    <w:link w:val="131"/>
    <w:qFormat/>
    <w:locked/>
    <w:uiPriority w:val="1"/>
    <w:pPr>
      <w:widowControl/>
      <w:ind w:left="40"/>
      <w:outlineLvl w:val="5"/>
    </w:pPr>
    <w:rPr>
      <w:rFonts w:ascii="宋体" w:hAnsi="宋体" w:eastAsia="宋体" w:cs="宋体"/>
      <w:szCs w:val="21"/>
    </w:rPr>
  </w:style>
  <w:style w:type="paragraph" w:styleId="9">
    <w:name w:val="heading 7"/>
    <w:basedOn w:val="1"/>
    <w:next w:val="1"/>
    <w:link w:val="132"/>
    <w:qFormat/>
    <w:locked/>
    <w:uiPriority w:val="1"/>
    <w:pPr>
      <w:widowControl/>
      <w:outlineLvl w:val="6"/>
    </w:pPr>
    <w:rPr>
      <w:rFonts w:ascii="宋体" w:hAnsi="宋体" w:eastAsia="宋体" w:cs="宋体"/>
      <w:sz w:val="20"/>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ind w:left="420" w:leftChars="200"/>
    </w:pPr>
  </w:style>
  <w:style w:type="paragraph" w:styleId="10">
    <w:name w:val="annotation text"/>
    <w:basedOn w:val="1"/>
    <w:link w:val="31"/>
    <w:qFormat/>
    <w:uiPriority w:val="99"/>
    <w:pPr>
      <w:jc w:val="left"/>
    </w:pPr>
  </w:style>
  <w:style w:type="paragraph" w:styleId="11">
    <w:name w:val="Body Text"/>
    <w:basedOn w:val="1"/>
    <w:link w:val="129"/>
    <w:unhideWhenUsed/>
    <w:qFormat/>
    <w:uiPriority w:val="1"/>
    <w:pPr>
      <w:spacing w:after="120"/>
    </w:pPr>
  </w:style>
  <w:style w:type="paragraph" w:styleId="12">
    <w:name w:val="Plain Text"/>
    <w:basedOn w:val="1"/>
    <w:link w:val="119"/>
    <w:qFormat/>
    <w:uiPriority w:val="0"/>
    <w:rPr>
      <w:rFonts w:ascii="宋体" w:hAnsi="Courier New" w:cs="Courier New" w:eastAsiaTheme="minorEastAsia"/>
      <w:szCs w:val="21"/>
    </w:rPr>
  </w:style>
  <w:style w:type="paragraph" w:styleId="13">
    <w:name w:val="Balloon Text"/>
    <w:basedOn w:val="1"/>
    <w:link w:val="32"/>
    <w:semiHidden/>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133"/>
    <w:qFormat/>
    <w:uiPriority w:val="0"/>
    <w:pPr>
      <w:widowControl/>
      <w:ind w:left="840" w:hanging="210"/>
    </w:pPr>
    <w:rPr>
      <w:rFonts w:ascii="宋体" w:hAnsi="Times New Roman" w:eastAsia="宋体"/>
      <w:spacing w:val="20"/>
      <w:szCs w:val="20"/>
    </w:rPr>
  </w:style>
  <w:style w:type="paragraph" w:styleId="1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5"/>
    <w:qFormat/>
    <w:uiPriority w:val="10"/>
    <w:pPr>
      <w:spacing w:before="240" w:after="60"/>
      <w:jc w:val="center"/>
      <w:outlineLvl w:val="0"/>
    </w:pPr>
    <w:rPr>
      <w:rFonts w:ascii="等线 Light" w:hAnsi="等线 Light" w:eastAsia="等线 Light"/>
      <w:b/>
      <w:bCs/>
      <w:sz w:val="32"/>
      <w:szCs w:val="32"/>
    </w:rPr>
  </w:style>
  <w:style w:type="paragraph" w:styleId="19">
    <w:name w:val="annotation subject"/>
    <w:basedOn w:val="10"/>
    <w:next w:val="10"/>
    <w:link w:val="139"/>
    <w:semiHidden/>
    <w:unhideWhenUsed/>
    <w:qFormat/>
    <w:uiPriority w:val="99"/>
    <w:pPr>
      <w:widowControl/>
    </w:pPr>
    <w:rPr>
      <w:rFonts w:ascii="Times New Roman" w:hAnsi="Times New Roman" w:eastAsia="宋体"/>
      <w:b/>
      <w:bCs/>
      <w:szCs w:val="20"/>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rFonts w:cs="Times New Roman"/>
      <w:b/>
    </w:rPr>
  </w:style>
  <w:style w:type="character" w:styleId="24">
    <w:name w:val="FollowedHyperlink"/>
    <w:basedOn w:val="22"/>
    <w:semiHidden/>
    <w:qFormat/>
    <w:uiPriority w:val="99"/>
    <w:rPr>
      <w:rFonts w:cs="Times New Roman"/>
      <w:color w:val="800080"/>
      <w:u w:val="single"/>
    </w:rPr>
  </w:style>
  <w:style w:type="character" w:styleId="25">
    <w:name w:val="Emphasis"/>
    <w:basedOn w:val="22"/>
    <w:qFormat/>
    <w:uiPriority w:val="99"/>
    <w:rPr>
      <w:rFonts w:cs="Times New Roman"/>
      <w:color w:val="CC0000"/>
    </w:rPr>
  </w:style>
  <w:style w:type="character" w:styleId="26">
    <w:name w:val="Hyperlink"/>
    <w:basedOn w:val="22"/>
    <w:qFormat/>
    <w:uiPriority w:val="99"/>
    <w:rPr>
      <w:rFonts w:cs="Times New Roman"/>
      <w:color w:val="0000FF"/>
      <w:u w:val="single"/>
    </w:rPr>
  </w:style>
  <w:style w:type="character" w:styleId="27">
    <w:name w:val="annotation reference"/>
    <w:basedOn w:val="22"/>
    <w:qFormat/>
    <w:uiPriority w:val="99"/>
    <w:rPr>
      <w:sz w:val="21"/>
      <w:szCs w:val="21"/>
    </w:rPr>
  </w:style>
  <w:style w:type="character" w:customStyle="1" w:styleId="28">
    <w:name w:val="标题 1 字符"/>
    <w:basedOn w:val="22"/>
    <w:link w:val="4"/>
    <w:qFormat/>
    <w:uiPriority w:val="9"/>
    <w:rPr>
      <w:rFonts w:ascii="等线" w:hAnsi="等线" w:eastAsia="等线"/>
      <w:b/>
      <w:bCs/>
      <w:kern w:val="44"/>
      <w:sz w:val="44"/>
      <w:szCs w:val="44"/>
    </w:rPr>
  </w:style>
  <w:style w:type="character" w:customStyle="1" w:styleId="29">
    <w:name w:val="标题 3 字符"/>
    <w:basedOn w:val="22"/>
    <w:link w:val="6"/>
    <w:semiHidden/>
    <w:qFormat/>
    <w:uiPriority w:val="9"/>
    <w:rPr>
      <w:rFonts w:ascii="等线" w:hAnsi="等线" w:eastAsia="等线"/>
      <w:b/>
      <w:bCs/>
      <w:sz w:val="32"/>
      <w:szCs w:val="32"/>
    </w:rPr>
  </w:style>
  <w:style w:type="character" w:customStyle="1" w:styleId="30">
    <w:name w:val="标题 4 字符"/>
    <w:basedOn w:val="22"/>
    <w:semiHidden/>
    <w:qFormat/>
    <w:uiPriority w:val="9"/>
    <w:rPr>
      <w:rFonts w:ascii="Cambria" w:hAnsi="Cambria" w:eastAsia="宋体" w:cs="Times New Roman"/>
      <w:b/>
      <w:bCs/>
      <w:sz w:val="28"/>
      <w:szCs w:val="28"/>
    </w:rPr>
  </w:style>
  <w:style w:type="character" w:customStyle="1" w:styleId="31">
    <w:name w:val="批注文字 字符"/>
    <w:basedOn w:val="22"/>
    <w:link w:val="10"/>
    <w:qFormat/>
    <w:uiPriority w:val="99"/>
    <w:rPr>
      <w:rFonts w:ascii="等线" w:hAnsi="等线" w:eastAsia="等线"/>
    </w:rPr>
  </w:style>
  <w:style w:type="character" w:customStyle="1" w:styleId="32">
    <w:name w:val="批注框文本 字符"/>
    <w:basedOn w:val="22"/>
    <w:link w:val="13"/>
    <w:semiHidden/>
    <w:qFormat/>
    <w:locked/>
    <w:uiPriority w:val="99"/>
    <w:rPr>
      <w:rFonts w:cs="Times New Roman"/>
      <w:sz w:val="18"/>
      <w:szCs w:val="18"/>
    </w:rPr>
  </w:style>
  <w:style w:type="character" w:customStyle="1" w:styleId="33">
    <w:name w:val="页脚 字符"/>
    <w:basedOn w:val="22"/>
    <w:link w:val="14"/>
    <w:qFormat/>
    <w:locked/>
    <w:uiPriority w:val="99"/>
    <w:rPr>
      <w:rFonts w:cs="Times New Roman"/>
      <w:sz w:val="18"/>
      <w:szCs w:val="18"/>
    </w:rPr>
  </w:style>
  <w:style w:type="character" w:customStyle="1" w:styleId="34">
    <w:name w:val="页眉 字符"/>
    <w:basedOn w:val="22"/>
    <w:link w:val="15"/>
    <w:qFormat/>
    <w:locked/>
    <w:uiPriority w:val="99"/>
    <w:rPr>
      <w:rFonts w:cs="Times New Roman"/>
      <w:sz w:val="18"/>
      <w:szCs w:val="18"/>
    </w:rPr>
  </w:style>
  <w:style w:type="character" w:customStyle="1" w:styleId="35">
    <w:name w:val="标题 字符"/>
    <w:basedOn w:val="22"/>
    <w:link w:val="18"/>
    <w:qFormat/>
    <w:locked/>
    <w:uiPriority w:val="10"/>
    <w:rPr>
      <w:rFonts w:ascii="等线 Light" w:hAnsi="等线 Light" w:eastAsia="等线 Light" w:cs="Times New Roman"/>
      <w:b/>
      <w:bCs/>
      <w:sz w:val="32"/>
      <w:szCs w:val="32"/>
    </w:rPr>
  </w:style>
  <w:style w:type="paragraph" w:customStyle="1" w:styleId="3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9">
    <w:name w:val="font7"/>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40">
    <w:name w:val="font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1">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2">
    <w:name w:val="font10"/>
    <w:basedOn w:val="1"/>
    <w:qFormat/>
    <w:uiPriority w:val="0"/>
    <w:pPr>
      <w:widowControl/>
      <w:spacing w:before="100" w:beforeAutospacing="1" w:after="100" w:afterAutospacing="1"/>
      <w:jc w:val="left"/>
    </w:pPr>
    <w:rPr>
      <w:rFonts w:ascii="Times New Roman" w:hAnsi="Times New Roman" w:eastAsia="宋体"/>
      <w:color w:val="000000"/>
      <w:kern w:val="0"/>
      <w:sz w:val="18"/>
      <w:szCs w:val="18"/>
    </w:rPr>
  </w:style>
  <w:style w:type="paragraph" w:customStyle="1" w:styleId="43">
    <w:name w:val="font11"/>
    <w:basedOn w:val="1"/>
    <w:qFormat/>
    <w:uiPriority w:val="0"/>
    <w:pPr>
      <w:widowControl/>
      <w:spacing w:before="100" w:beforeAutospacing="1" w:after="100" w:afterAutospacing="1"/>
      <w:jc w:val="left"/>
    </w:pPr>
    <w:rPr>
      <w:rFonts w:ascii="宋体" w:hAnsi="宋体" w:eastAsia="宋体" w:cs="宋体"/>
      <w:b/>
      <w:bCs/>
      <w:color w:val="FF0000"/>
      <w:kern w:val="0"/>
      <w:sz w:val="22"/>
    </w:rPr>
  </w:style>
  <w:style w:type="paragraph" w:customStyle="1" w:styleId="44">
    <w:name w:val="font1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45">
    <w:name w:val="font13"/>
    <w:basedOn w:val="1"/>
    <w:qFormat/>
    <w:uiPriority w:val="0"/>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46">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7">
    <w:name w:val="font1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8">
    <w:name w:val="font16"/>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49">
    <w:name w:val="font17"/>
    <w:basedOn w:val="1"/>
    <w:qFormat/>
    <w:uiPriority w:val="0"/>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50">
    <w:name w:val="font18"/>
    <w:basedOn w:val="1"/>
    <w:qFormat/>
    <w:uiPriority w:val="0"/>
    <w:pPr>
      <w:widowControl/>
      <w:spacing w:before="100" w:beforeAutospacing="1" w:after="100" w:afterAutospacing="1"/>
      <w:jc w:val="left"/>
    </w:pPr>
    <w:rPr>
      <w:rFonts w:ascii="宋体" w:hAnsi="宋体" w:eastAsia="宋体" w:cs="宋体"/>
      <w:color w:val="00B050"/>
      <w:kern w:val="0"/>
      <w:sz w:val="18"/>
      <w:szCs w:val="18"/>
    </w:rPr>
  </w:style>
  <w:style w:type="paragraph" w:customStyle="1" w:styleId="51">
    <w:name w:val="font19"/>
    <w:basedOn w:val="1"/>
    <w:qFormat/>
    <w:uiPriority w:val="0"/>
    <w:pPr>
      <w:widowControl/>
      <w:spacing w:before="100" w:beforeAutospacing="1" w:after="100" w:afterAutospacing="1"/>
      <w:jc w:val="left"/>
    </w:pPr>
    <w:rPr>
      <w:rFonts w:ascii="Times New Roman" w:hAnsi="Times New Roman" w:eastAsia="宋体"/>
      <w:color w:val="333333"/>
      <w:kern w:val="0"/>
      <w:sz w:val="18"/>
      <w:szCs w:val="18"/>
    </w:rPr>
  </w:style>
  <w:style w:type="paragraph" w:customStyle="1" w:styleId="5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5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4">
    <w:name w:val="xl68"/>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5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18"/>
      <w:szCs w:val="18"/>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szCs w:val="24"/>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333333"/>
      <w:kern w:val="0"/>
      <w:sz w:val="24"/>
      <w:szCs w:val="24"/>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7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74">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8"/>
      <w:szCs w:val="18"/>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3">
    <w:name w:val="xl9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xl9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333333"/>
      <w:kern w:val="0"/>
      <w:sz w:val="18"/>
      <w:szCs w:val="18"/>
    </w:rPr>
  </w:style>
  <w:style w:type="paragraph" w:customStyle="1" w:styleId="8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8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90">
    <w:name w:val="xl10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2"/>
      <w:szCs w:val="12"/>
    </w:rPr>
  </w:style>
  <w:style w:type="paragraph" w:customStyle="1" w:styleId="9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9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191919"/>
      <w:kern w:val="0"/>
      <w:sz w:val="18"/>
      <w:szCs w:val="18"/>
    </w:rPr>
  </w:style>
  <w:style w:type="paragraph" w:customStyle="1" w:styleId="9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9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kern w:val="0"/>
      <w:sz w:val="18"/>
      <w:szCs w:val="18"/>
    </w:rPr>
  </w:style>
  <w:style w:type="paragraph" w:customStyle="1" w:styleId="9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kern w:val="0"/>
      <w:sz w:val="18"/>
      <w:szCs w:val="18"/>
    </w:rPr>
  </w:style>
  <w:style w:type="paragraph" w:customStyle="1" w:styleId="100">
    <w:name w:val="xl11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01">
    <w:name w:val="xl11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0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04">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105">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106">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10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32"/>
      <w:szCs w:val="32"/>
    </w:rPr>
  </w:style>
  <w:style w:type="paragraph" w:customStyle="1" w:styleId="10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1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333333"/>
      <w:kern w:val="0"/>
      <w:sz w:val="18"/>
      <w:szCs w:val="18"/>
    </w:rPr>
  </w:style>
  <w:style w:type="character" w:customStyle="1" w:styleId="112">
    <w:name w:val="未处理的提及1"/>
    <w:basedOn w:val="22"/>
    <w:semiHidden/>
    <w:qFormat/>
    <w:uiPriority w:val="99"/>
    <w:rPr>
      <w:rFonts w:cs="Times New Roman"/>
      <w:color w:val="605E5C"/>
      <w:shd w:val="clear" w:color="auto" w:fill="E1DFDD"/>
    </w:rPr>
  </w:style>
  <w:style w:type="paragraph" w:customStyle="1" w:styleId="113">
    <w:name w:val="h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4">
    <w:name w:val="fw2"/>
    <w:basedOn w:val="22"/>
    <w:qFormat/>
    <w:uiPriority w:val="0"/>
    <w:rPr>
      <w:rFonts w:cs="Times New Roman"/>
    </w:rPr>
  </w:style>
  <w:style w:type="paragraph" w:customStyle="1" w:styleId="115">
    <w:name w:val="Body text|1"/>
    <w:basedOn w:val="1"/>
    <w:qFormat/>
    <w:uiPriority w:val="0"/>
    <w:pPr>
      <w:spacing w:line="331" w:lineRule="auto"/>
      <w:ind w:firstLine="400"/>
    </w:pPr>
    <w:rPr>
      <w:rFonts w:ascii="宋体" w:hAnsi="宋体" w:eastAsia="宋体" w:cs="宋体"/>
      <w:sz w:val="20"/>
      <w:szCs w:val="20"/>
      <w:lang w:val="zh-TW" w:eastAsia="zh-TW"/>
    </w:rPr>
  </w:style>
  <w:style w:type="paragraph" w:customStyle="1" w:styleId="116">
    <w:name w:val="章"/>
    <w:basedOn w:val="1"/>
    <w:qFormat/>
    <w:uiPriority w:val="99"/>
    <w:pPr>
      <w:spacing w:beforeLines="100" w:afterLines="100" w:line="300" w:lineRule="auto"/>
      <w:jc w:val="center"/>
      <w:outlineLvl w:val="0"/>
    </w:pPr>
    <w:rPr>
      <w:rFonts w:ascii="Times New Roman" w:hAnsi="Times New Roman" w:eastAsia="宋体"/>
      <w:b/>
      <w:bCs/>
      <w:sz w:val="28"/>
      <w:szCs w:val="28"/>
    </w:rPr>
  </w:style>
  <w:style w:type="character" w:customStyle="1" w:styleId="117">
    <w:name w:val="wzzc"/>
    <w:basedOn w:val="22"/>
    <w:qFormat/>
    <w:uiPriority w:val="99"/>
    <w:rPr>
      <w:rFonts w:cs="Times New Roman"/>
    </w:rPr>
  </w:style>
  <w:style w:type="paragraph" w:customStyle="1" w:styleId="118">
    <w:name w:val="修订1"/>
    <w:hidden/>
    <w:qFormat/>
    <w:uiPriority w:val="99"/>
    <w:rPr>
      <w:rFonts w:ascii="等线" w:hAnsi="等线" w:eastAsia="等线" w:cs="Times New Roman"/>
      <w:kern w:val="2"/>
      <w:sz w:val="21"/>
      <w:szCs w:val="22"/>
      <w:lang w:val="en-US" w:eastAsia="zh-CN" w:bidi="ar-SA"/>
    </w:rPr>
  </w:style>
  <w:style w:type="character" w:customStyle="1" w:styleId="119">
    <w:name w:val="纯文本 字符"/>
    <w:basedOn w:val="22"/>
    <w:link w:val="12"/>
    <w:qFormat/>
    <w:uiPriority w:val="0"/>
    <w:rPr>
      <w:rFonts w:ascii="宋体" w:hAnsi="Courier New" w:cs="Courier New" w:eastAsiaTheme="minorEastAsia"/>
      <w:kern w:val="2"/>
      <w:sz w:val="21"/>
      <w:szCs w:val="21"/>
    </w:rPr>
  </w:style>
  <w:style w:type="paragraph" w:customStyle="1" w:styleId="120">
    <w:name w:val="Other|1"/>
    <w:basedOn w:val="1"/>
    <w:qFormat/>
    <w:uiPriority w:val="0"/>
    <w:pPr>
      <w:spacing w:line="331" w:lineRule="auto"/>
      <w:ind w:firstLine="40"/>
    </w:pPr>
    <w:rPr>
      <w:rFonts w:ascii="宋体" w:hAnsi="宋体" w:eastAsia="宋体" w:cs="宋体"/>
      <w:sz w:val="20"/>
      <w:szCs w:val="20"/>
      <w:lang w:val="zh-TW" w:eastAsia="zh-TW" w:bidi="zh-TW"/>
    </w:rPr>
  </w:style>
  <w:style w:type="table" w:customStyle="1" w:styleId="121">
    <w:name w:val="Table Normal"/>
    <w:semiHidden/>
    <w:unhideWhenUsed/>
    <w:qFormat/>
    <w:uiPriority w:val="0"/>
    <w:tblPr>
      <w:tblCellMar>
        <w:top w:w="0" w:type="dxa"/>
        <w:left w:w="0" w:type="dxa"/>
        <w:bottom w:w="0" w:type="dxa"/>
        <w:right w:w="0" w:type="dxa"/>
      </w:tblCellMar>
    </w:tblPr>
  </w:style>
  <w:style w:type="paragraph" w:customStyle="1" w:styleId="122">
    <w:name w:val="Table caption|1"/>
    <w:basedOn w:val="1"/>
    <w:qFormat/>
    <w:uiPriority w:val="0"/>
    <w:rPr>
      <w:rFonts w:ascii="宋体" w:hAnsi="宋体" w:eastAsia="宋体" w:cs="宋体"/>
      <w:sz w:val="18"/>
      <w:szCs w:val="18"/>
      <w:lang w:val="zh-TW" w:eastAsia="zh-TW" w:bidi="zh-TW"/>
    </w:rPr>
  </w:style>
  <w:style w:type="paragraph" w:customStyle="1" w:styleId="123">
    <w:name w:val="Body text|2"/>
    <w:basedOn w:val="1"/>
    <w:qFormat/>
    <w:uiPriority w:val="0"/>
    <w:pPr>
      <w:spacing w:line="315" w:lineRule="exact"/>
    </w:pPr>
    <w:rPr>
      <w:rFonts w:asciiTheme="minorHAnsi" w:hAnsiTheme="minorHAnsi" w:eastAsiaTheme="minorEastAsia" w:cstheme="minorBidi"/>
      <w:sz w:val="20"/>
      <w:szCs w:val="20"/>
    </w:rPr>
  </w:style>
  <w:style w:type="paragraph" w:customStyle="1" w:styleId="124">
    <w:name w:val="Heading #4|1"/>
    <w:basedOn w:val="1"/>
    <w:qFormat/>
    <w:uiPriority w:val="0"/>
    <w:pPr>
      <w:spacing w:after="240"/>
      <w:outlineLvl w:val="3"/>
    </w:pPr>
    <w:rPr>
      <w:rFonts w:asciiTheme="minorHAnsi" w:hAnsiTheme="minorHAnsi" w:eastAsiaTheme="minorEastAsia" w:cstheme="minorBidi"/>
      <w:b/>
      <w:bCs/>
      <w:sz w:val="20"/>
      <w:szCs w:val="20"/>
      <w:lang w:val="zh-TW" w:eastAsia="zh-TW" w:bidi="zh-TW"/>
    </w:rPr>
  </w:style>
  <w:style w:type="paragraph" w:customStyle="1" w:styleId="125">
    <w:name w:val="Body text|3"/>
    <w:basedOn w:val="1"/>
    <w:qFormat/>
    <w:uiPriority w:val="0"/>
    <w:pPr>
      <w:spacing w:after="80"/>
      <w:ind w:firstLine="860"/>
    </w:pPr>
    <w:rPr>
      <w:rFonts w:ascii="宋体" w:hAnsi="宋体" w:eastAsia="宋体" w:cs="宋体"/>
      <w:sz w:val="16"/>
      <w:szCs w:val="16"/>
      <w:lang w:val="zh-TW" w:eastAsia="zh-TW" w:bidi="zh-TW"/>
    </w:rPr>
  </w:style>
  <w:style w:type="paragraph" w:customStyle="1" w:styleId="126">
    <w:name w:val="Body text|5"/>
    <w:basedOn w:val="1"/>
    <w:qFormat/>
    <w:uiPriority w:val="0"/>
    <w:rPr>
      <w:rFonts w:asciiTheme="minorHAnsi" w:hAnsiTheme="minorHAnsi" w:eastAsiaTheme="minorEastAsia" w:cstheme="minorBidi"/>
      <w:b/>
      <w:bCs/>
      <w:sz w:val="34"/>
      <w:szCs w:val="34"/>
      <w:shd w:val="clear" w:color="auto" w:fill="FFFFFF"/>
    </w:rPr>
  </w:style>
  <w:style w:type="paragraph" w:customStyle="1" w:styleId="127">
    <w:name w:val="Header or footer|1"/>
    <w:basedOn w:val="1"/>
    <w:qFormat/>
    <w:uiPriority w:val="0"/>
    <w:rPr>
      <w:rFonts w:asciiTheme="minorHAnsi" w:hAnsiTheme="minorHAnsi" w:eastAsiaTheme="minorEastAsia" w:cstheme="minorBidi"/>
      <w:sz w:val="20"/>
      <w:szCs w:val="20"/>
      <w:lang w:val="zh-TW" w:eastAsia="zh-TW" w:bidi="zh-TW"/>
    </w:rPr>
  </w:style>
  <w:style w:type="paragraph" w:customStyle="1" w:styleId="128">
    <w:name w:val="Header or footer|2"/>
    <w:basedOn w:val="1"/>
    <w:qFormat/>
    <w:uiPriority w:val="0"/>
    <w:rPr>
      <w:rFonts w:asciiTheme="minorHAnsi" w:hAnsiTheme="minorHAnsi" w:eastAsiaTheme="minorEastAsia" w:cstheme="minorBidi"/>
      <w:sz w:val="20"/>
      <w:szCs w:val="20"/>
      <w:lang w:val="zh-TW" w:eastAsia="zh-TW" w:bidi="zh-TW"/>
    </w:rPr>
  </w:style>
  <w:style w:type="character" w:customStyle="1" w:styleId="129">
    <w:name w:val="正文文本 字符"/>
    <w:basedOn w:val="22"/>
    <w:link w:val="11"/>
    <w:semiHidden/>
    <w:qFormat/>
    <w:uiPriority w:val="99"/>
    <w:rPr>
      <w:rFonts w:ascii="等线" w:hAnsi="等线" w:eastAsia="等线"/>
      <w:kern w:val="2"/>
      <w:sz w:val="21"/>
      <w:szCs w:val="22"/>
    </w:rPr>
  </w:style>
  <w:style w:type="character" w:customStyle="1" w:styleId="130">
    <w:name w:val="标题 2 字符"/>
    <w:basedOn w:val="22"/>
    <w:link w:val="5"/>
    <w:qFormat/>
    <w:uiPriority w:val="0"/>
    <w:rPr>
      <w:rFonts w:ascii="Arial" w:hAnsi="Arial" w:eastAsia="黑体"/>
      <w:b/>
      <w:bCs/>
      <w:kern w:val="2"/>
      <w:sz w:val="32"/>
      <w:szCs w:val="32"/>
    </w:rPr>
  </w:style>
  <w:style w:type="character" w:customStyle="1" w:styleId="131">
    <w:name w:val="标题 6 字符"/>
    <w:basedOn w:val="22"/>
    <w:link w:val="8"/>
    <w:qFormat/>
    <w:uiPriority w:val="1"/>
    <w:rPr>
      <w:rFonts w:ascii="宋体" w:hAnsi="宋体" w:cs="宋体"/>
      <w:kern w:val="2"/>
      <w:sz w:val="21"/>
      <w:szCs w:val="21"/>
    </w:rPr>
  </w:style>
  <w:style w:type="character" w:customStyle="1" w:styleId="132">
    <w:name w:val="标题 7 字符"/>
    <w:basedOn w:val="22"/>
    <w:link w:val="9"/>
    <w:qFormat/>
    <w:uiPriority w:val="1"/>
    <w:rPr>
      <w:rFonts w:ascii="宋体" w:hAnsi="宋体" w:cs="宋体"/>
      <w:kern w:val="2"/>
    </w:rPr>
  </w:style>
  <w:style w:type="character" w:customStyle="1" w:styleId="133">
    <w:name w:val="正文文本缩进 3 字符"/>
    <w:basedOn w:val="22"/>
    <w:link w:val="16"/>
    <w:qFormat/>
    <w:uiPriority w:val="0"/>
    <w:rPr>
      <w:rFonts w:ascii="宋体"/>
      <w:spacing w:val="20"/>
      <w:kern w:val="2"/>
      <w:sz w:val="21"/>
    </w:rPr>
  </w:style>
  <w:style w:type="paragraph" w:customStyle="1" w:styleId="13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35">
    <w:name w:val="列出段落2"/>
    <w:basedOn w:val="1"/>
    <w:qFormat/>
    <w:uiPriority w:val="34"/>
    <w:pPr>
      <w:widowControl/>
      <w:ind w:firstLine="420" w:firstLineChars="200"/>
    </w:pPr>
    <w:rPr>
      <w:rFonts w:ascii="Times New Roman" w:hAnsi="Times New Roman" w:eastAsia="宋体"/>
      <w:szCs w:val="20"/>
    </w:rPr>
  </w:style>
  <w:style w:type="paragraph" w:customStyle="1" w:styleId="136">
    <w:name w:val="Table Paragraph"/>
    <w:basedOn w:val="1"/>
    <w:qFormat/>
    <w:uiPriority w:val="1"/>
    <w:pPr>
      <w:widowControl/>
    </w:pPr>
    <w:rPr>
      <w:rFonts w:ascii="宋体" w:hAnsi="宋体" w:eastAsia="宋体" w:cs="宋体"/>
      <w:szCs w:val="20"/>
      <w:lang w:val="zh-CN" w:bidi="zh-CN"/>
    </w:rPr>
  </w:style>
  <w:style w:type="paragraph" w:styleId="137">
    <w:name w:val="List Paragraph"/>
    <w:basedOn w:val="1"/>
    <w:qFormat/>
    <w:uiPriority w:val="1"/>
    <w:pPr>
      <w:widowControl/>
      <w:ind w:left="952" w:firstLine="419"/>
    </w:pPr>
    <w:rPr>
      <w:rFonts w:ascii="宋体" w:hAnsi="宋体" w:eastAsia="宋体" w:cs="宋体"/>
      <w:szCs w:val="20"/>
    </w:rPr>
  </w:style>
  <w:style w:type="paragraph" w:customStyle="1" w:styleId="138">
    <w:name w:val="Body text|4"/>
    <w:basedOn w:val="1"/>
    <w:qFormat/>
    <w:uiPriority w:val="0"/>
    <w:pPr>
      <w:spacing w:after="100"/>
      <w:ind w:right="260"/>
      <w:jc w:val="right"/>
    </w:pPr>
    <w:rPr>
      <w:rFonts w:ascii="Times New Roman" w:hAnsi="Times New Roman" w:eastAsia="宋体"/>
      <w:sz w:val="26"/>
      <w:szCs w:val="26"/>
      <w:lang w:val="zh-TW" w:eastAsia="zh-TW" w:bidi="zh-TW"/>
    </w:rPr>
  </w:style>
  <w:style w:type="character" w:customStyle="1" w:styleId="139">
    <w:name w:val="批注主题 字符"/>
    <w:basedOn w:val="31"/>
    <w:link w:val="19"/>
    <w:semiHidden/>
    <w:qFormat/>
    <w:uiPriority w:val="99"/>
    <w:rPr>
      <w:rFonts w:ascii="等线" w:hAnsi="等线" w:eastAsia="等线"/>
      <w:b/>
      <w:bCs/>
      <w:kern w:val="2"/>
      <w:sz w:val="21"/>
    </w:rPr>
  </w:style>
  <w:style w:type="character" w:customStyle="1" w:styleId="140">
    <w:name w:val="font301"/>
    <w:qFormat/>
    <w:uiPriority w:val="99"/>
    <w:rPr>
      <w:rFonts w:ascii="宋体" w:hAnsi="宋体" w:eastAsia="宋体"/>
      <w:b/>
      <w:color w:val="000000"/>
      <w:sz w:val="36"/>
      <w:u w:val="none"/>
    </w:rPr>
  </w:style>
  <w:style w:type="character" w:customStyle="1" w:styleId="141">
    <w:name w:val="标题 4 字符1"/>
    <w:basedOn w:val="22"/>
    <w:link w:val="7"/>
    <w:semiHidden/>
    <w:qFormat/>
    <w:uiPriority w:val="9"/>
    <w:rPr>
      <w:rFonts w:ascii="Cambria" w:hAnsi="Cambria" w:eastAsia="宋体" w:cs="Times New Roman"/>
      <w:b/>
      <w:bCs/>
      <w:sz w:val="28"/>
      <w:szCs w:val="28"/>
    </w:rPr>
  </w:style>
  <w:style w:type="character" w:customStyle="1" w:styleId="142">
    <w:name w:val="font201"/>
    <w:qFormat/>
    <w:uiPriority w:val="99"/>
    <w:rPr>
      <w:rFonts w:ascii="宋体" w:hAnsi="宋体" w:eastAsia="宋体"/>
      <w:color w:val="000000"/>
      <w:sz w:val="21"/>
      <w:u w:val="none"/>
    </w:rPr>
  </w:style>
  <w:style w:type="character" w:customStyle="1" w:styleId="143">
    <w:name w:val="font121"/>
    <w:qFormat/>
    <w:uiPriority w:val="99"/>
    <w:rPr>
      <w:rFonts w:ascii="Times New Roman" w:hAnsi="Times New Roman"/>
      <w:color w:val="000000"/>
      <w:sz w:val="21"/>
      <w:u w:val="none"/>
    </w:rPr>
  </w:style>
  <w:style w:type="character" w:customStyle="1" w:styleId="144">
    <w:name w:val="font81"/>
    <w:qFormat/>
    <w:uiPriority w:val="99"/>
    <w:rPr>
      <w:rFonts w:ascii="宋体" w:hAnsi="宋体" w:eastAsia="宋体"/>
      <w:color w:val="000000"/>
      <w:sz w:val="21"/>
      <w:u w:val="none"/>
    </w:rPr>
  </w:style>
  <w:style w:type="character" w:customStyle="1" w:styleId="145">
    <w:name w:val="font141"/>
    <w:qFormat/>
    <w:uiPriority w:val="99"/>
    <w:rPr>
      <w:rFonts w:ascii="Times New Roman" w:hAnsi="Times New Roman"/>
      <w:color w:val="000000"/>
      <w:sz w:val="21"/>
      <w:u w:val="none"/>
    </w:rPr>
  </w:style>
  <w:style w:type="paragraph" w:customStyle="1" w:styleId="146">
    <w:name w:val="修订2"/>
    <w:hidden/>
    <w:semiHidden/>
    <w:qFormat/>
    <w:uiPriority w:val="99"/>
    <w:rPr>
      <w:rFonts w:ascii="等线" w:hAnsi="等线" w:eastAsia="等线" w:cs="Times New Roman"/>
      <w:kern w:val="2"/>
      <w:sz w:val="21"/>
      <w:szCs w:val="22"/>
      <w:lang w:val="en-US" w:eastAsia="zh-CN" w:bidi="ar-SA"/>
    </w:rPr>
  </w:style>
  <w:style w:type="character" w:customStyle="1" w:styleId="147">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97173</Words>
  <Characters>109428</Characters>
  <Lines>808</Lines>
  <Paragraphs>227</Paragraphs>
  <TotalTime>16</TotalTime>
  <ScaleCrop>false</ScaleCrop>
  <LinksUpToDate>false</LinksUpToDate>
  <CharactersWithSpaces>111832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2022-08-26T17:38:00Z</dcterms:created>
  <dc:creator>静 朱</dc:creator>
  <cp:lastModifiedBy>朱静</cp:lastModifiedBy>
  <cp:lastPrinted>2022-11-17T00:59:00Z</cp:lastPrinted>
  <dcterms:modified xsi:type="dcterms:W3CDTF">2023-06-18T22:12:41Z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CE5A3AA27E5041BF86C7FD40B51252BF_13</vt:lpwstr>
  </property>
</Properties>
</file>