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/>
    <w:p>
      <w:pPr>
        <w:spacing w:line="520" w:lineRule="exact"/>
        <w:ind w:firstLine="0" w:firstLineChars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年盐城市创新产品（第一批）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评价公示名单</w:t>
      </w:r>
    </w:p>
    <w:tbl>
      <w:tblPr>
        <w:tblStyle w:val="7"/>
        <w:tblW w:w="88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91"/>
        <w:gridCol w:w="1950"/>
        <w:gridCol w:w="2100"/>
        <w:gridCol w:w="2250"/>
        <w:gridCol w:w="15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99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</w:rPr>
              <w:t>序号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</w:rPr>
              <w:t>产业链类别</w:t>
            </w:r>
          </w:p>
        </w:tc>
        <w:tc>
          <w:tcPr>
            <w:tcW w:w="210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</w:rPr>
              <w:t>产品名称</w:t>
            </w:r>
          </w:p>
        </w:tc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</w:rPr>
              <w:t>申报企业</w:t>
            </w: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</w:rPr>
              <w:t>县（市、区）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动力及储能电池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SolBank 0.5P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液冷储能系统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盐城市大丰阿特斯储能科技有限公司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晶硅光伏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TSM-DE21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66片切半单晶单玻210组件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盐城天合国能光伏科技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有限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EV6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纯电动乘用车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江苏悦达起亚汽车有限公司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HiPhi Y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华人运通（江苏）技术有限公司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HT5010XDDA新石器无人车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新石器（盐城）智能制造有限公司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YD5180GSSLZFCEV燃料电池洒水车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ZKS5180TXSJEV纯电动洗扫车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中科尚昇新能源汽车有限公司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Grus3.0云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端协同无人驾驶网联车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盐城中科高通量计算研究院有限公司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鸿海F02无人驾驶集装箱运输车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国唐汽车有限公司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新能源汽车及核心零部件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180Kw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美标充电桩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江苏德利势新能源科技有限公司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重载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AGV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机器人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瑞莱铂（盐城）机器人科技有限公司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AX607沃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睿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VORE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六轴机器人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江苏安旭智能科技有限公司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射阳县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第五代安防机器人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ANDI-V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江苏大陆智源科技有限公司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AI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品质检测系统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汇鼎智联装备科技（江苏）有限公司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TK4500-160数控铣床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江苏华群智能装备有限公司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射阳县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VMC1600D双主轴五轴加工中心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江苏威马悦达智能装备有限公司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0" w:leftChars="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马力通用型无人驾驶拖拉机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江苏悦达智能农业装备有限公司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GS12000-LS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1200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吨超大负荷智能钻进水平定向钻机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江苏谷登重型机械科技股份有限公司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BBH-6000智能大型预抽真空可控气氛多用炉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江苏丰东热技术有限公司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SFUT-25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特种管材超声波自动探伤监测系统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江苏赛福探伤设备制造有限公司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射阳县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装配式箱泵一体化消防给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水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泵站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江苏铭星供水设备有限公司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hx-600移动式大直径钻孔抢险救援装备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江苏和信石油机械有限公司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东台市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SH-A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型高效连续式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UD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无纬布产线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江苏神鹤科技发展有限公司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KA-PGL曳引式客梯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凯斯博电梯有限公司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000000"/>
                <w:kern w:val="0"/>
              </w:rPr>
              <w:t>汽轮发电机基础减隔振（震）系统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道尔道科技股份有限公司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智能装备制造及核心部件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27.5kv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智能感知光电复合电缆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江苏东强股份有限公司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东台市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融合现实（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MR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）图像对准软件V1.0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江苏奥格视特信息科技有限公司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“盐智云”数智工厂运营管理系统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上电智联科技（江苏）有限公司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市开发区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汽车产线故障检测和运维（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PHM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）软件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江苏长虹智能装备股份有限公司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t>e</w:t>
            </w:r>
            <w:r>
              <w:rPr>
                <w:rFonts w:hint="eastAsia"/>
                <w:lang w:val="en-US" w:eastAsia="zh-CN"/>
              </w:rPr>
              <w:t>运维平台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江苏昆仑互联科技有限公司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蜻蜓农服无人化农场云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端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大脑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平台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江苏克胜集团股份有限公司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大数据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基于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DATAOS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的企业数字操作系统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盐城优易数据有限公司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海洋工程装备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水上智能救生系统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云洲（盐城）创新科技有限公司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海洋工程装备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集装箱式新能源淡化海水成套设备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江苏丰海新能源淡化海水发展有限公司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SJ-3 2W智能环境管理装置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江苏生久农化有限公司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东台市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智能垃圾资源化利用系统设备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300t/d江苏华粮机械有限公司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东台市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GBKW智能餐厨垃圾处理机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盐城金球环保产业发展有限公司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吊顶新风机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江苏中科睿赛污染控制工程有限公司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多尺度微气泡增效臭氧氧化水处理装备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江苏南大华兴环保科技股份公司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碳化硅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DPF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颗粒捕捉器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兰德森材料科技（盐城）有限公司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响水县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节能环保装备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水处理微超滤膜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盐城海普润科技股份有限公司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射阳县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绿色建材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BIPV-C零碳装配式BIPV系统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江苏新阳光智顶科技有限公司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绿色建材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FRP新型复合材料锚杆筋材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江苏飞博尔新材料科技有限公司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44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绿色建材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节能型装配式部品部件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江苏博拓新型建筑材料股份有限公司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绿色建材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Alubello-AN95高效节能型智能门窗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江苏阿贝罗智能家居有限公司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H330冰淇淋机器人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盐城更酷智能科技有限公司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CTS2000智能超声波水表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江苏博克斯科技股份有限公司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建湖县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智能窗帘系统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海聆梦家居股份有限公司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TS-TES010智能溯源电子秤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江苏霆善科技有限公司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盐南高新区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云教学终端设备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江苏达冠教育科技有限公司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EED-M7G电子桌牌系统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江苏精仪达科技有限公司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盐都区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19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智能终端</w:t>
            </w:r>
          </w:p>
        </w:tc>
        <w:tc>
          <w:tcPr>
            <w:tcW w:w="21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RX0.4X/200B城镇中低压燃气智能调压箱</w:t>
            </w:r>
          </w:p>
        </w:tc>
        <w:tc>
          <w:tcPr>
            <w:tcW w:w="22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江苏大昌燃气设备有限公司</w:t>
            </w:r>
          </w:p>
        </w:tc>
        <w:tc>
          <w:tcPr>
            <w:tcW w:w="154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大丰区</w:t>
            </w:r>
          </w:p>
        </w:tc>
      </w:tr>
    </w:tbl>
    <w:p>
      <w:pPr>
        <w:spacing w:line="570" w:lineRule="exact"/>
        <w:ind w:firstLine="0" w:firstLineChars="0"/>
        <w:rPr>
          <w:rFonts w:ascii="Times New Roman" w:hAnsi="Times New Roman" w:eastAsia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588" w:header="851" w:footer="1247" w:gutter="0"/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Style w:val="10"/>
                              <w:rFonts w:ascii="宋体" w:cs="宋体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Style w:val="10"/>
                        <w:rFonts w:ascii="宋体" w:cs="宋体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0"/>
                        <w:rFonts w:ascii="宋体" w:hAnsi="宋体" w:cs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MmQ0NGM3NzU1MGNjZjI4NjBkZTQyNDYzZWVlMWMifQ=="/>
  </w:docVars>
  <w:rsids>
    <w:rsidRoot w:val="031F3B11"/>
    <w:rsid w:val="001F0FC2"/>
    <w:rsid w:val="00212812"/>
    <w:rsid w:val="0027405F"/>
    <w:rsid w:val="002D2541"/>
    <w:rsid w:val="00376540"/>
    <w:rsid w:val="00401529"/>
    <w:rsid w:val="00461DD7"/>
    <w:rsid w:val="004B7275"/>
    <w:rsid w:val="005946CF"/>
    <w:rsid w:val="007654ED"/>
    <w:rsid w:val="00994645"/>
    <w:rsid w:val="00A63F4D"/>
    <w:rsid w:val="00B25BFC"/>
    <w:rsid w:val="00B61E52"/>
    <w:rsid w:val="00BC220D"/>
    <w:rsid w:val="00CB1F18"/>
    <w:rsid w:val="00D01C87"/>
    <w:rsid w:val="00D500E9"/>
    <w:rsid w:val="031F3B11"/>
    <w:rsid w:val="09DC12EE"/>
    <w:rsid w:val="0EAE0034"/>
    <w:rsid w:val="10945A9D"/>
    <w:rsid w:val="11977683"/>
    <w:rsid w:val="16ED0036"/>
    <w:rsid w:val="29BE6BC8"/>
    <w:rsid w:val="448D1E08"/>
    <w:rsid w:val="48C25604"/>
    <w:rsid w:val="494F4CCC"/>
    <w:rsid w:val="510820B7"/>
    <w:rsid w:val="517962D9"/>
    <w:rsid w:val="72820202"/>
    <w:rsid w:val="72C45AA9"/>
    <w:rsid w:val="755747BF"/>
    <w:rsid w:val="7584589A"/>
    <w:rsid w:val="7E6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字符"/>
    <w:basedOn w:val="9"/>
    <w:link w:val="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99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01"/>
    <w:basedOn w:val="9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页脚 字符"/>
    <w:basedOn w:val="9"/>
    <w:link w:val="4"/>
    <w:semiHidden/>
    <w:qFormat/>
    <w:locked/>
    <w:uiPriority w:val="99"/>
    <w:rPr>
      <w:rFonts w:ascii="Arial" w:hAnsi="Arial" w:cs="Arial"/>
      <w:sz w:val="18"/>
      <w:szCs w:val="18"/>
    </w:rPr>
  </w:style>
  <w:style w:type="character" w:customStyle="1" w:styleId="20">
    <w:name w:val="页眉 字符"/>
    <w:basedOn w:val="9"/>
    <w:link w:val="5"/>
    <w:semiHidden/>
    <w:qFormat/>
    <w:locked/>
    <w:uiPriority w:val="99"/>
    <w:rPr>
      <w:rFonts w:ascii="Arial" w:hAnsi="Arial" w:cs="Arial"/>
      <w:sz w:val="18"/>
      <w:szCs w:val="18"/>
    </w:rPr>
  </w:style>
  <w:style w:type="character" w:customStyle="1" w:styleId="21">
    <w:name w:val="批注框文本 字符"/>
    <w:basedOn w:val="9"/>
    <w:link w:val="3"/>
    <w:semiHidden/>
    <w:qFormat/>
    <w:uiPriority w:val="99"/>
    <w:rPr>
      <w:rFonts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2122</Words>
  <Characters>2439</Characters>
  <Lines>74</Lines>
  <Paragraphs>20</Paragraphs>
  <TotalTime>25</TotalTime>
  <ScaleCrop>false</ScaleCrop>
  <LinksUpToDate>false</LinksUpToDate>
  <CharactersWithSpaces>2447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2023-07-31T15:23:00Z</dcterms:created>
  <dc:creator>小梦</dc:creator>
  <cp:lastModifiedBy>Administrator</cp:lastModifiedBy>
  <cp:lastPrinted>2023-08-02T02:37:00Z</cp:lastPrinted>
  <dcterms:modified xsi:type="dcterms:W3CDTF">2023-08-02T08:32:12Z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6C5AD08BE7C64D8987D23F12BAA36044_11</vt:lpwstr>
  </property>
</Properties>
</file>