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华文新魏" w:eastAsia="华文新魏"/>
          <w:sz w:val="52"/>
          <w:szCs w:val="52"/>
        </w:rPr>
      </w:pPr>
      <w:r>
        <w:rPr>
          <w:rFonts w:ascii="华文新魏" w:eastAsia="华文新魏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-215265</wp:posOffset>
                </wp:positionH>
                <wp:positionV relativeFrom="paragraph">
                  <wp:posOffset>104775</wp:posOffset>
                </wp:positionV>
                <wp:extent cx="3822700" cy="487680"/>
                <wp:effectExtent l="6350" t="6350" r="19050" b="20320"/>
                <wp:wrapNone/>
                <wp:docPr id="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270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宋体" w:hAnsi="宋体" w:eastAsia="宋体" w:cs="Times New Roman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default" w:ascii="宋体" w:hAnsi="宋体" w:eastAsia="宋体" w:cs="Times New Roman"/>
                                <w:b/>
                                <w:bCs/>
                                <w:sz w:val="24"/>
                              </w:rPr>
                              <w:t>202</w:t>
                            </w:r>
                            <w:r>
                              <w:rPr>
                                <w:rFonts w:hint="eastAsia" w:ascii="宋体" w:hAnsi="宋体" w:cs="Times New Roman"/>
                                <w:b/>
                                <w:bCs/>
                                <w:sz w:val="24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default" w:ascii="宋体" w:hAnsi="宋体" w:eastAsia="宋体" w:cs="Times New Roman"/>
                                <w:b/>
                                <w:bCs/>
                                <w:sz w:val="24"/>
                              </w:rPr>
                              <w:t>年“彭城工匠”职业技能大赛技术文件</w:t>
                            </w:r>
                          </w:p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宋体" w:hAnsi="宋体" w:eastAsia="宋体" w:cs="Times New Roman"/>
                                <w:b/>
                                <w:bCs/>
                                <w:sz w:val="24"/>
                              </w:rPr>
                              <w:t>--</w:t>
                            </w:r>
                            <w:r>
                              <w:rPr>
                                <w:rFonts w:hint="eastAsia" w:ascii="宋体" w:hAnsi="宋体" w:cs="Times New Roman"/>
                                <w:b/>
                                <w:bCs/>
                                <w:sz w:val="24"/>
                                <w:lang w:val="en-US" w:eastAsia="zh-CN"/>
                              </w:rPr>
                              <w:t>装配钳工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-16.95pt;margin-top:8.25pt;height:38.4pt;width:301pt;z-index:251659264;mso-width-relative:page;mso-height-relative:page;" fillcolor="#FFFFFF" filled="t" stroked="t" coordsize="21600,21600" o:gfxdata="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nJsCG2wAAAAkBAAAPAAAAAAAAAAEAIAAAACIAAABkcnMvZG93bnJldi54bWxQ&#10;SwECFAAUAAAACACHTuJAV0T8ey0CAACHBAAADgAAAAAAAAABACAAAAAqAQAAZHJzL2Uyb0RvYy54&#10;bWxQSwUGAAAAAAYABgBZAQAAyQU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宋体" w:hAnsi="宋体" w:eastAsia="宋体" w:cs="Times New Roman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default" w:ascii="宋体" w:hAnsi="宋体" w:eastAsia="宋体" w:cs="Times New Roman"/>
                          <w:b/>
                          <w:bCs/>
                          <w:sz w:val="24"/>
                        </w:rPr>
                        <w:t>202</w:t>
                      </w:r>
                      <w:r>
                        <w:rPr>
                          <w:rFonts w:hint="eastAsia" w:ascii="宋体" w:hAnsi="宋体" w:cs="Times New Roman"/>
                          <w:b/>
                          <w:bCs/>
                          <w:sz w:val="24"/>
                          <w:lang w:val="en-US" w:eastAsia="zh-CN"/>
                        </w:rPr>
                        <w:t>3</w:t>
                      </w:r>
                      <w:r>
                        <w:rPr>
                          <w:rFonts w:hint="default" w:ascii="宋体" w:hAnsi="宋体" w:eastAsia="宋体" w:cs="Times New Roman"/>
                          <w:b/>
                          <w:bCs/>
                          <w:sz w:val="24"/>
                        </w:rPr>
                        <w:t>年“彭城工匠”职业技能大赛技术文件</w:t>
                      </w:r>
                    </w:p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default" w:ascii="宋体" w:hAnsi="宋体" w:eastAsia="宋体" w:cs="Times New Roman"/>
                          <w:b/>
                          <w:bCs/>
                          <w:sz w:val="24"/>
                        </w:rPr>
                        <w:t>--</w:t>
                      </w:r>
                      <w:r>
                        <w:rPr>
                          <w:rFonts w:hint="eastAsia" w:ascii="宋体" w:hAnsi="宋体" w:cs="Times New Roman"/>
                          <w:b/>
                          <w:bCs/>
                          <w:sz w:val="24"/>
                          <w:lang w:val="en-US" w:eastAsia="zh-CN"/>
                        </w:rPr>
                        <w:t>装配钳工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华文新魏" w:eastAsia="华文新魏"/>
          <w:sz w:val="52"/>
          <w:szCs w:val="52"/>
        </w:rPr>
      </w:pPr>
    </w:p>
    <w:p>
      <w:pPr>
        <w:jc w:val="center"/>
        <w:rPr>
          <w:rFonts w:ascii="华文新魏" w:eastAsia="华文新魏"/>
          <w:sz w:val="52"/>
          <w:szCs w:val="52"/>
        </w:rPr>
      </w:pPr>
    </w:p>
    <w:p>
      <w:pPr>
        <w:adjustRightInd w:val="0"/>
        <w:snapToGrid w:val="0"/>
        <w:ind w:right="-58"/>
        <w:jc w:val="center"/>
        <w:rPr>
          <w:rFonts w:hint="eastAsia" w:ascii="方正小标宋简体" w:hAnsi="宋体" w:eastAsia="黑体" w:cs="宋体"/>
          <w:sz w:val="44"/>
          <w:szCs w:val="44"/>
          <w:highlight w:val="none"/>
          <w:lang w:eastAsia="zh-CN"/>
        </w:rPr>
      </w:pPr>
      <w:r>
        <w:rPr>
          <w:rFonts w:hint="eastAsia" w:ascii="黑体" w:hAnsi="黑体" w:eastAsia="黑体"/>
          <w:sz w:val="72"/>
          <w:szCs w:val="72"/>
          <w:lang w:val="en-US" w:eastAsia="zh-CN"/>
        </w:rPr>
        <w:t>装配钳工</w:t>
      </w:r>
      <w:r>
        <w:rPr>
          <w:rFonts w:hint="eastAsia" w:ascii="黑体" w:hAnsi="黑体" w:eastAsia="黑体"/>
          <w:sz w:val="72"/>
          <w:szCs w:val="72"/>
        </w:rPr>
        <w:t>项目技术文件</w:t>
      </w:r>
      <w:r>
        <w:rPr>
          <w:rFonts w:hint="eastAsia" w:ascii="黑体" w:hAnsi="黑体" w:eastAsia="黑体"/>
          <w:sz w:val="72"/>
          <w:szCs w:val="72"/>
        </w:rPr>
        <w:br w:type="textWrapping"/>
      </w:r>
      <w:r>
        <w:rPr>
          <w:rFonts w:hint="eastAsia" w:ascii="黑体" w:hAnsi="黑体" w:eastAsia="黑体"/>
          <w:sz w:val="72"/>
          <w:szCs w:val="72"/>
          <w:lang w:eastAsia="zh-CN"/>
        </w:rPr>
        <w:t>（</w:t>
      </w:r>
      <w:r>
        <w:rPr>
          <w:rFonts w:hint="eastAsia" w:ascii="黑体" w:hAnsi="黑体" w:eastAsia="黑体"/>
          <w:sz w:val="72"/>
          <w:szCs w:val="72"/>
          <w:lang w:val="en-US" w:eastAsia="zh-CN"/>
        </w:rPr>
        <w:t>职工组</w:t>
      </w:r>
      <w:r>
        <w:rPr>
          <w:rFonts w:hint="eastAsia" w:ascii="黑体" w:hAnsi="黑体" w:eastAsia="黑体"/>
          <w:sz w:val="72"/>
          <w:szCs w:val="72"/>
          <w:lang w:eastAsia="zh-CN"/>
        </w:rPr>
        <w:t>）</w:t>
      </w:r>
    </w:p>
    <w:p>
      <w:pPr>
        <w:jc w:val="center"/>
        <w:rPr>
          <w:rFonts w:ascii="黑体" w:hAnsi="黑体" w:eastAsia="黑体"/>
          <w:sz w:val="72"/>
          <w:szCs w:val="72"/>
        </w:rPr>
      </w:pPr>
    </w:p>
    <w:p>
      <w:pPr>
        <w:jc w:val="center"/>
        <w:rPr>
          <w:rFonts w:ascii="华文新魏" w:eastAsia="华文新魏"/>
          <w:sz w:val="52"/>
          <w:szCs w:val="52"/>
        </w:rPr>
      </w:pPr>
    </w:p>
    <w:p>
      <w:pPr>
        <w:jc w:val="center"/>
        <w:rPr>
          <w:rFonts w:ascii="华文新魏" w:eastAsia="华文新魏"/>
          <w:sz w:val="52"/>
          <w:szCs w:val="52"/>
        </w:rPr>
      </w:pPr>
    </w:p>
    <w:p>
      <w:pPr>
        <w:jc w:val="center"/>
        <w:rPr>
          <w:rFonts w:ascii="华文新魏" w:eastAsia="华文新魏"/>
          <w:sz w:val="52"/>
          <w:szCs w:val="52"/>
        </w:rPr>
      </w:pPr>
    </w:p>
    <w:p>
      <w:pPr>
        <w:jc w:val="center"/>
        <w:rPr>
          <w:rFonts w:ascii="华文新魏" w:eastAsia="华文新魏"/>
          <w:sz w:val="52"/>
          <w:szCs w:val="52"/>
        </w:rPr>
      </w:pPr>
    </w:p>
    <w:p>
      <w:pPr>
        <w:jc w:val="center"/>
        <w:rPr>
          <w:rFonts w:ascii="华文新魏" w:eastAsia="华文新魏"/>
          <w:sz w:val="52"/>
          <w:szCs w:val="52"/>
        </w:rPr>
      </w:pPr>
    </w:p>
    <w:p>
      <w:pPr>
        <w:jc w:val="center"/>
        <w:rPr>
          <w:rFonts w:ascii="华文新魏" w:eastAsia="华文新魏"/>
          <w:sz w:val="52"/>
          <w:szCs w:val="52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default"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3</w:t>
      </w:r>
      <w:r>
        <w:rPr>
          <w:rFonts w:hint="default" w:ascii="黑体" w:hAnsi="黑体" w:eastAsia="黑体"/>
          <w:b/>
          <w:sz w:val="32"/>
          <w:szCs w:val="32"/>
        </w:rPr>
        <w:t>年“彭城工匠”职业技能大赛</w:t>
      </w:r>
      <w:r>
        <w:rPr>
          <w:rFonts w:hint="eastAsia" w:ascii="黑体" w:hAnsi="黑体" w:eastAsia="黑体"/>
          <w:b/>
          <w:sz w:val="32"/>
          <w:szCs w:val="32"/>
        </w:rPr>
        <w:t>组委会</w:t>
      </w:r>
    </w:p>
    <w:p>
      <w:pPr>
        <w:jc w:val="center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b/>
          <w:sz w:val="32"/>
          <w:szCs w:val="32"/>
        </w:rPr>
        <w:t>年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sz w:val="32"/>
          <w:szCs w:val="32"/>
        </w:rPr>
        <w:t>月</w:t>
      </w:r>
    </w:p>
    <w:p>
      <w:pPr>
        <w:spacing w:line="500" w:lineRule="exact"/>
        <w:rPr>
          <w:b/>
          <w:bCs/>
          <w:sz w:val="36"/>
          <w:szCs w:val="36"/>
        </w:rPr>
      </w:pPr>
    </w:p>
    <w:p>
      <w:pPr>
        <w:widowControl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br w:type="page"/>
      </w:r>
    </w:p>
    <w:p>
      <w:pPr>
        <w:jc w:val="center"/>
        <w:rPr>
          <w:rFonts w:hint="default" w:ascii="黑体" w:hAnsi="黑体" w:eastAsia="黑体"/>
          <w:b/>
          <w:bCs/>
          <w:sz w:val="32"/>
          <w:szCs w:val="32"/>
        </w:rPr>
      </w:pPr>
      <w:r>
        <w:rPr>
          <w:rFonts w:hint="default" w:ascii="黑体" w:hAnsi="黑体" w:eastAsia="黑体"/>
          <w:b/>
          <w:bCs/>
          <w:sz w:val="32"/>
          <w:szCs w:val="32"/>
        </w:rPr>
        <w:t>202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3</w:t>
      </w:r>
      <w:r>
        <w:rPr>
          <w:rFonts w:hint="default" w:ascii="黑体" w:hAnsi="黑体" w:eastAsia="黑体"/>
          <w:b/>
          <w:bCs/>
          <w:sz w:val="32"/>
          <w:szCs w:val="32"/>
        </w:rPr>
        <w:t>年“彭城工匠”职业技能大赛</w:t>
      </w:r>
    </w:p>
    <w:p>
      <w:pPr>
        <w:jc w:val="center"/>
        <w:rPr>
          <w:rFonts w:hint="default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装配钳工项目（职工组）</w:t>
      </w:r>
      <w:r>
        <w:rPr>
          <w:rFonts w:hint="default" w:ascii="黑体" w:hAnsi="黑体" w:eastAsia="黑体"/>
          <w:b/>
          <w:bCs/>
          <w:sz w:val="32"/>
          <w:szCs w:val="32"/>
        </w:rPr>
        <w:t>技术文件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</w:pPr>
      <w:bookmarkStart w:id="0" w:name="_Toc6084_WPSOffice_Level1"/>
      <w:r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  <w:t>一、本项目技术描述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bookmarkStart w:id="1" w:name="_Toc24880"/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（一）项目描述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装配钳工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项目是指利用加工设备、装配工具和检测仪器对机械设备、</w:t>
      </w:r>
      <w:r>
        <w:rPr>
          <w:rFonts w:hint="eastAsia" w:ascii="宋体" w:hAnsi="宋体" w:eastAsia="宋体" w:cs="宋体"/>
          <w:b w:val="0"/>
          <w:kern w:val="0"/>
          <w:sz w:val="24"/>
          <w:szCs w:val="24"/>
          <w:highlight w:val="none"/>
        </w:rPr>
        <w:t>零件、组件或成品组合装配与调试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等工作的竞赛项目。比赛中对选手的技能要求包括：零件的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手工加工、工程机械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en-US" w:eastAsia="zh-CN"/>
        </w:rPr>
        <w:t>典型零部件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的装配调试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等内容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（二）竞赛方式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本次大赛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为个人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</w:pPr>
      <w:bookmarkStart w:id="2" w:name="_Toc12814_WPSOffice_Level1"/>
      <w:r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  <w:t>二、选手应具备的能力</w:t>
      </w:r>
      <w:bookmarkEnd w:id="2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（一）应知能力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1．机械图样的表示方法、零件图和装配图的识读方法；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2．尺寸公差、形位公差、尺寸链的计算；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3．机械传动的工作原理；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4．通用量具测量方法；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5．装配工艺知识及装配工艺规程；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．安全用电常识；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．安全文明生产与环境保护知识。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（二）应会能力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1．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能根据零件的加工要求，采用合理的加工工艺完成零件加工，并使用通用量具进行零件的精度检测；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．能进行滚动轴承的装配与调试；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．能进行离合器的轴系找中；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．能进行机械设备的精度检测；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5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能根据精度检测结果进行设备调整；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能进行设备的试运行检测。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</w:pPr>
      <w:bookmarkStart w:id="3" w:name="_Toc591_WPSOffice_Level1"/>
      <w:r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  <w:t>三、竞赛内容</w:t>
      </w:r>
      <w:bookmarkEnd w:id="3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（一）竞赛内容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竞赛内容包括理论知识比赛和实际操作（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en-US" w:eastAsia="zh-CN"/>
        </w:rPr>
        <w:t>工程机械典型零部件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的装配调试、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en-US" w:eastAsia="zh-CN"/>
        </w:rPr>
        <w:t>零件手工加工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）比赛两部分。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TW"/>
        </w:rPr>
        <w:t>1．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en-US" w:eastAsia="zh-CN"/>
        </w:rPr>
        <w:t>工程机械典型零部件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的装配调试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选手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根据任务要求，选择合理的装配工艺，进行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零部件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的装配、检测及调整。主要包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过程操作规范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、径向跳动、轴向窜动等项目的检测与调整。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2．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en-US" w:eastAsia="zh-CN"/>
        </w:rPr>
        <w:t>零件手工加工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选手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根据任务要求，选择合理的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加工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工艺，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对制件进行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锯削、锉削、钻孔、铰孔、攻螺纹、装配、检测、调试等。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职业标准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1．国家职业标准《机械设备安装工》高级（国家职业资格三级）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2．国家职业标准《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装配钳工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》高级（国家职业资格三级）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  <w:t>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  <w:t>试题样</w:t>
      </w:r>
      <w:bookmarkStart w:id="4" w:name="_Toc17897"/>
      <w:r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  <w:t>题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根据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公布样题和评分标准，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正式比赛前由大赛技术工作组聘请专家，根据样题进行赛题修改，修改量在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0%左右之间，修改后的赛题不再公布。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（四）竞赛过程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 1．检录赛位抽签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（1）参赛队在规定时间到达指定地点集合，凭参赛证和身份证（两证必须齐全），依次进行安检、身份检录、抽取赛位号并在赛位抽签记录表上签字确认。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（2）赛场的赛位号统一编制，赛位抽签确定后，不准随意调换。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（3）赛位号不对外公布，赛位抽签登记表由检录裁判和监督员一起送保密室封存统一保管，在评分结束后开封统计成绩。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（4）安全教育后，赛前15分钟统一进入赛位准备比赛，在对应的赛位上对软、硬件竞赛设备进行确认，等待竞赛开始指令。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（5）由于选手自身原因迟到，裁判长宣布竞赛开始时仍未到场，按弃赛处理。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2．正式竞赛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（1）现场裁判长对选手集中进行安全教育、告知比赛注意事项。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（2）参赛选手拿到赛题后，在裁判长宣布竞赛开始前不得操作。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）参赛选手在比赛过程中，要求工、量、刀具摆放整齐，将作为选手职业素养评分依据。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）竞赛过程中，选手必须严格遵守比赛规程，确保人身和设备安全，并接受裁判和工作人员的监督和警示。选手不得随意离开赛位，不得与其他参赛队交流，如遇问题时须举手向裁判示意。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）现场裁判坚守赛位，当选手举手示意时，立即处理，不得拖延。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）各类赛务人员必须统一佩戴由大赛组委会签发的相关证件，着装整齐。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）赛场安全员、设备技术支持人员、工作人员必须在指定区域等待，未经允许不得进入比赛区域。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3．比赛结束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（1）裁判长宣布比赛结束，选手立即停止操作，上交赛件。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56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（2）现场收件裁判，清点赛件数量，当选手面将所有赛件（包括没有加工的毛坯）放入物料盒中，盒中不能放入除赛件以外的任何物品。当场赛件收齐后，与监督员一起送加密室进行赛件加密。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（3）加密裁判在赛件的指定位置（由项目组长确定）进行刻码，监督员监督整个加密过程。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五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）竞赛时间安排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1．竞赛时间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竞赛时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间分配，理论知识竞赛时间60分钟，工程机械典型零部件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的装配调试为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0分钟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en-US" w:eastAsia="zh-CN"/>
        </w:rPr>
        <w:t>零件手工加工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180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分钟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选手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须在规定时间完成竞赛项目。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2．项目时间要求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每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个赛项的时间独立计算，选手在规定时间内未完成赛项的，在时间到达后必须立即停止操作，不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进行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延时。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3．场次安排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场次根据参赛选手的人数来进行安排，赛程约为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天，根据选手参赛人数进行分组，具体场次的安排以竞赛手册公布为准。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</w:pPr>
      <w:bookmarkStart w:id="5" w:name="_Toc31910_WPSOffice_Level1"/>
      <w:r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  <w:t>四、评分标准</w:t>
      </w:r>
      <w:bookmarkEnd w:id="4"/>
      <w:r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  <w:t>及流程</w:t>
      </w:r>
      <w:bookmarkEnd w:id="5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（一）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分值分配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Arial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color="000000"/>
        </w:rPr>
        <w:t>理论知识比赛满分为100分，占总成绩的</w:t>
      </w:r>
      <w:r>
        <w:rPr>
          <w:rFonts w:hint="eastAsia" w:ascii="宋体" w:hAnsi="宋体" w:eastAsia="宋体" w:cs="宋体"/>
          <w:sz w:val="24"/>
          <w:szCs w:val="24"/>
          <w:highlight w:val="none"/>
          <w:u w:color="000000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u w:color="000000"/>
        </w:rPr>
        <w:t>0%</w:t>
      </w:r>
      <w:r>
        <w:rPr>
          <w:rFonts w:hint="eastAsia" w:ascii="宋体" w:hAnsi="宋体" w:cs="宋体"/>
          <w:sz w:val="24"/>
          <w:szCs w:val="24"/>
          <w:highlight w:val="none"/>
          <w:u w:color="000000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理论竞赛知识以竞赛题库作为参考资料，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赛前公布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56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0道题，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组卷从题库中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抽取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70%；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color="000000"/>
        </w:rPr>
      </w:pPr>
      <w:bookmarkStart w:id="57" w:name="_GoBack"/>
      <w:bookmarkEnd w:id="57"/>
      <w:r>
        <w:rPr>
          <w:rFonts w:hint="eastAsia" w:ascii="宋体" w:hAnsi="宋体" w:eastAsia="宋体" w:cs="宋体"/>
          <w:sz w:val="24"/>
          <w:szCs w:val="24"/>
          <w:highlight w:val="none"/>
          <w:u w:color="000000"/>
        </w:rPr>
        <w:t>实际操作比赛满分为</w:t>
      </w:r>
      <w:r>
        <w:rPr>
          <w:rFonts w:hint="eastAsia" w:ascii="宋体" w:hAnsi="宋体" w:eastAsia="宋体" w:cs="宋体"/>
          <w:sz w:val="24"/>
          <w:szCs w:val="24"/>
          <w:highlight w:val="none"/>
          <w:u w:color="000000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  <w:highlight w:val="none"/>
          <w:u w:color="000000"/>
        </w:rPr>
        <w:t>0分（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工程机械典型零部件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的装配调试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项目占总成绩的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40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%，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零件手工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加工占总成绩的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60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%，），</w:t>
      </w:r>
      <w:r>
        <w:rPr>
          <w:rFonts w:hint="eastAsia" w:ascii="宋体" w:hAnsi="宋体" w:eastAsia="宋体" w:cs="宋体"/>
          <w:sz w:val="24"/>
          <w:szCs w:val="24"/>
          <w:highlight w:val="none"/>
          <w:u w:color="000000"/>
        </w:rPr>
        <w:t>占总成绩的</w:t>
      </w:r>
      <w:r>
        <w:rPr>
          <w:rFonts w:hint="eastAsia" w:ascii="宋体" w:hAnsi="宋体" w:eastAsia="宋体" w:cs="宋体"/>
          <w:sz w:val="24"/>
          <w:szCs w:val="24"/>
          <w:highlight w:val="none"/>
          <w:u w:color="000000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  <w:highlight w:val="none"/>
          <w:u w:color="000000"/>
        </w:rPr>
        <w:t>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  <w:t>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成绩排序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按比赛总成绩得分从高到低排列参赛队的名次。比赛总成绩相同，按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零件手工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加工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en-US" w:eastAsia="zh-CN"/>
        </w:rPr>
        <w:t>工程机械典型零部件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的装配调试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顺序成绩较高的名次在前。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</w:pPr>
      <w:bookmarkStart w:id="6" w:name="_Toc16067_WPSOffice_Level1"/>
      <w:r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zh-TW" w:eastAsia="zh-TW" w:bidi="ar-SA"/>
        </w:rPr>
        <w:t>五、</w:t>
      </w:r>
      <w:r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en-US" w:eastAsia="zh-CN" w:bidi="ar-SA"/>
        </w:rPr>
        <w:t>场地及设施设备</w:t>
      </w:r>
      <w:bookmarkEnd w:id="6"/>
      <w:bookmarkStart w:id="7" w:name="_Toc11114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（一）赛场环境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1．竞赛场地光线充足，照明良好，供电供水设施正常且安全有保障，场地整洁。每个赛位占地不小于12m</w:t>
      </w:r>
      <w:r>
        <w:rPr>
          <w:rFonts w:hint="eastAsia" w:ascii="宋体" w:hAnsi="宋体" w:eastAsia="宋体" w:cs="宋体"/>
          <w:sz w:val="24"/>
          <w:szCs w:val="24"/>
          <w:highlight w:val="none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（4m×3m），且标明赛位号，机械装调每个赛位提供380V、220V交流电源，各加工赛位提供安全照明电源，每个赛位提供独立的电源保护装置和安全保护措施。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2．竞赛场地设置隔离带，非裁判员、参赛选手、工作人员不得进入比赛场地。竞赛场地划分为检录区、竞赛操作区、休息区、观摩通道等区域，区域之间有明显标志或警示带。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3．赛场设有保安、医疗、设备维修和电力抢险人员待命，以防突发事件。赛场还应设有生活补给站等公共服务设施，为选手和赛场人员提供服务。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4．赛场设置安全通道和警戒线，确保进入赛场的大赛参观、采访、视察的人员限定在安全区域内活动，以保证大赛安全有序进行。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（二）竞赛设施设备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1．竞赛设施设备和工具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（1）竞赛设备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竞赛场地设备，设施由主办方统一提供，具体清单见表5-1。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表5-1场地设备设施清单</w:t>
      </w:r>
    </w:p>
    <w:tbl>
      <w:tblPr>
        <w:tblStyle w:val="15"/>
        <w:tblW w:w="8281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418"/>
        <w:gridCol w:w="1527"/>
        <w:gridCol w:w="782"/>
        <w:gridCol w:w="854"/>
        <w:gridCol w:w="1837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设备、设施名称</w:t>
            </w:r>
          </w:p>
        </w:tc>
        <w:tc>
          <w:tcPr>
            <w:tcW w:w="15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8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钻床</w:t>
            </w:r>
          </w:p>
        </w:tc>
        <w:tc>
          <w:tcPr>
            <w:tcW w:w="15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Z4112</w:t>
            </w: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8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武夷山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8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工作台及台虎钳</w:t>
            </w:r>
          </w:p>
        </w:tc>
        <w:tc>
          <w:tcPr>
            <w:tcW w:w="15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张</w:t>
            </w:r>
          </w:p>
        </w:tc>
        <w:tc>
          <w:tcPr>
            <w:tcW w:w="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40</w:t>
            </w:r>
          </w:p>
        </w:tc>
        <w:tc>
          <w:tcPr>
            <w:tcW w:w="18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8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 xml:space="preserve">划线平板 </w:t>
            </w:r>
          </w:p>
        </w:tc>
        <w:tc>
          <w:tcPr>
            <w:tcW w:w="15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800×600mm</w:t>
            </w: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块</w:t>
            </w:r>
          </w:p>
        </w:tc>
        <w:tc>
          <w:tcPr>
            <w:tcW w:w="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8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驱动桥主减速器</w:t>
            </w:r>
          </w:p>
        </w:tc>
        <w:tc>
          <w:tcPr>
            <w:tcW w:w="15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ZL50</w:t>
            </w:r>
          </w:p>
        </w:tc>
        <w:tc>
          <w:tcPr>
            <w:tcW w:w="7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台</w:t>
            </w:r>
          </w:p>
        </w:tc>
        <w:tc>
          <w:tcPr>
            <w:tcW w:w="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8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※注：场地设备设施以赛题需要会有所变动。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（2）竞赛材料和工量具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表5-2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工程机械典型零部件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color="000000"/>
          <w:lang w:val="zh-TW"/>
        </w:rPr>
        <w:t>的装配调试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工量具清单</w:t>
      </w:r>
    </w:p>
    <w:tbl>
      <w:tblPr>
        <w:tblStyle w:val="15"/>
        <w:tblW w:w="818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181"/>
        <w:gridCol w:w="2977"/>
        <w:gridCol w:w="709"/>
        <w:gridCol w:w="708"/>
        <w:gridCol w:w="8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9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7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百分表</w:t>
            </w:r>
          </w:p>
        </w:tc>
        <w:tc>
          <w:tcPr>
            <w:tcW w:w="29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0-10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7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8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杠杠百分表</w:t>
            </w:r>
          </w:p>
        </w:tc>
        <w:tc>
          <w:tcPr>
            <w:tcW w:w="29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测量范围0.8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7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8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万向磁力表座</w:t>
            </w:r>
          </w:p>
        </w:tc>
        <w:tc>
          <w:tcPr>
            <w:tcW w:w="29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配百分表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7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8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塞尺</w:t>
            </w:r>
          </w:p>
        </w:tc>
        <w:tc>
          <w:tcPr>
            <w:tcW w:w="29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0.02-1.0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7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8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紫铜棒</w:t>
            </w:r>
          </w:p>
        </w:tc>
        <w:tc>
          <w:tcPr>
            <w:tcW w:w="29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根</w:t>
            </w:r>
          </w:p>
        </w:tc>
        <w:tc>
          <w:tcPr>
            <w:tcW w:w="7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8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7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开口扳手套组</w:t>
            </w:r>
          </w:p>
        </w:tc>
        <w:tc>
          <w:tcPr>
            <w:tcW w:w="29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8件套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7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8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7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扭力扳手</w:t>
            </w:r>
          </w:p>
        </w:tc>
        <w:tc>
          <w:tcPr>
            <w:tcW w:w="29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扭力范围5-25N·m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7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8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7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棘轮套筒扳手套装</w:t>
            </w:r>
          </w:p>
        </w:tc>
        <w:tc>
          <w:tcPr>
            <w:tcW w:w="29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7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8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7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板锉</w:t>
            </w:r>
          </w:p>
        </w:tc>
        <w:tc>
          <w:tcPr>
            <w:tcW w:w="29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03915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7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8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7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一字、十字螺丝刀</w:t>
            </w:r>
          </w:p>
        </w:tc>
        <w:tc>
          <w:tcPr>
            <w:tcW w:w="29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63414、63514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7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各1</w:t>
            </w:r>
          </w:p>
        </w:tc>
        <w:tc>
          <w:tcPr>
            <w:tcW w:w="8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7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油枪（含机油）</w:t>
            </w:r>
          </w:p>
        </w:tc>
        <w:tc>
          <w:tcPr>
            <w:tcW w:w="29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250毫升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7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8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7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活动扳手</w:t>
            </w:r>
          </w:p>
        </w:tc>
        <w:tc>
          <w:tcPr>
            <w:tcW w:w="29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250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7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8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※注：1．表5-2中所有工、量、刃具由赛场提供；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720" w:firstLineChars="3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2．最终清单以赛题需要会有所变动。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表5-3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零件手工加工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工、量、刃具推荐清单</w:t>
      </w:r>
    </w:p>
    <w:tbl>
      <w:tblPr>
        <w:tblStyle w:val="15"/>
        <w:tblW w:w="83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2119"/>
        <w:gridCol w:w="2919"/>
        <w:gridCol w:w="700"/>
        <w:gridCol w:w="709"/>
        <w:gridCol w:w="10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外径千分尺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外径千分尺 0～25、25～50、50～75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游标卡尺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0～150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高度游标尺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0～300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各1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刀口直角尺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自定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量块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83 块（1 级）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锯弓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自定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锯条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粗齿、中齿、细齿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机用丝锥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M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麻花钻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Φ4.2、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4.8、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5、7.8、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9.5、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9.8、10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各1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锉刀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自定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铰刀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Φ10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只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H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圆柱销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Φ10×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H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游标卡尺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0～150或0～200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0.02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万能量角器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0～320°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2′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塞尺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0.02～1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副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直尺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0～150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把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17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磁力表座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自定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副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18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百分表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钟式/杠杆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平口钳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自定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正弦规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100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块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21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计算器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带三角函数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22</w:t>
            </w:r>
          </w:p>
        </w:tc>
        <w:tc>
          <w:tcPr>
            <w:tcW w:w="21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内六角螺钉</w:t>
            </w:r>
          </w:p>
        </w:tc>
        <w:tc>
          <w:tcPr>
            <w:tcW w:w="29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M5×12</w:t>
            </w:r>
          </w:p>
        </w:tc>
        <w:tc>
          <w:tcPr>
            <w:tcW w:w="7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7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auto"/>
              <w:ind w:left="0" w:leftChars="0" w:firstLine="36" w:firstLineChars="15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479" w:leftChars="228" w:firstLine="0" w:firstLineChars="0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※注：1．表5-3中所有工、量、刃具由选手根据自身需求自带。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br w:type="textWrapping"/>
      </w:r>
      <w:bookmarkEnd w:id="1"/>
      <w:bookmarkEnd w:id="7"/>
      <w:bookmarkStart w:id="8" w:name="_Toc16258"/>
      <w:bookmarkStart w:id="9" w:name="_Toc19893_WPSOffice_Level1"/>
      <w:r>
        <w:rPr>
          <w:rFonts w:hint="eastAsia" w:ascii="宋体" w:hAnsi="宋体" w:eastAsia="宋体" w:cs="宋体"/>
          <w:b/>
          <w:bCs w:val="0"/>
          <w:kern w:val="36"/>
          <w:sz w:val="24"/>
          <w:szCs w:val="24"/>
          <w:highlight w:val="none"/>
          <w:lang w:val="en-US" w:eastAsia="zh-CN" w:bidi="ar-SA"/>
        </w:rPr>
        <w:t>六、赛事纪律</w:t>
      </w:r>
      <w:bookmarkEnd w:id="8"/>
      <w:bookmarkEnd w:id="9"/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2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</w:pPr>
      <w:bookmarkStart w:id="10" w:name="_Toc32336"/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本项目参照《第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六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届江苏技能状元大赛竞赛技术规则》，制定赛事纪律如下：</w:t>
      </w:r>
    </w:p>
    <w:bookmarkEnd w:id="10"/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2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参赛选手进入赛场须携带身份证、参赛证，不得携带其它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违规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物品，违规者取消本次比赛成绩。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2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由赛项裁判长组织按照竞赛流程检录抽签。各参赛队在比赛前30分钟到赛项指定地点检录。各参赛选手在工作人员的带领下进入候赛室，接到比赛的通知后，到相应的赛室完成竞赛规定的赛项任务。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2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竞赛过程中，参赛选手须严格遵守操作流程和规则，并自觉接受裁判的监督和警示。若因突发故障原因导致竞赛中断，应提请裁判长确认原因,并视具体情况做出裁决。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2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参赛选手竞赛开始、终止时间由裁判记录在案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/>
        </w:rPr>
        <w:t>。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比赛时间到，由裁判示意参赛选手终止操作。参赛选手提前结束竞赛后不得再进行任何操作。参赛选手在竞赛过程中不得擅自离开赛室，如有特殊情况，需经裁判长同意后作另行处理。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2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赛场各类工作人员必须统一佩戴由大赛组委会印制的相应证件，着装整齐，进入工作岗位。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2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赛场除大赛组委会成员、专家组成员、评分裁判、赛场配备的工作人员外，其他人员未经大赛组委会允许不得进入赛场。</w:t>
      </w:r>
    </w:p>
    <w:p>
      <w:pPr>
        <w:pStyle w:val="37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2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zh-TW" w:eastAsia="zh-TW"/>
        </w:rPr>
        <w:t>新闻媒体人员等进入赛场必须经过大赛组委会允许，并且听从现场工作人员的安排和指挥，不得影响竞赛正常进行。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</w:pPr>
      <w:bookmarkStart w:id="11" w:name="_Toc9972_WPSOffice_Level1"/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七、</w:t>
      </w:r>
      <w:bookmarkStart w:id="12" w:name="_Toc504812018"/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赛事安全</w:t>
      </w:r>
      <w:bookmarkEnd w:id="11"/>
      <w:bookmarkEnd w:id="12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大赛的安全目标——事故为零。</w:t>
      </w:r>
      <w:bookmarkStart w:id="13" w:name="_Toc470734484"/>
      <w:bookmarkEnd w:id="13"/>
      <w:bookmarkStart w:id="14" w:name="_Toc456822542"/>
      <w:bookmarkEnd w:id="14"/>
      <w:bookmarkStart w:id="15" w:name="_Toc470735090"/>
      <w:bookmarkEnd w:id="15"/>
      <w:bookmarkStart w:id="16" w:name="_Toc457156820"/>
      <w:bookmarkEnd w:id="16"/>
      <w:bookmarkStart w:id="17" w:name="_Toc456823637"/>
      <w:bookmarkEnd w:id="17"/>
      <w:bookmarkStart w:id="18" w:name="_Toc457145849"/>
      <w:bookmarkEnd w:id="18"/>
      <w:bookmarkStart w:id="19" w:name="_Toc497160472"/>
      <w:bookmarkEnd w:id="19"/>
      <w:bookmarkStart w:id="20" w:name="_Toc484786079"/>
      <w:bookmarkEnd w:id="20"/>
      <w:bookmarkStart w:id="21" w:name="_Toc478134828"/>
      <w:bookmarkEnd w:id="21"/>
      <w:bookmarkStart w:id="22" w:name="_Toc457057389"/>
      <w:bookmarkEnd w:id="22"/>
      <w:bookmarkStart w:id="23" w:name="_Toc504810802"/>
      <w:bookmarkEnd w:id="23"/>
      <w:bookmarkStart w:id="24" w:name="_Toc504810801"/>
      <w:bookmarkEnd w:id="24"/>
      <w:bookmarkStart w:id="25" w:name="_Toc484785690"/>
      <w:bookmarkEnd w:id="25"/>
      <w:bookmarkStart w:id="26" w:name="_Toc456133650"/>
      <w:bookmarkEnd w:id="26"/>
      <w:bookmarkStart w:id="27" w:name="_Toc478321189"/>
      <w:bookmarkEnd w:id="27"/>
      <w:bookmarkStart w:id="28" w:name="_Toc478134827"/>
      <w:bookmarkEnd w:id="28"/>
      <w:bookmarkStart w:id="29" w:name="_Toc456822541"/>
      <w:bookmarkEnd w:id="29"/>
      <w:bookmarkStart w:id="30" w:name="_Toc456250885"/>
      <w:bookmarkEnd w:id="30"/>
      <w:bookmarkStart w:id="31" w:name="_Toc478119761"/>
      <w:bookmarkEnd w:id="31"/>
      <w:bookmarkStart w:id="32" w:name="_Toc497387448"/>
      <w:bookmarkEnd w:id="32"/>
      <w:bookmarkStart w:id="33" w:name="_Toc470734483"/>
      <w:bookmarkEnd w:id="33"/>
      <w:bookmarkStart w:id="34" w:name="_Toc497387449"/>
      <w:bookmarkEnd w:id="34"/>
      <w:bookmarkStart w:id="35" w:name="_Toc484786080"/>
      <w:bookmarkEnd w:id="35"/>
      <w:bookmarkStart w:id="36" w:name="_Toc470735091"/>
      <w:bookmarkEnd w:id="36"/>
      <w:bookmarkStart w:id="37" w:name="_Toc497160405"/>
      <w:bookmarkEnd w:id="37"/>
      <w:bookmarkStart w:id="38" w:name="_Toc457057388"/>
      <w:bookmarkEnd w:id="38"/>
      <w:bookmarkStart w:id="39" w:name="_Toc456179391"/>
      <w:bookmarkEnd w:id="39"/>
      <w:bookmarkStart w:id="40" w:name="_Toc457156821"/>
      <w:bookmarkEnd w:id="40"/>
      <w:bookmarkStart w:id="41" w:name="_Toc478119760"/>
      <w:bookmarkEnd w:id="41"/>
      <w:bookmarkStart w:id="42" w:name="_Toc457145848"/>
      <w:bookmarkEnd w:id="42"/>
      <w:bookmarkStart w:id="43" w:name="_Toc478321190"/>
      <w:bookmarkEnd w:id="43"/>
      <w:bookmarkStart w:id="44" w:name="_Toc456823636"/>
      <w:bookmarkEnd w:id="44"/>
      <w:bookmarkStart w:id="45" w:name="_Toc504812020"/>
      <w:bookmarkEnd w:id="45"/>
      <w:bookmarkStart w:id="46" w:name="_Toc456822934"/>
      <w:bookmarkEnd w:id="46"/>
      <w:bookmarkStart w:id="47" w:name="_Toc497160404"/>
      <w:bookmarkEnd w:id="47"/>
      <w:bookmarkStart w:id="48" w:name="_Toc484785691"/>
      <w:bookmarkEnd w:id="48"/>
      <w:bookmarkStart w:id="49" w:name="_Toc497160473"/>
      <w:bookmarkEnd w:id="49"/>
      <w:bookmarkStart w:id="50" w:name="_Toc456822935"/>
      <w:bookmarkEnd w:id="50"/>
      <w:bookmarkStart w:id="51" w:name="_Toc504812019"/>
      <w:bookmarkEnd w:id="51"/>
      <w:bookmarkStart w:id="52" w:name="_Toc456133688"/>
      <w:bookmarkEnd w:id="52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</w:pPr>
      <w:bookmarkStart w:id="53" w:name="_Toc504812031"/>
      <w:bookmarkStart w:id="54" w:name="_Toc484786091"/>
      <w:r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竞赛场地符合疫情防控需要，比赛承办场地应具有良好的照明和通风设备，应有安全疏散通道，配备完备的灭火等应急处理设施，张贴安全操作及健康需求方面的明确规定，以及明确的现场紧急疏散指示图。有专人负责现场紧急疏导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．参赛选手需自备安全鞋、工作服、护目镜、耳塞等，进入考核区域前必须正确穿戴防护用品（不穿戴工作服、安全鞋的选手不得进行竞赛）。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zh-TW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4．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TW" w:eastAsia="zh-TW"/>
        </w:rPr>
        <w:t>所有操作用具符合安全要求，参赛者保持比赛场地卫生，无任何遗留物品影响后续选手的比赛。在比赛过程中，参赛选手应严格遵守相关专业的操作规程，符合安全文明要求。爱护赛场的设施设备和操作用具。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zh-TW" w:eastAsia="zh-TW"/>
        </w:rPr>
      </w:pPr>
      <w:bookmarkStart w:id="55" w:name="_Toc14116_WPSOffice_Level1"/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八、绿色环保</w:t>
      </w:r>
      <w:bookmarkEnd w:id="53"/>
      <w:bookmarkEnd w:id="54"/>
      <w:bookmarkEnd w:id="55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1．赛场严格遵守我国环境保护法；切削乳化液和切削油不得随意倾倒；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2．提倡绿色竞赛的理念。所有可循环利用的材料都应分类处理和收集。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</w:pPr>
      <w:bookmarkStart w:id="56" w:name="_Toc26681_WPSOffice_Level1"/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九、备注</w:t>
      </w:r>
      <w:bookmarkEnd w:id="56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1．本技术文件（技术描述）是对本竞赛项目内容的框架性描述，正式比赛内容及要求以竞赛最终公布的赛题为准。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2．本技术文件解释权归大赛组委会。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</w:p>
    <w:p>
      <w:pPr>
        <w:spacing w:line="360" w:lineRule="auto"/>
        <w:ind w:right="-185" w:rightChars="-88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宋体" w:hAnsi="宋体"/>
          <w:b/>
          <w:color w:val="000000"/>
          <w:sz w:val="24"/>
        </w:rPr>
        <w:t>附件1</w:t>
      </w: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模块一：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>工程机械典型零部件</w:t>
      </w:r>
      <w:r>
        <w:rPr>
          <w:rFonts w:hint="eastAsia" w:ascii="宋体" w:hAnsi="宋体"/>
          <w:b/>
          <w:color w:val="000000"/>
          <w:sz w:val="24"/>
          <w:lang w:val="zh-TW" w:eastAsia="zh-CN"/>
        </w:rPr>
        <w:t>的装配调试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>样题</w:t>
      </w:r>
    </w:p>
    <w:p>
      <w:pPr>
        <w:spacing w:line="360" w:lineRule="auto"/>
        <w:ind w:firstLine="480" w:firstLineChars="200"/>
        <w:rPr>
          <w:rFonts w:hint="eastAsia" w:ascii="仿宋" w:hAnsi="仿宋" w:eastAsia="仿宋" w:cs="宋体"/>
          <w:b/>
          <w:bCs/>
          <w:sz w:val="24"/>
          <w:szCs w:val="24"/>
        </w:rPr>
      </w:pPr>
      <w:r>
        <w:rPr>
          <w:rFonts w:hint="eastAsia" w:ascii="仿宋" w:hAnsi="仿宋" w:eastAsia="仿宋" w:cs="宋体"/>
          <w:bCs/>
          <w:sz w:val="24"/>
          <w:szCs w:val="24"/>
        </w:rPr>
        <w:t>1</w:t>
      </w:r>
      <w:r>
        <w:rPr>
          <w:rFonts w:ascii="仿宋" w:hAnsi="仿宋" w:eastAsia="仿宋" w:cs="宋体"/>
          <w:bCs/>
          <w:sz w:val="24"/>
          <w:szCs w:val="24"/>
        </w:rPr>
        <w:t>.</w:t>
      </w:r>
      <w:r>
        <w:rPr>
          <w:rFonts w:hint="eastAsia" w:ascii="仿宋" w:hAnsi="仿宋" w:eastAsia="仿宋" w:cs="宋体"/>
          <w:bCs/>
          <w:sz w:val="24"/>
          <w:szCs w:val="24"/>
        </w:rPr>
        <w:t>如图1-</w:t>
      </w:r>
      <w:r>
        <w:rPr>
          <w:rFonts w:hint="eastAsia" w:ascii="仿宋" w:hAnsi="仿宋" w:eastAsia="仿宋" w:cs="宋体"/>
          <w:bCs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宋体"/>
          <w:bCs/>
          <w:sz w:val="24"/>
          <w:szCs w:val="24"/>
        </w:rPr>
        <w:t>所示为</w:t>
      </w:r>
      <w:r>
        <w:rPr>
          <w:rFonts w:hint="eastAsia" w:ascii="仿宋" w:hAnsi="仿宋" w:eastAsia="仿宋" w:cs="宋体"/>
          <w:bCs/>
          <w:sz w:val="24"/>
          <w:szCs w:val="24"/>
          <w:lang w:val="en-US" w:eastAsia="zh-CN"/>
        </w:rPr>
        <w:t>零部件</w:t>
      </w:r>
      <w:r>
        <w:rPr>
          <w:rFonts w:hint="eastAsia" w:ascii="仿宋" w:hAnsi="仿宋" w:eastAsia="仿宋" w:cs="宋体"/>
          <w:bCs/>
          <w:sz w:val="24"/>
          <w:szCs w:val="24"/>
        </w:rPr>
        <w:t>装配图</w:t>
      </w:r>
    </w:p>
    <w:p>
      <w:pPr>
        <w:jc w:val="center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drawing>
          <wp:inline distT="0" distB="0" distL="114300" distR="114300">
            <wp:extent cx="2831465" cy="5048885"/>
            <wp:effectExtent l="0" t="0" r="5715" b="635"/>
            <wp:docPr id="4" name="图片 4" descr="IMG_20221018_135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0221018_135840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831465" cy="504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图1-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</w:t>
      </w:r>
    </w:p>
    <w:p>
      <w:pPr>
        <w:spacing w:line="360" w:lineRule="auto"/>
        <w:ind w:right="-185" w:rightChars="-88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模块二：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>零件手工加工</w:t>
      </w:r>
      <w:r>
        <w:rPr>
          <w:rFonts w:hint="eastAsia" w:ascii="宋体" w:hAnsi="宋体"/>
          <w:b/>
          <w:color w:val="000000"/>
          <w:sz w:val="24"/>
        </w:rPr>
        <w:t>样题</w:t>
      </w:r>
    </w:p>
    <w:p>
      <w:pPr>
        <w:numPr>
          <w:ilvl w:val="0"/>
          <w:numId w:val="1"/>
        </w:numPr>
        <w:spacing w:line="240" w:lineRule="auto"/>
        <w:ind w:firstLine="480" w:firstLineChars="200"/>
        <w:rPr>
          <w:rFonts w:hint="eastAsia"/>
          <w:lang w:eastAsia="zh-CN"/>
        </w:rPr>
      </w:pPr>
      <w:r>
        <w:rPr>
          <w:rFonts w:hint="eastAsia" w:ascii="仿宋" w:hAnsi="仿宋" w:eastAsia="仿宋" w:cs="宋体"/>
          <w:bCs/>
          <w:sz w:val="24"/>
          <w:szCs w:val="24"/>
        </w:rPr>
        <w:t>如图1-</w:t>
      </w:r>
      <w:r>
        <w:rPr>
          <w:rFonts w:hint="eastAsia" w:ascii="仿宋" w:hAnsi="仿宋" w:eastAsia="仿宋" w:cs="宋体"/>
          <w:bCs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宋体"/>
          <w:bCs/>
          <w:sz w:val="24"/>
          <w:szCs w:val="24"/>
          <w:lang w:eastAsia="zh-CN"/>
        </w:rPr>
        <w:t>所示</w:t>
      </w:r>
    </w:p>
    <w:p>
      <w:pPr>
        <w:pStyle w:val="3"/>
        <w:jc w:val="center"/>
        <w:rPr>
          <w:rFonts w:hint="eastAsia"/>
          <w:lang w:eastAsia="zh-CN"/>
        </w:rPr>
      </w:pPr>
    </w:p>
    <w:p>
      <w:pPr>
        <w:spacing w:line="360" w:lineRule="auto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744085" cy="3232785"/>
            <wp:effectExtent l="0" t="0" r="5715" b="571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3232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/>
          <w:sz w:val="24"/>
          <w:szCs w:val="24"/>
        </w:rPr>
        <w:t>图1-</w:t>
      </w:r>
      <w:r>
        <w:rPr>
          <w:rFonts w:ascii="仿宋" w:hAnsi="仿宋" w:eastAsia="仿宋"/>
          <w:sz w:val="24"/>
          <w:szCs w:val="24"/>
        </w:rPr>
        <w:t>1</w:t>
      </w:r>
    </w:p>
    <w:sectPr>
      <w:footerReference r:id="rId3" w:type="default"/>
      <w:footerReference r:id="rId4" w:type="even"/>
      <w:pgSz w:w="11906" w:h="16838"/>
      <w:pgMar w:top="1440" w:right="1344" w:bottom="1440" w:left="1344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center" w:y="1"/>
      <w:rPr>
        <w:rStyle w:val="18"/>
      </w:rPr>
    </w:pPr>
    <w:r>
      <w:rPr>
        <w:rStyle w:val="18"/>
      </w:rPr>
      <w:fldChar w:fldCharType="begin"/>
    </w:r>
    <w:r>
      <w:rPr>
        <w:rStyle w:val="18"/>
      </w:rPr>
      <w:instrText xml:space="preserve">PAGE  </w:instrText>
    </w:r>
    <w:r>
      <w:rPr>
        <w:rStyle w:val="18"/>
      </w:rPr>
      <w:fldChar w:fldCharType="separate"/>
    </w:r>
    <w:r>
      <w:rPr>
        <w:rStyle w:val="18"/>
      </w:rPr>
      <w:t>9</w:t>
    </w:r>
    <w:r>
      <w:rPr>
        <w:rStyle w:val="18"/>
      </w:rPr>
      <w:fldChar w:fldCharType="end"/>
    </w:r>
  </w:p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center" w:y="1"/>
      <w:rPr>
        <w:rStyle w:val="18"/>
      </w:rPr>
    </w:pPr>
    <w:r>
      <w:rPr>
        <w:rStyle w:val="18"/>
      </w:rPr>
      <w:fldChar w:fldCharType="begin"/>
    </w:r>
    <w:r>
      <w:rPr>
        <w:rStyle w:val="18"/>
      </w:rPr>
      <w:instrText xml:space="preserve">PAGE  </w:instrText>
    </w:r>
    <w:r>
      <w:rPr>
        <w:rStyle w:val="18"/>
      </w:rPr>
      <w:fldChar w:fldCharType="end"/>
    </w:r>
  </w:p>
  <w:p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A30E72"/>
    <w:multiLevelType w:val="singleLevel"/>
    <w:tmpl w:val="08A30E7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yZTMwZDViOTlmOWZhNTZmYWJhMTdiODE1YmU5YzQifQ=="/>
  </w:docVars>
  <w:rsids>
    <w:rsidRoot w:val="001F280B"/>
    <w:rsid w:val="00001836"/>
    <w:rsid w:val="0000321C"/>
    <w:rsid w:val="00003F9D"/>
    <w:rsid w:val="00007104"/>
    <w:rsid w:val="000152C1"/>
    <w:rsid w:val="000239CA"/>
    <w:rsid w:val="00025D4A"/>
    <w:rsid w:val="000261D3"/>
    <w:rsid w:val="000306DD"/>
    <w:rsid w:val="0003357C"/>
    <w:rsid w:val="00035DE6"/>
    <w:rsid w:val="0003662F"/>
    <w:rsid w:val="00037141"/>
    <w:rsid w:val="00041892"/>
    <w:rsid w:val="000420A9"/>
    <w:rsid w:val="0004731D"/>
    <w:rsid w:val="00052B0C"/>
    <w:rsid w:val="00054D11"/>
    <w:rsid w:val="00062D72"/>
    <w:rsid w:val="00062E92"/>
    <w:rsid w:val="00077B4B"/>
    <w:rsid w:val="00077F61"/>
    <w:rsid w:val="00083C06"/>
    <w:rsid w:val="00086488"/>
    <w:rsid w:val="000868BD"/>
    <w:rsid w:val="00091ED1"/>
    <w:rsid w:val="00095CA3"/>
    <w:rsid w:val="000A30FE"/>
    <w:rsid w:val="000B419E"/>
    <w:rsid w:val="000B45C0"/>
    <w:rsid w:val="000B5433"/>
    <w:rsid w:val="000C2E26"/>
    <w:rsid w:val="000D173E"/>
    <w:rsid w:val="000D760B"/>
    <w:rsid w:val="000E1419"/>
    <w:rsid w:val="000E1D11"/>
    <w:rsid w:val="000E4EF6"/>
    <w:rsid w:val="000E752F"/>
    <w:rsid w:val="000F2874"/>
    <w:rsid w:val="000F74F7"/>
    <w:rsid w:val="001011BB"/>
    <w:rsid w:val="00103008"/>
    <w:rsid w:val="00106CCF"/>
    <w:rsid w:val="00107F03"/>
    <w:rsid w:val="0011082F"/>
    <w:rsid w:val="00120855"/>
    <w:rsid w:val="00130676"/>
    <w:rsid w:val="00136D05"/>
    <w:rsid w:val="0014051B"/>
    <w:rsid w:val="00144382"/>
    <w:rsid w:val="00144B88"/>
    <w:rsid w:val="001451F4"/>
    <w:rsid w:val="001470D7"/>
    <w:rsid w:val="00147105"/>
    <w:rsid w:val="00147225"/>
    <w:rsid w:val="00153081"/>
    <w:rsid w:val="00163348"/>
    <w:rsid w:val="001651D3"/>
    <w:rsid w:val="00170AAF"/>
    <w:rsid w:val="0017239A"/>
    <w:rsid w:val="00175CA8"/>
    <w:rsid w:val="001805D4"/>
    <w:rsid w:val="00180DBC"/>
    <w:rsid w:val="00183116"/>
    <w:rsid w:val="00185085"/>
    <w:rsid w:val="00187049"/>
    <w:rsid w:val="00191CEE"/>
    <w:rsid w:val="00193D97"/>
    <w:rsid w:val="00196532"/>
    <w:rsid w:val="001A2943"/>
    <w:rsid w:val="001A3456"/>
    <w:rsid w:val="001A3B51"/>
    <w:rsid w:val="001A4B75"/>
    <w:rsid w:val="001B02F1"/>
    <w:rsid w:val="001B38DF"/>
    <w:rsid w:val="001B66B4"/>
    <w:rsid w:val="001B6851"/>
    <w:rsid w:val="001C1F63"/>
    <w:rsid w:val="001D02F2"/>
    <w:rsid w:val="001D1586"/>
    <w:rsid w:val="001D4BB7"/>
    <w:rsid w:val="001D55DD"/>
    <w:rsid w:val="001D72A3"/>
    <w:rsid w:val="001D784B"/>
    <w:rsid w:val="001E466E"/>
    <w:rsid w:val="001E53C6"/>
    <w:rsid w:val="001E6E59"/>
    <w:rsid w:val="001F280B"/>
    <w:rsid w:val="001F38FA"/>
    <w:rsid w:val="001F6034"/>
    <w:rsid w:val="001F60A1"/>
    <w:rsid w:val="001F7385"/>
    <w:rsid w:val="002010A9"/>
    <w:rsid w:val="002045AB"/>
    <w:rsid w:val="00214CDA"/>
    <w:rsid w:val="002153FB"/>
    <w:rsid w:val="00217585"/>
    <w:rsid w:val="002175A2"/>
    <w:rsid w:val="0022055F"/>
    <w:rsid w:val="0022228C"/>
    <w:rsid w:val="00223B83"/>
    <w:rsid w:val="00224256"/>
    <w:rsid w:val="00233932"/>
    <w:rsid w:val="002416D2"/>
    <w:rsid w:val="0025404F"/>
    <w:rsid w:val="00255D46"/>
    <w:rsid w:val="002648DA"/>
    <w:rsid w:val="00264A38"/>
    <w:rsid w:val="0026515D"/>
    <w:rsid w:val="00275BA1"/>
    <w:rsid w:val="00280389"/>
    <w:rsid w:val="00286638"/>
    <w:rsid w:val="00287F39"/>
    <w:rsid w:val="00287F68"/>
    <w:rsid w:val="00297C25"/>
    <w:rsid w:val="002A0EA7"/>
    <w:rsid w:val="002A124E"/>
    <w:rsid w:val="002A2FDC"/>
    <w:rsid w:val="002A444C"/>
    <w:rsid w:val="002A6850"/>
    <w:rsid w:val="002B17CD"/>
    <w:rsid w:val="002B44E7"/>
    <w:rsid w:val="002B5288"/>
    <w:rsid w:val="002B5B79"/>
    <w:rsid w:val="002B669E"/>
    <w:rsid w:val="002B6C5A"/>
    <w:rsid w:val="002C14E2"/>
    <w:rsid w:val="002C43DE"/>
    <w:rsid w:val="002D4A86"/>
    <w:rsid w:val="002D77AB"/>
    <w:rsid w:val="002E23DE"/>
    <w:rsid w:val="002E5F6E"/>
    <w:rsid w:val="002F05A7"/>
    <w:rsid w:val="002F3FAB"/>
    <w:rsid w:val="00301D46"/>
    <w:rsid w:val="00303040"/>
    <w:rsid w:val="003034E1"/>
    <w:rsid w:val="003035F4"/>
    <w:rsid w:val="0032326F"/>
    <w:rsid w:val="00334844"/>
    <w:rsid w:val="00334F31"/>
    <w:rsid w:val="00337FF4"/>
    <w:rsid w:val="00343EDF"/>
    <w:rsid w:val="003504F0"/>
    <w:rsid w:val="003505C4"/>
    <w:rsid w:val="00353162"/>
    <w:rsid w:val="00354696"/>
    <w:rsid w:val="00355FC8"/>
    <w:rsid w:val="00365E6A"/>
    <w:rsid w:val="00370392"/>
    <w:rsid w:val="003753A2"/>
    <w:rsid w:val="003832E9"/>
    <w:rsid w:val="003941BA"/>
    <w:rsid w:val="003A7CEC"/>
    <w:rsid w:val="003B04D2"/>
    <w:rsid w:val="003B1B4D"/>
    <w:rsid w:val="003B416E"/>
    <w:rsid w:val="003B6D0F"/>
    <w:rsid w:val="003D11B9"/>
    <w:rsid w:val="003D46F0"/>
    <w:rsid w:val="003E141C"/>
    <w:rsid w:val="003E2323"/>
    <w:rsid w:val="003E6B73"/>
    <w:rsid w:val="003F0B7B"/>
    <w:rsid w:val="003F2147"/>
    <w:rsid w:val="00400329"/>
    <w:rsid w:val="0040151F"/>
    <w:rsid w:val="00401582"/>
    <w:rsid w:val="00404DB7"/>
    <w:rsid w:val="00404F07"/>
    <w:rsid w:val="0041141A"/>
    <w:rsid w:val="00411717"/>
    <w:rsid w:val="004136E4"/>
    <w:rsid w:val="00415F79"/>
    <w:rsid w:val="00416719"/>
    <w:rsid w:val="004202A5"/>
    <w:rsid w:val="00426943"/>
    <w:rsid w:val="00430335"/>
    <w:rsid w:val="004320A4"/>
    <w:rsid w:val="004367B8"/>
    <w:rsid w:val="00441E76"/>
    <w:rsid w:val="00445217"/>
    <w:rsid w:val="0044526C"/>
    <w:rsid w:val="0044581F"/>
    <w:rsid w:val="00451875"/>
    <w:rsid w:val="00461AAA"/>
    <w:rsid w:val="00461C99"/>
    <w:rsid w:val="0047182D"/>
    <w:rsid w:val="00472106"/>
    <w:rsid w:val="00472EEF"/>
    <w:rsid w:val="00475124"/>
    <w:rsid w:val="0047720B"/>
    <w:rsid w:val="00483312"/>
    <w:rsid w:val="00484B93"/>
    <w:rsid w:val="00486AFA"/>
    <w:rsid w:val="004902CF"/>
    <w:rsid w:val="0049129E"/>
    <w:rsid w:val="004A43B7"/>
    <w:rsid w:val="004A6CF0"/>
    <w:rsid w:val="004A783A"/>
    <w:rsid w:val="004B694F"/>
    <w:rsid w:val="004B7231"/>
    <w:rsid w:val="004C175D"/>
    <w:rsid w:val="004C1B8D"/>
    <w:rsid w:val="004C38F4"/>
    <w:rsid w:val="004C5B3C"/>
    <w:rsid w:val="004D0C44"/>
    <w:rsid w:val="004E4CF9"/>
    <w:rsid w:val="004E66BB"/>
    <w:rsid w:val="004F272E"/>
    <w:rsid w:val="00502293"/>
    <w:rsid w:val="00502488"/>
    <w:rsid w:val="00503AC0"/>
    <w:rsid w:val="00511955"/>
    <w:rsid w:val="00516426"/>
    <w:rsid w:val="00524F3F"/>
    <w:rsid w:val="00527F23"/>
    <w:rsid w:val="005307B8"/>
    <w:rsid w:val="00534B6E"/>
    <w:rsid w:val="00536685"/>
    <w:rsid w:val="005467CF"/>
    <w:rsid w:val="00546847"/>
    <w:rsid w:val="00546CB5"/>
    <w:rsid w:val="00547936"/>
    <w:rsid w:val="005518FD"/>
    <w:rsid w:val="005568DF"/>
    <w:rsid w:val="00560446"/>
    <w:rsid w:val="00564B75"/>
    <w:rsid w:val="005674CF"/>
    <w:rsid w:val="00567E52"/>
    <w:rsid w:val="00571402"/>
    <w:rsid w:val="0057213C"/>
    <w:rsid w:val="005724E3"/>
    <w:rsid w:val="005806F4"/>
    <w:rsid w:val="0058468A"/>
    <w:rsid w:val="00590C09"/>
    <w:rsid w:val="00592483"/>
    <w:rsid w:val="00593605"/>
    <w:rsid w:val="00593ADC"/>
    <w:rsid w:val="00595EC2"/>
    <w:rsid w:val="00596CBF"/>
    <w:rsid w:val="00597A12"/>
    <w:rsid w:val="005A0EFF"/>
    <w:rsid w:val="005A2183"/>
    <w:rsid w:val="005A2332"/>
    <w:rsid w:val="005A28E2"/>
    <w:rsid w:val="005A7728"/>
    <w:rsid w:val="005C03D4"/>
    <w:rsid w:val="005C0705"/>
    <w:rsid w:val="005C0E09"/>
    <w:rsid w:val="005C5A28"/>
    <w:rsid w:val="005C770A"/>
    <w:rsid w:val="005D5867"/>
    <w:rsid w:val="005D7480"/>
    <w:rsid w:val="005E362F"/>
    <w:rsid w:val="005E3DA6"/>
    <w:rsid w:val="005F0DD1"/>
    <w:rsid w:val="00601158"/>
    <w:rsid w:val="00601F02"/>
    <w:rsid w:val="00605B18"/>
    <w:rsid w:val="00605B3F"/>
    <w:rsid w:val="00610385"/>
    <w:rsid w:val="00610A27"/>
    <w:rsid w:val="006111A9"/>
    <w:rsid w:val="00620FEC"/>
    <w:rsid w:val="006228C6"/>
    <w:rsid w:val="00625A2C"/>
    <w:rsid w:val="00626541"/>
    <w:rsid w:val="00627896"/>
    <w:rsid w:val="00630B64"/>
    <w:rsid w:val="00631CE9"/>
    <w:rsid w:val="006354D7"/>
    <w:rsid w:val="00635C52"/>
    <w:rsid w:val="006361CD"/>
    <w:rsid w:val="00637DE5"/>
    <w:rsid w:val="00640B99"/>
    <w:rsid w:val="00642590"/>
    <w:rsid w:val="00642CF1"/>
    <w:rsid w:val="006505BD"/>
    <w:rsid w:val="0065284F"/>
    <w:rsid w:val="006537E0"/>
    <w:rsid w:val="00661CAD"/>
    <w:rsid w:val="00664502"/>
    <w:rsid w:val="0066462C"/>
    <w:rsid w:val="00665CF0"/>
    <w:rsid w:val="00667363"/>
    <w:rsid w:val="0068291F"/>
    <w:rsid w:val="006849D8"/>
    <w:rsid w:val="006858A2"/>
    <w:rsid w:val="00691770"/>
    <w:rsid w:val="00692153"/>
    <w:rsid w:val="0069301B"/>
    <w:rsid w:val="006932A2"/>
    <w:rsid w:val="00693F64"/>
    <w:rsid w:val="00695B0A"/>
    <w:rsid w:val="0069775B"/>
    <w:rsid w:val="006A0215"/>
    <w:rsid w:val="006A244C"/>
    <w:rsid w:val="006A3323"/>
    <w:rsid w:val="006A6CF6"/>
    <w:rsid w:val="006C4FD9"/>
    <w:rsid w:val="006C7169"/>
    <w:rsid w:val="006D0D4D"/>
    <w:rsid w:val="006D1E9F"/>
    <w:rsid w:val="006D20F1"/>
    <w:rsid w:val="006D493E"/>
    <w:rsid w:val="006D5B86"/>
    <w:rsid w:val="006D662E"/>
    <w:rsid w:val="006E082E"/>
    <w:rsid w:val="006E143E"/>
    <w:rsid w:val="006E3A82"/>
    <w:rsid w:val="006E76F7"/>
    <w:rsid w:val="006F11E9"/>
    <w:rsid w:val="006F28CE"/>
    <w:rsid w:val="006F536A"/>
    <w:rsid w:val="006F5F81"/>
    <w:rsid w:val="006F7B27"/>
    <w:rsid w:val="007029E5"/>
    <w:rsid w:val="00705ACC"/>
    <w:rsid w:val="00705B22"/>
    <w:rsid w:val="007074A2"/>
    <w:rsid w:val="00710131"/>
    <w:rsid w:val="0071091F"/>
    <w:rsid w:val="007122EC"/>
    <w:rsid w:val="0071239F"/>
    <w:rsid w:val="007209C5"/>
    <w:rsid w:val="00721132"/>
    <w:rsid w:val="00724E7A"/>
    <w:rsid w:val="00727D19"/>
    <w:rsid w:val="0073052D"/>
    <w:rsid w:val="007330D8"/>
    <w:rsid w:val="00740B77"/>
    <w:rsid w:val="007415E7"/>
    <w:rsid w:val="007430C6"/>
    <w:rsid w:val="0075145F"/>
    <w:rsid w:val="007572FF"/>
    <w:rsid w:val="007624C2"/>
    <w:rsid w:val="00763302"/>
    <w:rsid w:val="00767EB4"/>
    <w:rsid w:val="00774A67"/>
    <w:rsid w:val="00777D17"/>
    <w:rsid w:val="00783907"/>
    <w:rsid w:val="007876A9"/>
    <w:rsid w:val="007A0870"/>
    <w:rsid w:val="007A0E9E"/>
    <w:rsid w:val="007A2992"/>
    <w:rsid w:val="007A537E"/>
    <w:rsid w:val="007A6F63"/>
    <w:rsid w:val="007A6F67"/>
    <w:rsid w:val="007A765B"/>
    <w:rsid w:val="007B0D6A"/>
    <w:rsid w:val="007B5553"/>
    <w:rsid w:val="007C3485"/>
    <w:rsid w:val="007C5EB6"/>
    <w:rsid w:val="007C6BCD"/>
    <w:rsid w:val="007C702C"/>
    <w:rsid w:val="007D0CA0"/>
    <w:rsid w:val="007D2034"/>
    <w:rsid w:val="007D5070"/>
    <w:rsid w:val="007D52B0"/>
    <w:rsid w:val="007D6F79"/>
    <w:rsid w:val="007E13B9"/>
    <w:rsid w:val="007E2AAA"/>
    <w:rsid w:val="007E3E31"/>
    <w:rsid w:val="007F21EB"/>
    <w:rsid w:val="007F27CB"/>
    <w:rsid w:val="007F3EEB"/>
    <w:rsid w:val="007F45C4"/>
    <w:rsid w:val="00807757"/>
    <w:rsid w:val="0081599C"/>
    <w:rsid w:val="00817663"/>
    <w:rsid w:val="00823B73"/>
    <w:rsid w:val="0082516F"/>
    <w:rsid w:val="008338A2"/>
    <w:rsid w:val="00834E8C"/>
    <w:rsid w:val="00835AD4"/>
    <w:rsid w:val="00835B9B"/>
    <w:rsid w:val="00844A6E"/>
    <w:rsid w:val="0085146C"/>
    <w:rsid w:val="0085738B"/>
    <w:rsid w:val="00860428"/>
    <w:rsid w:val="00861EAF"/>
    <w:rsid w:val="008654F9"/>
    <w:rsid w:val="0086694D"/>
    <w:rsid w:val="0086742A"/>
    <w:rsid w:val="008716A4"/>
    <w:rsid w:val="008874F6"/>
    <w:rsid w:val="00890AB2"/>
    <w:rsid w:val="00890B8F"/>
    <w:rsid w:val="00891386"/>
    <w:rsid w:val="0089255C"/>
    <w:rsid w:val="00895BE9"/>
    <w:rsid w:val="008A61BA"/>
    <w:rsid w:val="008A680F"/>
    <w:rsid w:val="008B0E40"/>
    <w:rsid w:val="008B1ACE"/>
    <w:rsid w:val="008B3E49"/>
    <w:rsid w:val="008B428D"/>
    <w:rsid w:val="008B721E"/>
    <w:rsid w:val="008C0712"/>
    <w:rsid w:val="008C7506"/>
    <w:rsid w:val="008D062A"/>
    <w:rsid w:val="008D59F9"/>
    <w:rsid w:val="008E3DE2"/>
    <w:rsid w:val="008E4F8C"/>
    <w:rsid w:val="008F273C"/>
    <w:rsid w:val="008F49A9"/>
    <w:rsid w:val="008F661B"/>
    <w:rsid w:val="00902E8F"/>
    <w:rsid w:val="00904D2F"/>
    <w:rsid w:val="009057C0"/>
    <w:rsid w:val="00905A56"/>
    <w:rsid w:val="009067C7"/>
    <w:rsid w:val="00907C73"/>
    <w:rsid w:val="00915477"/>
    <w:rsid w:val="00916BC6"/>
    <w:rsid w:val="00921337"/>
    <w:rsid w:val="00921EF3"/>
    <w:rsid w:val="0092363F"/>
    <w:rsid w:val="009267AB"/>
    <w:rsid w:val="0093168C"/>
    <w:rsid w:val="00932AB5"/>
    <w:rsid w:val="0093559C"/>
    <w:rsid w:val="0094053B"/>
    <w:rsid w:val="009407F9"/>
    <w:rsid w:val="0094519A"/>
    <w:rsid w:val="00945714"/>
    <w:rsid w:val="0095066E"/>
    <w:rsid w:val="00953CC6"/>
    <w:rsid w:val="00955881"/>
    <w:rsid w:val="00956C8A"/>
    <w:rsid w:val="00960E32"/>
    <w:rsid w:val="00967178"/>
    <w:rsid w:val="00974C5F"/>
    <w:rsid w:val="00975DE6"/>
    <w:rsid w:val="00975EE7"/>
    <w:rsid w:val="00982AB3"/>
    <w:rsid w:val="009834DC"/>
    <w:rsid w:val="00987443"/>
    <w:rsid w:val="00993838"/>
    <w:rsid w:val="0099581D"/>
    <w:rsid w:val="009A6C3F"/>
    <w:rsid w:val="009A79B5"/>
    <w:rsid w:val="009B22B9"/>
    <w:rsid w:val="009B705E"/>
    <w:rsid w:val="009C1F74"/>
    <w:rsid w:val="009C58AB"/>
    <w:rsid w:val="009D5FC8"/>
    <w:rsid w:val="009D7858"/>
    <w:rsid w:val="009E62C1"/>
    <w:rsid w:val="009E650A"/>
    <w:rsid w:val="009F0017"/>
    <w:rsid w:val="009F0DC3"/>
    <w:rsid w:val="009F1299"/>
    <w:rsid w:val="009F2D5C"/>
    <w:rsid w:val="009F4413"/>
    <w:rsid w:val="009F7B1D"/>
    <w:rsid w:val="00A01A47"/>
    <w:rsid w:val="00A142D0"/>
    <w:rsid w:val="00A16475"/>
    <w:rsid w:val="00A1663C"/>
    <w:rsid w:val="00A255DB"/>
    <w:rsid w:val="00A35C33"/>
    <w:rsid w:val="00A37F68"/>
    <w:rsid w:val="00A43A9D"/>
    <w:rsid w:val="00A45AD1"/>
    <w:rsid w:val="00A505C6"/>
    <w:rsid w:val="00A5362A"/>
    <w:rsid w:val="00A54CF2"/>
    <w:rsid w:val="00A6560A"/>
    <w:rsid w:val="00A65A96"/>
    <w:rsid w:val="00A82FC2"/>
    <w:rsid w:val="00A85FBA"/>
    <w:rsid w:val="00A91F33"/>
    <w:rsid w:val="00A93685"/>
    <w:rsid w:val="00A96451"/>
    <w:rsid w:val="00AA40F6"/>
    <w:rsid w:val="00AB2BF5"/>
    <w:rsid w:val="00AB4675"/>
    <w:rsid w:val="00AB5FEA"/>
    <w:rsid w:val="00AB6906"/>
    <w:rsid w:val="00AB730D"/>
    <w:rsid w:val="00AC25EF"/>
    <w:rsid w:val="00AC5305"/>
    <w:rsid w:val="00AC546F"/>
    <w:rsid w:val="00AC71E2"/>
    <w:rsid w:val="00AC79AD"/>
    <w:rsid w:val="00AD258D"/>
    <w:rsid w:val="00AD2A02"/>
    <w:rsid w:val="00AE0813"/>
    <w:rsid w:val="00AE37DD"/>
    <w:rsid w:val="00AE3D2D"/>
    <w:rsid w:val="00AE6F3B"/>
    <w:rsid w:val="00AF463A"/>
    <w:rsid w:val="00AF5562"/>
    <w:rsid w:val="00AF6508"/>
    <w:rsid w:val="00AF6C50"/>
    <w:rsid w:val="00AF7D0E"/>
    <w:rsid w:val="00B03617"/>
    <w:rsid w:val="00B03634"/>
    <w:rsid w:val="00B06CDF"/>
    <w:rsid w:val="00B1165B"/>
    <w:rsid w:val="00B1476E"/>
    <w:rsid w:val="00B14900"/>
    <w:rsid w:val="00B14A29"/>
    <w:rsid w:val="00B219BF"/>
    <w:rsid w:val="00B2695E"/>
    <w:rsid w:val="00B3070F"/>
    <w:rsid w:val="00B3323A"/>
    <w:rsid w:val="00B36FA9"/>
    <w:rsid w:val="00B44915"/>
    <w:rsid w:val="00B465E7"/>
    <w:rsid w:val="00B476D1"/>
    <w:rsid w:val="00B55017"/>
    <w:rsid w:val="00B60136"/>
    <w:rsid w:val="00B61216"/>
    <w:rsid w:val="00B74F74"/>
    <w:rsid w:val="00B75199"/>
    <w:rsid w:val="00B7565A"/>
    <w:rsid w:val="00B859D2"/>
    <w:rsid w:val="00B86BE2"/>
    <w:rsid w:val="00B948C4"/>
    <w:rsid w:val="00B94F8D"/>
    <w:rsid w:val="00BA08E2"/>
    <w:rsid w:val="00BA39F7"/>
    <w:rsid w:val="00BA3CFF"/>
    <w:rsid w:val="00BA3D89"/>
    <w:rsid w:val="00BB1A05"/>
    <w:rsid w:val="00BB24A6"/>
    <w:rsid w:val="00BB2B6D"/>
    <w:rsid w:val="00BC10B6"/>
    <w:rsid w:val="00BC1757"/>
    <w:rsid w:val="00BC1D78"/>
    <w:rsid w:val="00BC55A1"/>
    <w:rsid w:val="00BC5760"/>
    <w:rsid w:val="00BD0855"/>
    <w:rsid w:val="00BD4C43"/>
    <w:rsid w:val="00BD69FE"/>
    <w:rsid w:val="00BD730A"/>
    <w:rsid w:val="00BE0012"/>
    <w:rsid w:val="00BE145E"/>
    <w:rsid w:val="00BE3870"/>
    <w:rsid w:val="00C015BA"/>
    <w:rsid w:val="00C0435E"/>
    <w:rsid w:val="00C11394"/>
    <w:rsid w:val="00C122FC"/>
    <w:rsid w:val="00C208AE"/>
    <w:rsid w:val="00C20924"/>
    <w:rsid w:val="00C210AD"/>
    <w:rsid w:val="00C25666"/>
    <w:rsid w:val="00C26E45"/>
    <w:rsid w:val="00C31CBD"/>
    <w:rsid w:val="00C37747"/>
    <w:rsid w:val="00C45BD8"/>
    <w:rsid w:val="00C52D2E"/>
    <w:rsid w:val="00C56F8E"/>
    <w:rsid w:val="00C70E5A"/>
    <w:rsid w:val="00C8630B"/>
    <w:rsid w:val="00C869AD"/>
    <w:rsid w:val="00CA2BD3"/>
    <w:rsid w:val="00CA5822"/>
    <w:rsid w:val="00CB0F06"/>
    <w:rsid w:val="00CB18DD"/>
    <w:rsid w:val="00CC0E18"/>
    <w:rsid w:val="00CC0FF9"/>
    <w:rsid w:val="00CC3A12"/>
    <w:rsid w:val="00CC3FDE"/>
    <w:rsid w:val="00CC66BB"/>
    <w:rsid w:val="00CC6986"/>
    <w:rsid w:val="00CE1CBF"/>
    <w:rsid w:val="00CF128E"/>
    <w:rsid w:val="00CF1E95"/>
    <w:rsid w:val="00CF469A"/>
    <w:rsid w:val="00D0133B"/>
    <w:rsid w:val="00D0197B"/>
    <w:rsid w:val="00D159B2"/>
    <w:rsid w:val="00D162ED"/>
    <w:rsid w:val="00D2518B"/>
    <w:rsid w:val="00D252AC"/>
    <w:rsid w:val="00D2747C"/>
    <w:rsid w:val="00D30E00"/>
    <w:rsid w:val="00D32FB4"/>
    <w:rsid w:val="00D34458"/>
    <w:rsid w:val="00D36CCD"/>
    <w:rsid w:val="00D36EA9"/>
    <w:rsid w:val="00D36EDF"/>
    <w:rsid w:val="00D37DBE"/>
    <w:rsid w:val="00D37F12"/>
    <w:rsid w:val="00D42D04"/>
    <w:rsid w:val="00D50438"/>
    <w:rsid w:val="00D50C91"/>
    <w:rsid w:val="00D51567"/>
    <w:rsid w:val="00D64321"/>
    <w:rsid w:val="00D678DB"/>
    <w:rsid w:val="00D67F87"/>
    <w:rsid w:val="00D73E4E"/>
    <w:rsid w:val="00D779CC"/>
    <w:rsid w:val="00D820DD"/>
    <w:rsid w:val="00D87A86"/>
    <w:rsid w:val="00D90E9B"/>
    <w:rsid w:val="00D9169C"/>
    <w:rsid w:val="00D92C79"/>
    <w:rsid w:val="00D93B9C"/>
    <w:rsid w:val="00D954A4"/>
    <w:rsid w:val="00DA1F1D"/>
    <w:rsid w:val="00DA51B3"/>
    <w:rsid w:val="00DA7A74"/>
    <w:rsid w:val="00DA7E89"/>
    <w:rsid w:val="00DB2934"/>
    <w:rsid w:val="00DB2EEA"/>
    <w:rsid w:val="00DB4E74"/>
    <w:rsid w:val="00DC491E"/>
    <w:rsid w:val="00DC540E"/>
    <w:rsid w:val="00DD440B"/>
    <w:rsid w:val="00DE2B1F"/>
    <w:rsid w:val="00DE3F3D"/>
    <w:rsid w:val="00DE4EFC"/>
    <w:rsid w:val="00DE5FDB"/>
    <w:rsid w:val="00DE68B0"/>
    <w:rsid w:val="00DE6F1C"/>
    <w:rsid w:val="00DF1289"/>
    <w:rsid w:val="00DF1732"/>
    <w:rsid w:val="00E013E0"/>
    <w:rsid w:val="00E05325"/>
    <w:rsid w:val="00E0635E"/>
    <w:rsid w:val="00E07D00"/>
    <w:rsid w:val="00E10484"/>
    <w:rsid w:val="00E10B3E"/>
    <w:rsid w:val="00E10C52"/>
    <w:rsid w:val="00E11238"/>
    <w:rsid w:val="00E11EC2"/>
    <w:rsid w:val="00E20C73"/>
    <w:rsid w:val="00E214AA"/>
    <w:rsid w:val="00E238E7"/>
    <w:rsid w:val="00E2411C"/>
    <w:rsid w:val="00E2788C"/>
    <w:rsid w:val="00E332BA"/>
    <w:rsid w:val="00E424BD"/>
    <w:rsid w:val="00E42DA3"/>
    <w:rsid w:val="00E457E2"/>
    <w:rsid w:val="00E46DEA"/>
    <w:rsid w:val="00E47DFA"/>
    <w:rsid w:val="00E5348A"/>
    <w:rsid w:val="00E568D8"/>
    <w:rsid w:val="00E60F0C"/>
    <w:rsid w:val="00E624D5"/>
    <w:rsid w:val="00E66BA5"/>
    <w:rsid w:val="00E7363D"/>
    <w:rsid w:val="00E7534C"/>
    <w:rsid w:val="00E911DD"/>
    <w:rsid w:val="00E91C1A"/>
    <w:rsid w:val="00E91D4A"/>
    <w:rsid w:val="00EA1510"/>
    <w:rsid w:val="00EA3A4E"/>
    <w:rsid w:val="00EA3E0F"/>
    <w:rsid w:val="00EB0779"/>
    <w:rsid w:val="00EB350B"/>
    <w:rsid w:val="00EB50C1"/>
    <w:rsid w:val="00EC5307"/>
    <w:rsid w:val="00EC7D9B"/>
    <w:rsid w:val="00ED10DA"/>
    <w:rsid w:val="00ED6664"/>
    <w:rsid w:val="00EE2333"/>
    <w:rsid w:val="00EE2735"/>
    <w:rsid w:val="00EE7953"/>
    <w:rsid w:val="00EE7A8C"/>
    <w:rsid w:val="00EE7DEF"/>
    <w:rsid w:val="00EF0708"/>
    <w:rsid w:val="00EF3164"/>
    <w:rsid w:val="00EF3171"/>
    <w:rsid w:val="00EF45A7"/>
    <w:rsid w:val="00EF4877"/>
    <w:rsid w:val="00EF4B9B"/>
    <w:rsid w:val="00F02208"/>
    <w:rsid w:val="00F11785"/>
    <w:rsid w:val="00F12436"/>
    <w:rsid w:val="00F24061"/>
    <w:rsid w:val="00F241B1"/>
    <w:rsid w:val="00F278AC"/>
    <w:rsid w:val="00F33D29"/>
    <w:rsid w:val="00F35D6B"/>
    <w:rsid w:val="00F44014"/>
    <w:rsid w:val="00F462A2"/>
    <w:rsid w:val="00F559BE"/>
    <w:rsid w:val="00F6109C"/>
    <w:rsid w:val="00F6661D"/>
    <w:rsid w:val="00F72E87"/>
    <w:rsid w:val="00F869E3"/>
    <w:rsid w:val="00F90C59"/>
    <w:rsid w:val="00F913EC"/>
    <w:rsid w:val="00FA392F"/>
    <w:rsid w:val="00FA570A"/>
    <w:rsid w:val="00FA5A15"/>
    <w:rsid w:val="00FB419E"/>
    <w:rsid w:val="00FB55B3"/>
    <w:rsid w:val="00FC773A"/>
    <w:rsid w:val="00FD408D"/>
    <w:rsid w:val="00FD669E"/>
    <w:rsid w:val="00FE1D87"/>
    <w:rsid w:val="00FE6DCD"/>
    <w:rsid w:val="00FF61A4"/>
    <w:rsid w:val="00FF76D7"/>
    <w:rsid w:val="00FF797F"/>
    <w:rsid w:val="01F77735"/>
    <w:rsid w:val="037B371D"/>
    <w:rsid w:val="07A115E8"/>
    <w:rsid w:val="07CF4038"/>
    <w:rsid w:val="09127ED6"/>
    <w:rsid w:val="0A8C6210"/>
    <w:rsid w:val="0B056F05"/>
    <w:rsid w:val="0C697F44"/>
    <w:rsid w:val="0D642642"/>
    <w:rsid w:val="0E055DB2"/>
    <w:rsid w:val="0F022F45"/>
    <w:rsid w:val="0FAD318D"/>
    <w:rsid w:val="133451EC"/>
    <w:rsid w:val="13C306F0"/>
    <w:rsid w:val="149B6CEC"/>
    <w:rsid w:val="15681628"/>
    <w:rsid w:val="157B1E18"/>
    <w:rsid w:val="164122EB"/>
    <w:rsid w:val="16F67E11"/>
    <w:rsid w:val="178635FC"/>
    <w:rsid w:val="19D72ECB"/>
    <w:rsid w:val="1AAB26E2"/>
    <w:rsid w:val="1C3E504A"/>
    <w:rsid w:val="1C3E5C55"/>
    <w:rsid w:val="1CF85987"/>
    <w:rsid w:val="1CFC3B98"/>
    <w:rsid w:val="1DD52B24"/>
    <w:rsid w:val="1E0A6C03"/>
    <w:rsid w:val="22CD2F8A"/>
    <w:rsid w:val="22F73C11"/>
    <w:rsid w:val="23C3302F"/>
    <w:rsid w:val="256516E0"/>
    <w:rsid w:val="26900429"/>
    <w:rsid w:val="26A31E7E"/>
    <w:rsid w:val="271635D9"/>
    <w:rsid w:val="29104102"/>
    <w:rsid w:val="2D811081"/>
    <w:rsid w:val="2FFD20EB"/>
    <w:rsid w:val="30901A2A"/>
    <w:rsid w:val="31AC0DC2"/>
    <w:rsid w:val="33435756"/>
    <w:rsid w:val="34CF006E"/>
    <w:rsid w:val="35E10371"/>
    <w:rsid w:val="37871DAF"/>
    <w:rsid w:val="379245B6"/>
    <w:rsid w:val="386B0EA1"/>
    <w:rsid w:val="3C5A6CF7"/>
    <w:rsid w:val="3D8D78EE"/>
    <w:rsid w:val="41580412"/>
    <w:rsid w:val="41E9571B"/>
    <w:rsid w:val="434D56D5"/>
    <w:rsid w:val="44957494"/>
    <w:rsid w:val="44FF5255"/>
    <w:rsid w:val="45271E89"/>
    <w:rsid w:val="45EC7A33"/>
    <w:rsid w:val="460258A0"/>
    <w:rsid w:val="47D5062C"/>
    <w:rsid w:val="493C6A78"/>
    <w:rsid w:val="494859C0"/>
    <w:rsid w:val="49A7517C"/>
    <w:rsid w:val="4A5C5DB5"/>
    <w:rsid w:val="4E2C2AEA"/>
    <w:rsid w:val="4F9540C6"/>
    <w:rsid w:val="53CE29C2"/>
    <w:rsid w:val="56CE7F91"/>
    <w:rsid w:val="57F329F7"/>
    <w:rsid w:val="58A90FBD"/>
    <w:rsid w:val="58B12CDF"/>
    <w:rsid w:val="59FE7432"/>
    <w:rsid w:val="5A4E660B"/>
    <w:rsid w:val="5AC17EA3"/>
    <w:rsid w:val="5B270CD2"/>
    <w:rsid w:val="5C661F66"/>
    <w:rsid w:val="5D137DCB"/>
    <w:rsid w:val="5E596995"/>
    <w:rsid w:val="5E6A55FA"/>
    <w:rsid w:val="5FD17AC2"/>
    <w:rsid w:val="63464323"/>
    <w:rsid w:val="63601E11"/>
    <w:rsid w:val="641F55CF"/>
    <w:rsid w:val="644C2A6B"/>
    <w:rsid w:val="660C17FF"/>
    <w:rsid w:val="675A3B42"/>
    <w:rsid w:val="68847082"/>
    <w:rsid w:val="69794D27"/>
    <w:rsid w:val="6D9E2FAE"/>
    <w:rsid w:val="6DEA1D4F"/>
    <w:rsid w:val="6F0D77A9"/>
    <w:rsid w:val="70501F38"/>
    <w:rsid w:val="70E134B3"/>
    <w:rsid w:val="720535FB"/>
    <w:rsid w:val="728C43AF"/>
    <w:rsid w:val="75363ACC"/>
    <w:rsid w:val="75AD604D"/>
    <w:rsid w:val="76E456E5"/>
    <w:rsid w:val="776E1C43"/>
    <w:rsid w:val="776F53B0"/>
    <w:rsid w:val="780340CB"/>
    <w:rsid w:val="79A04076"/>
    <w:rsid w:val="79F60497"/>
    <w:rsid w:val="7A3525A4"/>
    <w:rsid w:val="7D696A6F"/>
    <w:rsid w:val="7D9D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 w:locked="1"/>
    <w:lsdException w:uiPriority="0" w:name="toc 2" w:locked="1"/>
    <w:lsdException w:uiPriority="0" w:name="toc 3" w:locked="1"/>
    <w:lsdException w:uiPriority="0" w:name="toc 4" w:locked="1"/>
    <w:lsdException w:uiPriority="0" w:name="toc 5" w:locked="1"/>
    <w:lsdException w:uiPriority="0" w:name="toc 6" w:locked="1"/>
    <w:lsdException w:uiPriority="0" w:name="toc 7" w:locked="1"/>
    <w:lsdException w:uiPriority="0" w:name="toc 8" w:locked="1"/>
    <w:lsdException w:uiPriority="0" w:name="toc 9" w:locked="1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2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jc w:val="center"/>
    </w:pPr>
    <w:rPr>
      <w:rFonts w:ascii="仿宋_GB2312" w:hAnsi="仿宋_GB2312" w:eastAsia="黑体"/>
    </w:rPr>
  </w:style>
  <w:style w:type="paragraph" w:customStyle="1" w:styleId="3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Calibri" w:hAnsi="Calibri" w:eastAsia="宋体" w:cstheme="minorBidi"/>
      <w:color w:val="000000"/>
      <w:sz w:val="24"/>
      <w:szCs w:val="22"/>
      <w:lang w:val="en-US" w:eastAsia="zh-CN" w:bidi="ar-SA"/>
    </w:rPr>
  </w:style>
  <w:style w:type="paragraph" w:styleId="5">
    <w:name w:val="Document Map"/>
    <w:basedOn w:val="1"/>
    <w:link w:val="26"/>
    <w:semiHidden/>
    <w:qFormat/>
    <w:uiPriority w:val="0"/>
    <w:pPr>
      <w:shd w:val="clear" w:color="auto" w:fill="000080"/>
    </w:pPr>
  </w:style>
  <w:style w:type="paragraph" w:styleId="6">
    <w:name w:val="annotation text"/>
    <w:basedOn w:val="1"/>
    <w:link w:val="35"/>
    <w:semiHidden/>
    <w:unhideWhenUsed/>
    <w:qFormat/>
    <w:uiPriority w:val="0"/>
    <w:pPr>
      <w:jc w:val="left"/>
    </w:pPr>
  </w:style>
  <w:style w:type="paragraph" w:styleId="7">
    <w:name w:val="Body Text Indent"/>
    <w:basedOn w:val="1"/>
    <w:link w:val="23"/>
    <w:qFormat/>
    <w:uiPriority w:val="0"/>
    <w:pPr>
      <w:spacing w:line="360" w:lineRule="auto"/>
      <w:ind w:left="360"/>
    </w:pPr>
    <w:rPr>
      <w:sz w:val="24"/>
    </w:rPr>
  </w:style>
  <w:style w:type="paragraph" w:styleId="8">
    <w:name w:val="Body Text Indent 2"/>
    <w:basedOn w:val="1"/>
    <w:link w:val="24"/>
    <w:qFormat/>
    <w:uiPriority w:val="0"/>
    <w:pPr>
      <w:ind w:firstLine="636" w:firstLineChars="227"/>
    </w:pPr>
    <w:rPr>
      <w:sz w:val="28"/>
    </w:rPr>
  </w:style>
  <w:style w:type="paragraph" w:styleId="9">
    <w:name w:val="Balloon Text"/>
    <w:basedOn w:val="1"/>
    <w:link w:val="27"/>
    <w:semiHidden/>
    <w:qFormat/>
    <w:uiPriority w:val="0"/>
    <w:rPr>
      <w:sz w:val="18"/>
      <w:szCs w:val="18"/>
    </w:rPr>
  </w:style>
  <w:style w:type="paragraph" w:styleId="10">
    <w:name w:val="footer"/>
    <w:basedOn w:val="1"/>
    <w:link w:val="2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Body Text Indent 3"/>
    <w:basedOn w:val="1"/>
    <w:link w:val="25"/>
    <w:qFormat/>
    <w:uiPriority w:val="0"/>
    <w:pPr>
      <w:ind w:left="-250" w:leftChars="-250" w:firstLine="560" w:firstLineChars="200"/>
    </w:pPr>
    <w:rPr>
      <w:rFonts w:eastAsia="仿宋_GB2312"/>
      <w:sz w:val="28"/>
    </w:rPr>
  </w:style>
  <w:style w:type="paragraph" w:styleId="13">
    <w:name w:val="annotation subject"/>
    <w:basedOn w:val="6"/>
    <w:next w:val="6"/>
    <w:link w:val="36"/>
    <w:semiHidden/>
    <w:unhideWhenUsed/>
    <w:qFormat/>
    <w:uiPriority w:val="0"/>
    <w:rPr>
      <w:b/>
      <w:bCs/>
    </w:rPr>
  </w:style>
  <w:style w:type="paragraph" w:styleId="14">
    <w:name w:val="Body Text First Indent"/>
    <w:basedOn w:val="2"/>
    <w:qFormat/>
    <w:uiPriority w:val="0"/>
    <w:pPr>
      <w:spacing w:line="560" w:lineRule="exact"/>
      <w:ind w:firstLine="721" w:firstLineChars="200"/>
    </w:pPr>
    <w:rPr>
      <w:rFonts w:ascii="Calibri"/>
    </w:rPr>
  </w:style>
  <w:style w:type="table" w:styleId="16">
    <w:name w:val="Table Grid"/>
    <w:basedOn w:val="1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page number"/>
    <w:basedOn w:val="17"/>
    <w:qFormat/>
    <w:uiPriority w:val="0"/>
    <w:rPr>
      <w:rFonts w:cs="Times New Roman"/>
    </w:rPr>
  </w:style>
  <w:style w:type="character" w:styleId="19">
    <w:name w:val="Hyperlink"/>
    <w:basedOn w:val="17"/>
    <w:qFormat/>
    <w:uiPriority w:val="0"/>
    <w:rPr>
      <w:rFonts w:cs="Times New Roman"/>
      <w:color w:val="0000FF"/>
      <w:u w:val="single"/>
    </w:rPr>
  </w:style>
  <w:style w:type="character" w:styleId="20">
    <w:name w:val="annotation reference"/>
    <w:basedOn w:val="17"/>
    <w:semiHidden/>
    <w:unhideWhenUsed/>
    <w:qFormat/>
    <w:uiPriority w:val="0"/>
    <w:rPr>
      <w:sz w:val="21"/>
      <w:szCs w:val="21"/>
    </w:rPr>
  </w:style>
  <w:style w:type="character" w:customStyle="1" w:styleId="21">
    <w:name w:val="标题 1 字符"/>
    <w:basedOn w:val="17"/>
    <w:link w:val="4"/>
    <w:qFormat/>
    <w:locked/>
    <w:uiPriority w:val="0"/>
    <w:rPr>
      <w:rFonts w:cs="Times New Roman"/>
      <w:b/>
      <w:bCs/>
      <w:kern w:val="44"/>
      <w:sz w:val="44"/>
      <w:szCs w:val="44"/>
    </w:rPr>
  </w:style>
  <w:style w:type="character" w:customStyle="1" w:styleId="22">
    <w:name w:val="black000"/>
    <w:basedOn w:val="17"/>
    <w:qFormat/>
    <w:uiPriority w:val="0"/>
    <w:rPr>
      <w:rFonts w:cs="Times New Roman"/>
    </w:rPr>
  </w:style>
  <w:style w:type="character" w:customStyle="1" w:styleId="23">
    <w:name w:val="正文文本缩进 字符"/>
    <w:basedOn w:val="17"/>
    <w:link w:val="7"/>
    <w:semiHidden/>
    <w:qFormat/>
    <w:locked/>
    <w:uiPriority w:val="0"/>
    <w:rPr>
      <w:rFonts w:cs="Times New Roman"/>
      <w:sz w:val="24"/>
      <w:szCs w:val="24"/>
    </w:rPr>
  </w:style>
  <w:style w:type="character" w:customStyle="1" w:styleId="24">
    <w:name w:val="正文文本缩进 2 字符"/>
    <w:basedOn w:val="17"/>
    <w:link w:val="8"/>
    <w:semiHidden/>
    <w:qFormat/>
    <w:locked/>
    <w:uiPriority w:val="0"/>
    <w:rPr>
      <w:rFonts w:cs="Times New Roman"/>
      <w:sz w:val="24"/>
      <w:szCs w:val="24"/>
    </w:rPr>
  </w:style>
  <w:style w:type="character" w:customStyle="1" w:styleId="25">
    <w:name w:val="正文文本缩进 3 字符"/>
    <w:basedOn w:val="17"/>
    <w:link w:val="12"/>
    <w:semiHidden/>
    <w:qFormat/>
    <w:locked/>
    <w:uiPriority w:val="0"/>
    <w:rPr>
      <w:rFonts w:cs="Times New Roman"/>
      <w:sz w:val="16"/>
      <w:szCs w:val="16"/>
    </w:rPr>
  </w:style>
  <w:style w:type="character" w:customStyle="1" w:styleId="26">
    <w:name w:val="文档结构图 字符"/>
    <w:basedOn w:val="17"/>
    <w:link w:val="5"/>
    <w:semiHidden/>
    <w:qFormat/>
    <w:locked/>
    <w:uiPriority w:val="0"/>
    <w:rPr>
      <w:rFonts w:cs="Times New Roman"/>
      <w:sz w:val="2"/>
    </w:rPr>
  </w:style>
  <w:style w:type="character" w:customStyle="1" w:styleId="27">
    <w:name w:val="批注框文本 字符"/>
    <w:basedOn w:val="17"/>
    <w:link w:val="9"/>
    <w:semiHidden/>
    <w:qFormat/>
    <w:locked/>
    <w:uiPriority w:val="0"/>
    <w:rPr>
      <w:rFonts w:cs="Times New Roman"/>
      <w:sz w:val="2"/>
    </w:rPr>
  </w:style>
  <w:style w:type="character" w:customStyle="1" w:styleId="28">
    <w:name w:val="页脚 字符"/>
    <w:basedOn w:val="17"/>
    <w:link w:val="10"/>
    <w:semiHidden/>
    <w:qFormat/>
    <w:locked/>
    <w:uiPriority w:val="0"/>
    <w:rPr>
      <w:rFonts w:cs="Times New Roman"/>
      <w:sz w:val="18"/>
      <w:szCs w:val="18"/>
    </w:rPr>
  </w:style>
  <w:style w:type="character" w:customStyle="1" w:styleId="29">
    <w:name w:val="页眉 字符"/>
    <w:basedOn w:val="17"/>
    <w:link w:val="11"/>
    <w:qFormat/>
    <w:locked/>
    <w:uiPriority w:val="0"/>
    <w:rPr>
      <w:rFonts w:cs="Times New Roman"/>
      <w:kern w:val="2"/>
      <w:sz w:val="18"/>
    </w:rPr>
  </w:style>
  <w:style w:type="paragraph" w:customStyle="1" w:styleId="30">
    <w:name w:val="List Paragraph1"/>
    <w:basedOn w:val="1"/>
    <w:qFormat/>
    <w:uiPriority w:val="0"/>
    <w:pPr>
      <w:ind w:firstLine="420" w:firstLineChars="200"/>
    </w:pPr>
  </w:style>
  <w:style w:type="paragraph" w:customStyle="1" w:styleId="31">
    <w:name w:val="Char Char Char Char"/>
    <w:basedOn w:val="1"/>
    <w:qFormat/>
    <w:uiPriority w:val="0"/>
    <w:rPr>
      <w:szCs w:val="20"/>
    </w:rPr>
  </w:style>
  <w:style w:type="character" w:customStyle="1" w:styleId="32">
    <w:name w:val="apple-converted-space"/>
    <w:basedOn w:val="17"/>
    <w:qFormat/>
    <w:uiPriority w:val="0"/>
    <w:rPr>
      <w:rFonts w:cs="Times New Roman"/>
    </w:rPr>
  </w:style>
  <w:style w:type="paragraph" w:customStyle="1" w:styleId="33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character" w:customStyle="1" w:styleId="35">
    <w:name w:val="批注文字 字符"/>
    <w:basedOn w:val="17"/>
    <w:link w:val="6"/>
    <w:semiHidden/>
    <w:qFormat/>
    <w:uiPriority w:val="0"/>
    <w:rPr>
      <w:kern w:val="2"/>
      <w:sz w:val="21"/>
      <w:szCs w:val="24"/>
    </w:rPr>
  </w:style>
  <w:style w:type="character" w:customStyle="1" w:styleId="36">
    <w:name w:val="批注主题 字符"/>
    <w:basedOn w:val="35"/>
    <w:link w:val="13"/>
    <w:semiHidden/>
    <w:qFormat/>
    <w:uiPriority w:val="0"/>
    <w:rPr>
      <w:b/>
      <w:bCs/>
      <w:kern w:val="2"/>
      <w:sz w:val="21"/>
      <w:szCs w:val="24"/>
    </w:rPr>
  </w:style>
  <w:style w:type="paragraph" w:customStyle="1" w:styleId="37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D99DF2-DDD7-445A-88AA-BB7A23CAAA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ChengJiaoChu</Company>
  <Pages>9</Pages>
  <Words>3816</Words>
  <Characters>3993</Characters>
  <Lines>31</Lines>
  <Paragraphs>8</Paragraphs>
  <TotalTime>1</TotalTime>
  <ScaleCrop>false</ScaleCrop>
  <LinksUpToDate>false</LinksUpToDate>
  <CharactersWithSpaces>4012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2022-05-17T23:40:00Z</dcterms:created>
  <dc:creator>zhang</dc:creator>
  <cp:lastModifiedBy>朱</cp:lastModifiedBy>
  <cp:lastPrinted>2014-06-01T22:37:00Z</cp:lastPrinted>
  <dcterms:modified xsi:type="dcterms:W3CDTF">2023-08-01T09:15:56Z</dcterms:modified>
  <dc:title>维修电工竞赛技术纲要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F0A5BA1F76E3427EA86EBC5518650C70</vt:lpwstr>
  </property>
</Properties>
</file>