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eastAsia="方正黑体_GBK" w:cs="Times New Roman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eastAsia="方正小标宋_GBK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省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专精特新企业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复核申请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 w:cs="黑体"/>
                <w:szCs w:val="21"/>
                <w:lang w:val="en-US" w:eastAsia="zh-CN"/>
              </w:rPr>
            </w:pPr>
            <w:r>
              <w:rPr>
                <w:rFonts w:hint="eastAsia" w:eastAsia="黑体" w:cs="黑体"/>
                <w:szCs w:val="21"/>
                <w:lang w:val="en-US" w:eastAsia="zh-CN"/>
              </w:rPr>
              <w:t>企业名称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认定条件(如符合，请在对应□ 后面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黑体" w:cs="黑体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”；如不符合，打“×”；如未勾选，视为不符合)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1.近三年未发生重大安全（含网络安全、数据安全）、质量、环境污染等事故以及偷漏税等违法违规行为；未</w:t>
            </w:r>
            <w:r>
              <w:rPr>
                <w:rFonts w:ascii="宋体" w:hAnsi="宋体"/>
                <w:szCs w:val="21"/>
              </w:rPr>
              <w:t>被</w:t>
            </w:r>
            <w:r>
              <w:rPr>
                <w:rFonts w:hint="eastAsia" w:ascii="宋体" w:hAnsi="宋体"/>
                <w:szCs w:val="21"/>
              </w:rPr>
              <w:t>列为经营</w:t>
            </w:r>
            <w:r>
              <w:rPr>
                <w:rFonts w:ascii="宋体" w:hAnsi="宋体"/>
                <w:szCs w:val="21"/>
              </w:rPr>
              <w:t>异常名录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严重失信主体</w:t>
            </w:r>
            <w:r>
              <w:rPr>
                <w:rFonts w:hint="eastAsia" w:ascii="宋体" w:hAnsi="宋体"/>
                <w:szCs w:val="21"/>
              </w:rPr>
              <w:t xml:space="preserve">名单；□ 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.截至上年末，企业从事特定细分市场时间达到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年以上。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</w:p>
          <w:p>
            <w:pPr>
              <w:pStyle w:val="3"/>
              <w:adjustRightInd w:val="0"/>
              <w:snapToGrid w:val="0"/>
              <w:spacing w:line="30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上年度研发费用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总额不低于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100万元，且占营业收入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比重不低于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%</w:t>
            </w:r>
            <w:r>
              <w:rPr>
                <w:rFonts w:ascii="宋体" w:hAnsi="宋体" w:eastAsia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 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4.上年度营业收入总额在</w:t>
            </w:r>
            <w:r>
              <w:rPr>
                <w:rFonts w:hint="eastAsia" w:ascii="宋体" w:hAnsi="宋体"/>
                <w:szCs w:val="21"/>
              </w:rPr>
              <w:t>1000万元</w:t>
            </w:r>
            <w:r>
              <w:rPr>
                <w:rFonts w:ascii="宋体" w:hAnsi="宋体"/>
                <w:szCs w:val="21"/>
              </w:rPr>
              <w:t>以上，或</w:t>
            </w:r>
            <w:r>
              <w:rPr>
                <w:rFonts w:hint="eastAsia" w:ascii="宋体" w:hAnsi="宋体"/>
                <w:szCs w:val="21"/>
              </w:rPr>
              <w:t>上年度</w:t>
            </w:r>
            <w:r>
              <w:rPr>
                <w:rFonts w:ascii="宋体" w:hAnsi="宋体"/>
                <w:szCs w:val="21"/>
              </w:rPr>
              <w:t>营业收入总额</w:t>
            </w:r>
            <w:r>
              <w:rPr>
                <w:rFonts w:hint="eastAsia" w:ascii="宋体" w:hAnsi="宋体"/>
                <w:szCs w:val="21"/>
              </w:rPr>
              <w:t>在100万元</w:t>
            </w:r>
            <w:r>
              <w:rPr>
                <w:rFonts w:ascii="宋体" w:hAnsi="宋体"/>
                <w:szCs w:val="21"/>
              </w:rPr>
              <w:t>以下，但近</w:t>
            </w:r>
            <w:r>
              <w:rPr>
                <w:rFonts w:hint="eastAsia" w:ascii="宋体" w:hAnsi="宋体"/>
                <w:szCs w:val="21"/>
              </w:rPr>
              <w:t>2年</w:t>
            </w:r>
            <w:r>
              <w:rPr>
                <w:rFonts w:ascii="宋体" w:hAnsi="宋体"/>
                <w:szCs w:val="21"/>
              </w:rPr>
              <w:t>新增股权融资总额（</w:t>
            </w:r>
            <w:r>
              <w:rPr>
                <w:rFonts w:hint="eastAsia" w:ascii="宋体" w:hAnsi="宋体"/>
                <w:szCs w:val="21"/>
              </w:rPr>
              <w:t>合格</w:t>
            </w:r>
            <w:r>
              <w:rPr>
                <w:rFonts w:ascii="宋体" w:hAnsi="宋体"/>
                <w:szCs w:val="21"/>
              </w:rPr>
              <w:t>机构投资者的实缴额）</w:t>
            </w:r>
            <w:r>
              <w:rPr>
                <w:rFonts w:hint="eastAsia" w:ascii="宋体" w:hAnsi="宋体"/>
                <w:szCs w:val="21"/>
              </w:rPr>
              <w:t>达到2000万元</w:t>
            </w:r>
            <w:r>
              <w:rPr>
                <w:rFonts w:ascii="宋体" w:hAnsi="宋体"/>
                <w:szCs w:val="21"/>
              </w:rPr>
              <w:t>以上。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</w:p>
          <w:p>
            <w:pPr>
              <w:pStyle w:val="2"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.评价得分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分（需</w:t>
            </w:r>
            <w:r>
              <w:rPr>
                <w:rFonts w:ascii="宋体" w:hAnsi="宋体"/>
                <w:szCs w:val="21"/>
              </w:rPr>
              <w:t>达</w:t>
            </w:r>
            <w:r>
              <w:rPr>
                <w:rFonts w:hint="eastAsia" w:ascii="宋体" w:hAnsi="宋体"/>
                <w:szCs w:val="21"/>
              </w:rPr>
              <w:t>60分</w:t>
            </w:r>
            <w:r>
              <w:rPr>
                <w:rFonts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或满足</w:t>
            </w:r>
            <w:r>
              <w:rPr>
                <w:rFonts w:hint="eastAsia" w:ascii="宋体" w:hAnsi="宋体"/>
                <w:szCs w:val="21"/>
              </w:rPr>
              <w:t>4项</w:t>
            </w:r>
            <w:r>
              <w:rPr>
                <w:rFonts w:ascii="宋体" w:hAnsi="宋体"/>
                <w:szCs w:val="21"/>
              </w:rPr>
              <w:t>直通条件之一</w:t>
            </w:r>
            <w:r>
              <w:rPr>
                <w:rFonts w:hint="eastAsia" w:ascii="宋体" w:hAnsi="宋体"/>
                <w:szCs w:val="21"/>
              </w:rPr>
              <w:t xml:space="preserve">。□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（一）专业化指标（满分25份，</w:t>
            </w:r>
            <w:r>
              <w:rPr>
                <w:rFonts w:ascii="黑体" w:hAnsi="黑体" w:eastAsia="黑体" w:cs="黑体"/>
                <w:szCs w:val="21"/>
              </w:rPr>
              <w:t>得分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.主营业务收入占营业收入比重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%，</w:t>
            </w:r>
            <w:r>
              <w:rPr>
                <w:rFonts w:hint="eastAsia"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.近2年主营业务收入平均增长率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%，</w:t>
            </w:r>
            <w:r>
              <w:rPr>
                <w:rFonts w:hint="eastAsia"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截至上年末，企业从事特定细分市场时间</w:t>
            </w:r>
            <w:r>
              <w:rPr>
                <w:rFonts w:hint="eastAsia" w:ascii="宋体" w:hAnsi="宋体"/>
                <w:szCs w:val="21"/>
                <w:u w:val="single"/>
              </w:rPr>
              <w:t>达到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年, 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主导产品属于重点领域情况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/>
                <w:szCs w:val="21"/>
              </w:rPr>
              <w:t>，得分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（二）精细化指标（满分25分，</w:t>
            </w:r>
            <w:r>
              <w:rPr>
                <w:rFonts w:ascii="黑体" w:hAnsi="黑体" w:eastAsia="黑体"/>
                <w:szCs w:val="21"/>
              </w:rPr>
              <w:t>得分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.数字化水平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级，</w:t>
            </w: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5817" w:hanging="5817" w:hangingChars="277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.质量管理</w:t>
            </w:r>
            <w:r>
              <w:rPr>
                <w:rFonts w:ascii="宋体" w:hAnsi="宋体"/>
                <w:szCs w:val="21"/>
              </w:rPr>
              <w:t>水平</w:t>
            </w:r>
            <w:r>
              <w:rPr>
                <w:rFonts w:hint="eastAsia" w:ascii="宋体" w:hAnsi="宋体"/>
                <w:szCs w:val="21"/>
              </w:rPr>
              <w:t>满足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项，</w:t>
            </w: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7.上年度净利润率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%，</w:t>
            </w:r>
            <w:r>
              <w:rPr>
                <w:rFonts w:hint="eastAsia"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.截至上年末，资产负债率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>%，</w:t>
            </w:r>
            <w:r>
              <w:rPr>
                <w:rFonts w:hint="eastAsia"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（三）特色化指标（满分</w:t>
            </w:r>
            <w:r>
              <w:rPr>
                <w:rFonts w:ascii="黑体" w:hAnsi="黑体" w:eastAsia="黑体"/>
                <w:szCs w:val="21"/>
              </w:rPr>
              <w:t>15</w:t>
            </w:r>
            <w:r>
              <w:rPr>
                <w:rFonts w:hint="eastAsia" w:ascii="黑体" w:hAnsi="黑体" w:eastAsia="黑体"/>
                <w:szCs w:val="21"/>
              </w:rPr>
              <w:t>分，</w:t>
            </w:r>
            <w:r>
              <w:rPr>
                <w:rFonts w:ascii="黑体" w:hAnsi="黑体" w:eastAsia="黑体"/>
                <w:szCs w:val="21"/>
              </w:rPr>
              <w:t>得分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</w:rPr>
              <w:t>主导产品在细分市场占有率满足</w:t>
            </w:r>
            <w:r>
              <w:rPr>
                <w:rFonts w:ascii="宋体" w:hAnsi="宋体"/>
                <w:szCs w:val="21"/>
                <w:u w:val="single"/>
              </w:rPr>
              <w:t xml:space="preserve"> 　　　　　  </w:t>
            </w:r>
            <w:r>
              <w:rPr>
                <w:rFonts w:hint="eastAsia" w:ascii="宋体" w:hAnsi="宋体"/>
                <w:szCs w:val="21"/>
              </w:rPr>
              <w:t>，得分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10.所属产业领域竞争优势满足</w:t>
            </w:r>
            <w:r>
              <w:rPr>
                <w:rFonts w:ascii="宋体" w:hAnsi="宋体"/>
                <w:szCs w:val="21"/>
                <w:u w:val="single"/>
              </w:rPr>
              <w:t xml:space="preserve">  　　　　　 </w:t>
            </w:r>
            <w:r>
              <w:rPr>
                <w:rFonts w:ascii="宋体" w:hAnsi="宋体"/>
                <w:szCs w:val="21"/>
              </w:rPr>
              <w:t>，得分</w:t>
            </w:r>
            <w:r>
              <w:rPr>
                <w:rFonts w:ascii="宋体" w:hAnsi="宋体"/>
                <w:szCs w:val="21"/>
                <w:u w:val="single"/>
              </w:rPr>
              <w:t>　　　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（四）创新能力指标（满分35分，</w:t>
            </w:r>
            <w:r>
              <w:rPr>
                <w:rFonts w:ascii="黑体" w:hAnsi="黑体" w:eastAsia="黑体"/>
                <w:szCs w:val="21"/>
              </w:rPr>
              <w:t>得分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与企业</w:t>
            </w:r>
            <w:r>
              <w:rPr>
                <w:rFonts w:hint="eastAsia" w:ascii="宋体" w:hAnsi="宋体"/>
                <w:szCs w:val="21"/>
              </w:rPr>
              <w:t>主导</w:t>
            </w:r>
            <w:r>
              <w:rPr>
                <w:rFonts w:ascii="宋体" w:hAnsi="宋体"/>
                <w:szCs w:val="21"/>
              </w:rPr>
              <w:t>产业相关的有效知识产权</w:t>
            </w:r>
            <w:r>
              <w:rPr>
                <w:rFonts w:hint="eastAsia" w:ascii="宋体" w:hAnsi="宋体"/>
                <w:szCs w:val="21"/>
              </w:rPr>
              <w:t>种类</w:t>
            </w:r>
            <w:r>
              <w:rPr>
                <w:rFonts w:ascii="宋体" w:hAnsi="宋体"/>
                <w:szCs w:val="21"/>
              </w:rPr>
              <w:t>及数量</w:t>
            </w:r>
            <w:r>
              <w:rPr>
                <w:rFonts w:ascii="宋体" w:hAnsi="宋体"/>
                <w:szCs w:val="21"/>
                <w:u w:val="single"/>
              </w:rPr>
              <w:t xml:space="preserve">            ,</w:t>
            </w:r>
            <w:r>
              <w:rPr>
                <w:rFonts w:hint="eastAsia"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.上年度</w:t>
            </w:r>
            <w:r>
              <w:rPr>
                <w:rFonts w:ascii="宋体" w:hAnsi="宋体"/>
                <w:szCs w:val="21"/>
              </w:rPr>
              <w:t>研发费用投入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万元占</w:t>
            </w:r>
            <w:r>
              <w:rPr>
                <w:rFonts w:ascii="宋体" w:hAnsi="宋体"/>
                <w:szCs w:val="21"/>
              </w:rPr>
              <w:t>营业收入比重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>%，得分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。；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13.上年度</w:t>
            </w:r>
            <w:r>
              <w:rPr>
                <w:rFonts w:ascii="宋体" w:hAnsi="宋体"/>
                <w:szCs w:val="21"/>
              </w:rPr>
              <w:t>研发人员占比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</w:rPr>
              <w:t>%，得分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14.建立</w:t>
            </w:r>
            <w:r>
              <w:rPr>
                <w:rFonts w:ascii="宋体" w:hAnsi="宋体"/>
                <w:szCs w:val="21"/>
              </w:rPr>
              <w:t>研发机构级别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，</w:t>
            </w:r>
            <w:r>
              <w:rPr>
                <w:rFonts w:ascii="宋体" w:hAnsi="宋体"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评价直通</w:t>
            </w:r>
            <w:r>
              <w:rPr>
                <w:rFonts w:ascii="黑体" w:hAnsi="黑体" w:eastAsia="黑体"/>
                <w:szCs w:val="21"/>
              </w:rPr>
              <w:t>条件</w:t>
            </w:r>
            <w:r>
              <w:rPr>
                <w:rFonts w:hint="eastAsia" w:eastAsia="黑体" w:cs="黑体"/>
                <w:szCs w:val="21"/>
              </w:rPr>
              <w:t>(如符合，请在对应□ 后面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黑体" w:cs="黑体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”；如不符合，打“×”；如未勾选，视为不符合)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 近三年获得过</w:t>
            </w:r>
            <w:r>
              <w:rPr>
                <w:rFonts w:ascii="宋体" w:hAnsi="宋体"/>
                <w:szCs w:val="21"/>
              </w:rPr>
              <w:t>省级科技奖励，并在获奖单位中排名前五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或者</w:t>
            </w:r>
            <w:r>
              <w:rPr>
                <w:rFonts w:hint="eastAsia" w:ascii="宋体" w:hAnsi="宋体"/>
                <w:szCs w:val="21"/>
              </w:rPr>
              <w:t>获得国家级科技奖励，并在获奖单位中排名前五。 □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361" w:hanging="361" w:hangingChars="1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.近</w:t>
            </w:r>
            <w:r>
              <w:rPr>
                <w:rFonts w:ascii="宋体" w:hAnsi="宋体"/>
                <w:szCs w:val="21"/>
              </w:rPr>
              <w:t>两年研发费用总额</w:t>
            </w:r>
            <w:r>
              <w:rPr>
                <w:rFonts w:hint="eastAsia" w:ascii="宋体" w:hAnsi="宋体"/>
                <w:szCs w:val="21"/>
              </w:rPr>
              <w:t>均值</w:t>
            </w:r>
            <w:r>
              <w:rPr>
                <w:rFonts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</w:rPr>
              <w:t>1000万元</w:t>
            </w:r>
            <w:r>
              <w:rPr>
                <w:rFonts w:ascii="宋体" w:hAnsi="宋体"/>
                <w:szCs w:val="21"/>
              </w:rPr>
              <w:t>以上。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3.近</w:t>
            </w:r>
            <w:r>
              <w:rPr>
                <w:rFonts w:ascii="宋体" w:hAnsi="宋体"/>
                <w:szCs w:val="21"/>
              </w:rPr>
              <w:t>两年新增股权融资总额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000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以上。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.近三年进入“创客中国”中小企业创新创业大赛全国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强企业组名单。□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1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eastAsia="黑体" w:cs="黑体"/>
                <w:szCs w:val="21"/>
                <w:lang w:val="en-US" w:eastAsia="zh-CN"/>
              </w:rPr>
              <w:t>区级工信</w:t>
            </w:r>
            <w:r>
              <w:rPr>
                <w:rFonts w:hint="eastAsia" w:eastAsia="黑体" w:cs="黑体"/>
                <w:szCs w:val="21"/>
              </w:rPr>
              <w:t>部门推荐意见(必填，须盖章)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315" w:firstLineChars="150"/>
              <w:rPr>
                <w:rFonts w:ascii="宋体" w:hAnsi="宋体" w:cs="东文宋体"/>
                <w:szCs w:val="21"/>
              </w:rPr>
            </w:pPr>
            <w:r>
              <w:rPr>
                <w:rFonts w:hint="eastAsia" w:ascii="宋体" w:hAnsi="宋体" w:cs="东文宋体"/>
                <w:szCs w:val="21"/>
                <w:u w:val="single"/>
              </w:rPr>
              <w:t>同意推荐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不同意推荐□ 该企业</w:t>
            </w:r>
            <w:r>
              <w:rPr>
                <w:rFonts w:hint="eastAsia" w:ascii="宋体" w:hAnsi="宋体" w:cs="东文宋体"/>
                <w:szCs w:val="21"/>
                <w:u w:val="single"/>
              </w:rPr>
              <w:t>复核专精特</w:t>
            </w:r>
            <w:r>
              <w:rPr>
                <w:rFonts w:ascii="宋体" w:hAnsi="宋体" w:cs="东文宋体"/>
                <w:szCs w:val="21"/>
                <w:u w:val="single"/>
              </w:rPr>
              <w:t>中小企业</w:t>
            </w:r>
            <w:r>
              <w:rPr>
                <w:rFonts w:hint="eastAsia" w:ascii="宋体" w:hAnsi="宋体" w:cs="东文宋体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88" w:leftChars="-42" w:firstLine="3345" w:firstLineChars="1593"/>
              <w:rPr>
                <w:rFonts w:ascii="宋体" w:hAnsi="宋体" w:cs="黑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left="-88" w:leftChars="-42" w:firstLine="3345" w:firstLineChars="159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单位（公章）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88" w:leftChars="-42" w:firstLine="300" w:firstLineChars="14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spacing w:line="20" w:lineRule="exact"/>
        <w:jc w:val="both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MMBjFIOAgAADwQAAA4AAABkcnMvZTJvRG9jLnhtbK1TzY7TMBC+I/EO&#10;lu80bdF2V1HT1bJVEdLyIy08gOs4jUXsscZuk/IA8AacuHDnufocjJ2kLMtlD1yssT3zeb5vPi+v&#10;O9Owg0KvwRZ8NplypqyEUttdwT993Ly44swHYUvRgFUFPyrPr1fPny1bl6s51NCUChmBWJ+3ruB1&#10;CC7PMi9rZYSfgFOWLitAIwJtcZeVKFpCN002n04XWQtYOgSpvKfTdX/JB0R8CiBUlZZqDXJvlA09&#10;KqpGBKLka+08X6Vuq0rJ8L6qvAqsKTgxDWmlRyjexjVbLUW+Q+FqLYcWxFNaeMTJCG3p0TPUWgTB&#10;9qj/gTJaIniowkSCyXoiSRFiMZs+0ua+Fk4lLiS1d2fR/f+Dle8OH5DpkpzAmRWGBn76/u3049fp&#10;51c2i/K0zueUde8oL3SvoIupkap3dyA/e2bhthZ2p24Qoa2VKKm9VJk9KO1xfATZtm+hpHfEPkAC&#10;6io0EZDUYIROozmeR6O6wCQdXi6uXl5wJulmdnkxX6TJZSIfax368FqBYTEoONLgE7Y43PlALCh1&#10;TIlPWdjopknDb+xfB5TYn6jknqE6MonN9zRCt+0GZbZQHokTQu8s+lcU1IBfOGvJVQW39Ik4a95Y&#10;UiUacAxwDLZjIKykwoIHzvrwNvRG3TvUu5pwR91vSLmNTrRiY30PxDFuyCeJ7eDpaMSH+5T15x+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0Rxx0AAAAAMBAAAPAAAAAAAAAAEAIAAAACIAAABk&#10;cnMvZG93bnJldi54bWxQSwECFAAUAAAACACHTuJAwwGMUg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39753F"/>
    <w:rsid w:val="00027426"/>
    <w:rsid w:val="00030E2D"/>
    <w:rsid w:val="00034ECC"/>
    <w:rsid w:val="000420D1"/>
    <w:rsid w:val="00042D18"/>
    <w:rsid w:val="000445A7"/>
    <w:rsid w:val="0005001C"/>
    <w:rsid w:val="00052978"/>
    <w:rsid w:val="000543DD"/>
    <w:rsid w:val="00077137"/>
    <w:rsid w:val="00077790"/>
    <w:rsid w:val="00080838"/>
    <w:rsid w:val="00080D28"/>
    <w:rsid w:val="0008350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B79C2"/>
    <w:rsid w:val="000C2E50"/>
    <w:rsid w:val="000C3FC5"/>
    <w:rsid w:val="000C6C15"/>
    <w:rsid w:val="000C7229"/>
    <w:rsid w:val="000D1F0A"/>
    <w:rsid w:val="000E0EA8"/>
    <w:rsid w:val="000E0F83"/>
    <w:rsid w:val="000F187F"/>
    <w:rsid w:val="000F6A1D"/>
    <w:rsid w:val="000F6F94"/>
    <w:rsid w:val="0011100E"/>
    <w:rsid w:val="00112BCA"/>
    <w:rsid w:val="00113F48"/>
    <w:rsid w:val="001340B7"/>
    <w:rsid w:val="0014498C"/>
    <w:rsid w:val="001452B4"/>
    <w:rsid w:val="0015595F"/>
    <w:rsid w:val="0017214B"/>
    <w:rsid w:val="0018110F"/>
    <w:rsid w:val="00182461"/>
    <w:rsid w:val="001849C3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176D"/>
    <w:rsid w:val="00217635"/>
    <w:rsid w:val="0022511F"/>
    <w:rsid w:val="002262CB"/>
    <w:rsid w:val="002352D8"/>
    <w:rsid w:val="00240151"/>
    <w:rsid w:val="0024048D"/>
    <w:rsid w:val="00250412"/>
    <w:rsid w:val="00273B74"/>
    <w:rsid w:val="002B479A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221"/>
    <w:rsid w:val="002F6D86"/>
    <w:rsid w:val="002F7484"/>
    <w:rsid w:val="003011BF"/>
    <w:rsid w:val="003052CA"/>
    <w:rsid w:val="00305E6F"/>
    <w:rsid w:val="00306D70"/>
    <w:rsid w:val="003070F4"/>
    <w:rsid w:val="0031014D"/>
    <w:rsid w:val="00317F9E"/>
    <w:rsid w:val="00322B8C"/>
    <w:rsid w:val="003251FF"/>
    <w:rsid w:val="0032767E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74C55"/>
    <w:rsid w:val="00380236"/>
    <w:rsid w:val="00381919"/>
    <w:rsid w:val="003907D2"/>
    <w:rsid w:val="0039753F"/>
    <w:rsid w:val="003A133A"/>
    <w:rsid w:val="003B4885"/>
    <w:rsid w:val="003C3AB9"/>
    <w:rsid w:val="003C3FA2"/>
    <w:rsid w:val="003C675F"/>
    <w:rsid w:val="003C6FC1"/>
    <w:rsid w:val="003E0D63"/>
    <w:rsid w:val="003E3E04"/>
    <w:rsid w:val="003E4614"/>
    <w:rsid w:val="003E65DE"/>
    <w:rsid w:val="003F17D2"/>
    <w:rsid w:val="00403738"/>
    <w:rsid w:val="00404E15"/>
    <w:rsid w:val="00412500"/>
    <w:rsid w:val="00413182"/>
    <w:rsid w:val="00423217"/>
    <w:rsid w:val="00427356"/>
    <w:rsid w:val="004523C6"/>
    <w:rsid w:val="00460D28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4F03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1BF3"/>
    <w:rsid w:val="005D3C33"/>
    <w:rsid w:val="005D5177"/>
    <w:rsid w:val="005D5882"/>
    <w:rsid w:val="005F5671"/>
    <w:rsid w:val="0060056C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C456F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613FF"/>
    <w:rsid w:val="00777359"/>
    <w:rsid w:val="007800E5"/>
    <w:rsid w:val="00784343"/>
    <w:rsid w:val="007861F7"/>
    <w:rsid w:val="00787AA4"/>
    <w:rsid w:val="00793FFF"/>
    <w:rsid w:val="007A11AE"/>
    <w:rsid w:val="007A2D0B"/>
    <w:rsid w:val="007A5EE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60BE"/>
    <w:rsid w:val="0081755E"/>
    <w:rsid w:val="00822387"/>
    <w:rsid w:val="00824DB1"/>
    <w:rsid w:val="00826088"/>
    <w:rsid w:val="00831AC6"/>
    <w:rsid w:val="00831BBD"/>
    <w:rsid w:val="00831F70"/>
    <w:rsid w:val="0083501D"/>
    <w:rsid w:val="00853B42"/>
    <w:rsid w:val="008552CB"/>
    <w:rsid w:val="008572E5"/>
    <w:rsid w:val="00857F22"/>
    <w:rsid w:val="008623C3"/>
    <w:rsid w:val="0086460E"/>
    <w:rsid w:val="0087297B"/>
    <w:rsid w:val="00880DAD"/>
    <w:rsid w:val="00890229"/>
    <w:rsid w:val="00890E07"/>
    <w:rsid w:val="00892419"/>
    <w:rsid w:val="00892469"/>
    <w:rsid w:val="008A1072"/>
    <w:rsid w:val="008B41A2"/>
    <w:rsid w:val="008B5BB3"/>
    <w:rsid w:val="008C031B"/>
    <w:rsid w:val="008C55E3"/>
    <w:rsid w:val="008C77F5"/>
    <w:rsid w:val="008D7942"/>
    <w:rsid w:val="008D7C9A"/>
    <w:rsid w:val="008E40A3"/>
    <w:rsid w:val="008E5C1E"/>
    <w:rsid w:val="008E65C1"/>
    <w:rsid w:val="008F0D87"/>
    <w:rsid w:val="00900C0D"/>
    <w:rsid w:val="00900E21"/>
    <w:rsid w:val="009039A6"/>
    <w:rsid w:val="00920C12"/>
    <w:rsid w:val="00920DC0"/>
    <w:rsid w:val="009265F3"/>
    <w:rsid w:val="00926FF7"/>
    <w:rsid w:val="00927B48"/>
    <w:rsid w:val="00934721"/>
    <w:rsid w:val="00937D77"/>
    <w:rsid w:val="0094230D"/>
    <w:rsid w:val="00945CCD"/>
    <w:rsid w:val="00954004"/>
    <w:rsid w:val="00954789"/>
    <w:rsid w:val="00961E8D"/>
    <w:rsid w:val="00965174"/>
    <w:rsid w:val="009671A9"/>
    <w:rsid w:val="009767D1"/>
    <w:rsid w:val="00977050"/>
    <w:rsid w:val="009771EE"/>
    <w:rsid w:val="00977C52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9F4853"/>
    <w:rsid w:val="00A036AF"/>
    <w:rsid w:val="00A21915"/>
    <w:rsid w:val="00A3590F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A4DF0"/>
    <w:rsid w:val="00AB45C2"/>
    <w:rsid w:val="00AC2771"/>
    <w:rsid w:val="00AC34F6"/>
    <w:rsid w:val="00AD0562"/>
    <w:rsid w:val="00AD30CC"/>
    <w:rsid w:val="00AE0ADF"/>
    <w:rsid w:val="00AE3194"/>
    <w:rsid w:val="00AE3598"/>
    <w:rsid w:val="00AE4323"/>
    <w:rsid w:val="00AE7F36"/>
    <w:rsid w:val="00AF1194"/>
    <w:rsid w:val="00AF757B"/>
    <w:rsid w:val="00AF7BA5"/>
    <w:rsid w:val="00B03DFF"/>
    <w:rsid w:val="00B05B74"/>
    <w:rsid w:val="00B063B9"/>
    <w:rsid w:val="00B11D91"/>
    <w:rsid w:val="00B1221B"/>
    <w:rsid w:val="00B163F3"/>
    <w:rsid w:val="00B2018D"/>
    <w:rsid w:val="00B207A2"/>
    <w:rsid w:val="00B22D4D"/>
    <w:rsid w:val="00B25525"/>
    <w:rsid w:val="00B27FEC"/>
    <w:rsid w:val="00B30B37"/>
    <w:rsid w:val="00B3193B"/>
    <w:rsid w:val="00B31F7B"/>
    <w:rsid w:val="00B32873"/>
    <w:rsid w:val="00B332E8"/>
    <w:rsid w:val="00B42AE4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B6547"/>
    <w:rsid w:val="00BC24F4"/>
    <w:rsid w:val="00BC26E2"/>
    <w:rsid w:val="00BC295E"/>
    <w:rsid w:val="00BC5BC0"/>
    <w:rsid w:val="00BD4209"/>
    <w:rsid w:val="00BE4605"/>
    <w:rsid w:val="00BE53F9"/>
    <w:rsid w:val="00BE54E2"/>
    <w:rsid w:val="00BE61CF"/>
    <w:rsid w:val="00BE6F44"/>
    <w:rsid w:val="00C0094C"/>
    <w:rsid w:val="00C0233D"/>
    <w:rsid w:val="00C12906"/>
    <w:rsid w:val="00C14A83"/>
    <w:rsid w:val="00C1641A"/>
    <w:rsid w:val="00C205F3"/>
    <w:rsid w:val="00C2149C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87A29"/>
    <w:rsid w:val="00C9450E"/>
    <w:rsid w:val="00C94F5E"/>
    <w:rsid w:val="00C95C6C"/>
    <w:rsid w:val="00CA346E"/>
    <w:rsid w:val="00CA57FF"/>
    <w:rsid w:val="00CA77E4"/>
    <w:rsid w:val="00CB0F98"/>
    <w:rsid w:val="00CB61BA"/>
    <w:rsid w:val="00CB628A"/>
    <w:rsid w:val="00CC52E0"/>
    <w:rsid w:val="00CC6A6B"/>
    <w:rsid w:val="00CD14A4"/>
    <w:rsid w:val="00CE3444"/>
    <w:rsid w:val="00CF045D"/>
    <w:rsid w:val="00CF19A3"/>
    <w:rsid w:val="00CF3AB5"/>
    <w:rsid w:val="00CF515E"/>
    <w:rsid w:val="00D0064C"/>
    <w:rsid w:val="00D02E03"/>
    <w:rsid w:val="00D05F0F"/>
    <w:rsid w:val="00D07975"/>
    <w:rsid w:val="00D13678"/>
    <w:rsid w:val="00D268E5"/>
    <w:rsid w:val="00D269A2"/>
    <w:rsid w:val="00D326E0"/>
    <w:rsid w:val="00D338BF"/>
    <w:rsid w:val="00D4146D"/>
    <w:rsid w:val="00D458FE"/>
    <w:rsid w:val="00D55B5A"/>
    <w:rsid w:val="00D56607"/>
    <w:rsid w:val="00D61B32"/>
    <w:rsid w:val="00D67961"/>
    <w:rsid w:val="00D721B4"/>
    <w:rsid w:val="00D735E1"/>
    <w:rsid w:val="00D76782"/>
    <w:rsid w:val="00D877F4"/>
    <w:rsid w:val="00D91653"/>
    <w:rsid w:val="00D918F9"/>
    <w:rsid w:val="00D93319"/>
    <w:rsid w:val="00DB26FE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C7D12"/>
    <w:rsid w:val="00ED0CDB"/>
    <w:rsid w:val="00ED2C28"/>
    <w:rsid w:val="00ED315F"/>
    <w:rsid w:val="00EF6280"/>
    <w:rsid w:val="00F00BF5"/>
    <w:rsid w:val="00F15420"/>
    <w:rsid w:val="00F27AF1"/>
    <w:rsid w:val="00F32249"/>
    <w:rsid w:val="00F32A13"/>
    <w:rsid w:val="00F532D8"/>
    <w:rsid w:val="00F55D71"/>
    <w:rsid w:val="00F60AA9"/>
    <w:rsid w:val="00F61885"/>
    <w:rsid w:val="00F656E1"/>
    <w:rsid w:val="00F66DF5"/>
    <w:rsid w:val="00F75FE3"/>
    <w:rsid w:val="00F76998"/>
    <w:rsid w:val="00F87BEB"/>
    <w:rsid w:val="00F97D43"/>
    <w:rsid w:val="00FA6116"/>
    <w:rsid w:val="00FA6158"/>
    <w:rsid w:val="00FA6BAE"/>
    <w:rsid w:val="00FA75A5"/>
    <w:rsid w:val="00FB6E51"/>
    <w:rsid w:val="00FC0490"/>
    <w:rsid w:val="00FC1C29"/>
    <w:rsid w:val="00FC66A4"/>
    <w:rsid w:val="00FE62FE"/>
    <w:rsid w:val="00FE7AA8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0B7266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587038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1A0CE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021AEC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613A71"/>
    <w:rsid w:val="40A13152"/>
    <w:rsid w:val="41255EFA"/>
    <w:rsid w:val="415F4950"/>
    <w:rsid w:val="41A95520"/>
    <w:rsid w:val="41C12BC8"/>
    <w:rsid w:val="41DE6B9D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EA4326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EF011B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D83C81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6EFE87C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annotation subject"/>
    <w:basedOn w:val="4"/>
    <w:next w:val="4"/>
    <w:link w:val="20"/>
    <w:unhideWhenUsed/>
    <w:qFormat/>
    <w:uiPriority w:val="99"/>
    <w:rPr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qFormat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827</Words>
  <Characters>882</Characters>
  <Lines>48</Lines>
  <Paragraphs>13</Paragraphs>
  <TotalTime>1</TotalTime>
  <ScaleCrop>false</ScaleCrop>
  <LinksUpToDate>false</LinksUpToDate>
  <CharactersWithSpaces>1161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2022-09-19T17:05:00Z</dcterms:created>
  <dc:creator>my mac</dc:creator>
  <cp:lastModifiedBy>Administrator</cp:lastModifiedBy>
  <cp:lastPrinted>2022-06-09T02:39:00Z</cp:lastPrinted>
  <dcterms:modified xsi:type="dcterms:W3CDTF">2023-08-05T05:16:32Z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B3130366E0A04B2A87D284E1DFB8C0B0_13</vt:lpwstr>
  </property>
</Properties>
</file>