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Times New Roman"/>
          <w:sz w:val="44"/>
          <w:szCs w:val="44"/>
        </w:rPr>
      </w:pPr>
      <w:bookmarkStart w:id="0" w:name="_GoBack"/>
      <w:r>
        <w:rPr>
          <w:rFonts w:hint="eastAsia" w:ascii="Times New Roman" w:hAnsi="Times New Roman" w:eastAsia="方正小标宋_GBK" w:cs="Times New Roman"/>
          <w:sz w:val="44"/>
          <w:szCs w:val="44"/>
        </w:rPr>
        <w:t>江苏省冶金等工贸企业二级安全生产</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标准化通用定级评分标准</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征求意见稿）</w:t>
      </w:r>
    </w:p>
    <w:bookmarkEnd w:id="0"/>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考评说明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trike/>
          <w:color w:val="FF0000"/>
          <w:sz w:val="32"/>
          <w:szCs w:val="32"/>
        </w:rPr>
      </w:pPr>
      <w:r>
        <w:rPr>
          <w:rFonts w:ascii="Times New Roman" w:hAnsi="Times New Roman" w:eastAsia="方正仿宋_GBK" w:cs="Times New Roman"/>
          <w:sz w:val="32"/>
          <w:szCs w:val="32"/>
        </w:rPr>
        <w:t>1.本评分标准适用于《冶金有色建材机械轻工纺织烟草商贸行业安全监管分类标准（试行）》（应急厅〔2019〕17 号）界定的江苏省所属的冶金、有色、建材、机械、轻工、纺织、烟草、商贸等行业企业（以下统称冶金等工贸企业）二级安全生产标准化评审。</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2.本评分标准共有8项</w:t>
      </w:r>
      <w:r>
        <w:rPr>
          <w:rFonts w:hint="eastAsia" w:ascii="方正仿宋_GBK" w:hAnsi="方正仿宋_GBK" w:eastAsia="方正仿宋_GBK" w:cs="方正仿宋_GBK"/>
          <w:sz w:val="32"/>
          <w:szCs w:val="32"/>
        </w:rPr>
        <w:t>“一级要素”</w:t>
      </w:r>
      <w:r>
        <w:rPr>
          <w:rFonts w:ascii="Times New Roman" w:hAnsi="Times New Roman" w:eastAsia="方正仿宋_GBK" w:cs="Times New Roman"/>
          <w:sz w:val="32"/>
          <w:szCs w:val="32"/>
        </w:rPr>
        <w:t>、27项</w:t>
      </w:r>
      <w:r>
        <w:rPr>
          <w:rFonts w:ascii="方正仿宋_GBK" w:hAnsi="方正仿宋_GBK" w:eastAsia="方正仿宋_GBK" w:cs="方正仿宋_GBK"/>
          <w:sz w:val="32"/>
          <w:szCs w:val="32"/>
        </w:rPr>
        <w:t>“二级要素”、</w:t>
      </w:r>
      <w:r>
        <w:rPr>
          <w:rFonts w:ascii="Times New Roman" w:hAnsi="Times New Roman" w:eastAsia="方正仿宋_GBK" w:cs="Times New Roman"/>
          <w:sz w:val="32"/>
          <w:szCs w:val="32"/>
        </w:rPr>
        <w:t>及184条</w:t>
      </w:r>
      <w:r>
        <w:rPr>
          <w:rFonts w:ascii="方正仿宋_GBK" w:hAnsi="方正仿宋_GBK" w:eastAsia="方正仿宋_GBK" w:cs="方正仿宋_GBK"/>
          <w:sz w:val="32"/>
          <w:szCs w:val="32"/>
        </w:rPr>
        <w:t>“企业定级标准”。每条“企业定级标准”分值</w:t>
      </w:r>
      <w:r>
        <w:rPr>
          <w:rFonts w:ascii="Times New Roman" w:hAnsi="Times New Roman" w:eastAsia="方正仿宋_GBK" w:cs="Times New Roman"/>
          <w:sz w:val="32"/>
          <w:szCs w:val="32"/>
        </w:rPr>
        <w:t xml:space="preserve">之和为要素分值，各要素分值详见《要素分值明细表》。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3.在</w:t>
      </w:r>
      <w:r>
        <w:rPr>
          <w:rFonts w:ascii="方正仿宋_GBK" w:hAnsi="方正仿宋_GBK" w:eastAsia="方正仿宋_GBK" w:cs="方正仿宋_GBK"/>
          <w:sz w:val="32"/>
          <w:szCs w:val="32"/>
        </w:rPr>
        <w:t>“自评扣分点及原因说明汇总表”中</w:t>
      </w:r>
      <w:r>
        <w:rPr>
          <w:rFonts w:ascii="Times New Roman" w:hAnsi="Times New Roman" w:eastAsia="方正仿宋_GBK" w:cs="Times New Roman"/>
          <w:sz w:val="32"/>
          <w:szCs w:val="32"/>
        </w:rPr>
        <w:t>，企业及评审单位应根据评分细则的有关要求，针对企业实际情况，如实、逐条进行扣分及扣分点说明、描述。</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4.评分标准中涉及的法律法规、部门规章、标准规范应使用最新有效版本。</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trike/>
          <w:color w:val="FF0000"/>
          <w:sz w:val="32"/>
          <w:szCs w:val="32"/>
          <w:lang w:eastAsia="zh-CN"/>
        </w:rPr>
      </w:pPr>
      <w:r>
        <w:rPr>
          <w:rFonts w:ascii="Times New Roman" w:hAnsi="Times New Roman" w:eastAsia="方正仿宋_GBK" w:cs="Times New Roman"/>
          <w:sz w:val="32"/>
          <w:szCs w:val="32"/>
        </w:rPr>
        <w:t xml:space="preserve">    5.评分标准中累计扣分的，均为直到该考评内容分数扣完止，不出现负分</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追加扣分除外</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。评审过程中发现存在重大事故隐患或出现否决项的，评审不予通过</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6.本评分标准共计1000分，最终标准化得分换算成百分制。换算公式如下：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标准化得分（百分制）=标准化工作考评得分÷（1000－不参与考评内容分数之和）×100。最后得分采用四舍五入，取小数点后一位数。 </w:t>
      </w:r>
    </w:p>
    <w:p>
      <w:pP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要素分值明细表</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9"/>
        <w:gridCol w:w="2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9" w:type="dxa"/>
          </w:tcPr>
          <w:p>
            <w:pPr>
              <w:spacing w:before="0" w:beforeAutospacing="0" w:after="0" w:afterAutospacing="0"/>
              <w:ind w:left="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一级要素</w:t>
            </w:r>
          </w:p>
        </w:tc>
        <w:tc>
          <w:tcPr>
            <w:tcW w:w="2913" w:type="dxa"/>
          </w:tcPr>
          <w:p>
            <w:pPr>
              <w:spacing w:before="0" w:beforeAutospacing="0" w:after="0" w:afterAutospacing="0"/>
              <w:ind w:left="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9" w:type="dxa"/>
          </w:tcPr>
          <w:p>
            <w:pPr>
              <w:spacing w:before="0" w:beforeAutospacing="0" w:after="0" w:afterAutospacing="0"/>
              <w:ind w:left="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1目标职责</w:t>
            </w:r>
          </w:p>
        </w:tc>
        <w:tc>
          <w:tcPr>
            <w:tcW w:w="2913" w:type="dxa"/>
          </w:tcPr>
          <w:p>
            <w:pPr>
              <w:spacing w:before="0" w:beforeAutospacing="0" w:after="0" w:afterAutospacing="0"/>
              <w:ind w:left="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9" w:type="dxa"/>
          </w:tcPr>
          <w:p>
            <w:pPr>
              <w:spacing w:before="0" w:beforeAutospacing="0" w:after="0" w:afterAutospacing="0"/>
              <w:ind w:left="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2制度化管理</w:t>
            </w:r>
          </w:p>
        </w:tc>
        <w:tc>
          <w:tcPr>
            <w:tcW w:w="2913" w:type="dxa"/>
          </w:tcPr>
          <w:p>
            <w:pPr>
              <w:spacing w:before="0" w:beforeAutospacing="0" w:after="0" w:afterAutospacing="0"/>
              <w:ind w:left="0" w:right="0"/>
              <w:jc w:val="center"/>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9" w:type="dxa"/>
          </w:tcPr>
          <w:p>
            <w:pPr>
              <w:spacing w:before="0" w:beforeAutospacing="0" w:after="0" w:afterAutospacing="0"/>
              <w:ind w:left="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3教育培训</w:t>
            </w:r>
          </w:p>
        </w:tc>
        <w:tc>
          <w:tcPr>
            <w:tcW w:w="2913" w:type="dxa"/>
          </w:tcPr>
          <w:p>
            <w:pPr>
              <w:spacing w:before="0" w:beforeAutospacing="0" w:after="0" w:afterAutospacing="0"/>
              <w:ind w:left="0" w:right="0"/>
              <w:jc w:val="center"/>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7</w:t>
            </w:r>
            <w:r>
              <w:rPr>
                <w:rFonts w:hint="eastAsia" w:ascii="Times New Roman" w:hAnsi="Times New Roman" w:eastAsia="方正仿宋_GBK" w:cs="Times New Roman"/>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9" w:type="dxa"/>
          </w:tcPr>
          <w:p>
            <w:pPr>
              <w:spacing w:before="0" w:beforeAutospacing="0" w:after="0" w:afterAutospacing="0"/>
              <w:ind w:left="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4现场管理</w:t>
            </w:r>
          </w:p>
        </w:tc>
        <w:tc>
          <w:tcPr>
            <w:tcW w:w="2913" w:type="dxa"/>
          </w:tcPr>
          <w:p>
            <w:pPr>
              <w:spacing w:before="0" w:beforeAutospacing="0" w:after="0" w:afterAutospacing="0"/>
              <w:ind w:left="0" w:right="0"/>
              <w:jc w:val="center"/>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9" w:type="dxa"/>
          </w:tcPr>
          <w:p>
            <w:pPr>
              <w:spacing w:before="0" w:beforeAutospacing="0" w:after="0" w:afterAutospacing="0"/>
              <w:ind w:left="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5安全风险管控及隐患排查治理</w:t>
            </w:r>
          </w:p>
        </w:tc>
        <w:tc>
          <w:tcPr>
            <w:tcW w:w="2913" w:type="dxa"/>
          </w:tcPr>
          <w:p>
            <w:pPr>
              <w:spacing w:before="0" w:beforeAutospacing="0" w:after="0" w:afterAutospacing="0"/>
              <w:ind w:left="0" w:right="0"/>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9" w:type="dxa"/>
          </w:tcPr>
          <w:p>
            <w:pPr>
              <w:spacing w:before="0" w:beforeAutospacing="0" w:after="0" w:afterAutospacing="0"/>
              <w:ind w:left="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6应急管理</w:t>
            </w:r>
          </w:p>
        </w:tc>
        <w:tc>
          <w:tcPr>
            <w:tcW w:w="2913" w:type="dxa"/>
          </w:tcPr>
          <w:p>
            <w:pPr>
              <w:spacing w:before="0" w:beforeAutospacing="0" w:after="0" w:afterAutospacing="0"/>
              <w:ind w:left="0" w:right="0"/>
              <w:jc w:val="center"/>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9" w:type="dxa"/>
          </w:tcPr>
          <w:p>
            <w:pPr>
              <w:spacing w:before="0" w:beforeAutospacing="0" w:after="0" w:afterAutospacing="0"/>
              <w:ind w:left="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7事故管理</w:t>
            </w:r>
          </w:p>
        </w:tc>
        <w:tc>
          <w:tcPr>
            <w:tcW w:w="2913" w:type="dxa"/>
          </w:tcPr>
          <w:p>
            <w:pPr>
              <w:spacing w:before="0" w:beforeAutospacing="0" w:after="0" w:afterAutospacing="0"/>
              <w:ind w:left="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9" w:type="dxa"/>
          </w:tcPr>
          <w:p>
            <w:pPr>
              <w:spacing w:before="0" w:beforeAutospacing="0" w:after="0" w:afterAutospacing="0"/>
              <w:ind w:left="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8持续改进</w:t>
            </w:r>
          </w:p>
        </w:tc>
        <w:tc>
          <w:tcPr>
            <w:tcW w:w="2913" w:type="dxa"/>
          </w:tcPr>
          <w:p>
            <w:pPr>
              <w:spacing w:before="0" w:beforeAutospacing="0" w:after="0" w:afterAutospacing="0"/>
              <w:ind w:left="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9" w:type="dxa"/>
          </w:tcPr>
          <w:p>
            <w:pPr>
              <w:spacing w:before="0" w:beforeAutospacing="0" w:after="0" w:afterAutospacing="0"/>
              <w:ind w:left="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合计</w:t>
            </w:r>
          </w:p>
        </w:tc>
        <w:tc>
          <w:tcPr>
            <w:tcW w:w="2913" w:type="dxa"/>
          </w:tcPr>
          <w:p>
            <w:pPr>
              <w:spacing w:before="0" w:beforeAutospacing="0" w:after="0" w:afterAutospacing="0"/>
              <w:ind w:left="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1000</w:t>
            </w:r>
          </w:p>
        </w:tc>
      </w:tr>
    </w:tbl>
    <w:p>
      <w:pPr>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pPr>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7.标准化定级等级划分</w:t>
      </w:r>
    </w:p>
    <w:p>
      <w:pPr>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二级: 标准化得分不低于75分。 </w:t>
      </w:r>
    </w:p>
    <w:p>
      <w:pPr>
        <w:rPr>
          <w:rFonts w:ascii="Times New Roman" w:hAnsi="Times New Roman" w:eastAsia="方正仿宋_GBK" w:cs="Times New Roman"/>
          <w:strike/>
          <w:color w:val="FF0000"/>
          <w:sz w:val="32"/>
          <w:szCs w:val="32"/>
        </w:rPr>
      </w:pPr>
      <w:r>
        <w:rPr>
          <w:rFonts w:ascii="Times New Roman" w:hAnsi="Times New Roman" w:eastAsia="方正仿宋_GBK" w:cs="Times New Roman"/>
          <w:sz w:val="32"/>
          <w:szCs w:val="32"/>
        </w:rPr>
        <w:t xml:space="preserve">   </w:t>
      </w:r>
    </w:p>
    <w:p>
      <w:p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jc w:val="center"/>
        <w:rPr>
          <w:sz w:val="44"/>
          <w:szCs w:val="44"/>
        </w:rPr>
      </w:pPr>
      <w:r>
        <w:rPr>
          <w:rFonts w:hint="eastAsia" w:ascii="方正黑体_GBK" w:hAnsi="方正黑体_GBK" w:eastAsia="方正黑体_GBK" w:cs="方正黑体_GBK"/>
          <w:color w:val="000000"/>
          <w:kern w:val="0"/>
          <w:sz w:val="44"/>
          <w:szCs w:val="44"/>
          <w:lang w:bidi="ar"/>
        </w:rPr>
        <w:t>江苏省冶金等工贸企业二级安全生产标准化定级评分表</w:t>
      </w:r>
    </w:p>
    <w:tbl>
      <w:tblPr>
        <w:tblStyle w:val="11"/>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04"/>
        <w:gridCol w:w="645"/>
        <w:gridCol w:w="637"/>
        <w:gridCol w:w="5715"/>
        <w:gridCol w:w="608"/>
        <w:gridCol w:w="3870"/>
        <w:gridCol w:w="3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0" w:hRule="atLeast"/>
          <w:jc w:val="center"/>
        </w:trPr>
        <w:tc>
          <w:tcPr>
            <w:tcW w:w="504"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黑体" w:hAnsi="宋体" w:eastAsia="黑体" w:cs="黑体"/>
                <w:i w:val="0"/>
                <w:color w:val="000000"/>
                <w:kern w:val="0"/>
                <w:sz w:val="24"/>
                <w:szCs w:val="24"/>
                <w:u w:val="none"/>
                <w:lang w:val="en-US" w:eastAsia="zh-CN" w:bidi="ar"/>
              </w:rPr>
              <w:t>一级要素</w:t>
            </w:r>
          </w:p>
        </w:tc>
        <w:tc>
          <w:tcPr>
            <w:tcW w:w="6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黑体" w:hAnsi="宋体" w:eastAsia="黑体" w:cs="黑体"/>
                <w:i w:val="0"/>
                <w:color w:val="000000"/>
                <w:kern w:val="0"/>
                <w:sz w:val="24"/>
                <w:szCs w:val="24"/>
                <w:u w:val="none"/>
                <w:lang w:val="en-US" w:eastAsia="zh-CN" w:bidi="ar"/>
              </w:rPr>
              <w:t>二级要素</w:t>
            </w:r>
          </w:p>
        </w:tc>
        <w:tc>
          <w:tcPr>
            <w:tcW w:w="637"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黑体" w:hAnsi="宋体" w:eastAsia="黑体" w:cs="黑体"/>
                <w:i w:val="0"/>
                <w:color w:val="000000"/>
                <w:kern w:val="0"/>
                <w:sz w:val="24"/>
                <w:szCs w:val="24"/>
                <w:u w:val="none"/>
                <w:lang w:val="en-US" w:eastAsia="zh-CN" w:bidi="ar"/>
              </w:rPr>
              <w:t>三级要素</w:t>
            </w: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黑体" w:hAnsi="宋体" w:eastAsia="黑体" w:cs="黑体"/>
                <w:i w:val="0"/>
                <w:color w:val="000000"/>
                <w:kern w:val="0"/>
                <w:sz w:val="24"/>
                <w:szCs w:val="24"/>
                <w:u w:val="none"/>
                <w:lang w:val="en-US" w:eastAsia="zh-CN" w:bidi="ar"/>
              </w:rPr>
              <w:t>企业定级标准</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黑体" w:hAnsi="宋体" w:eastAsia="黑体" w:cs="黑体"/>
                <w:i w:val="0"/>
                <w:color w:val="000000"/>
                <w:kern w:val="0"/>
                <w:sz w:val="24"/>
                <w:szCs w:val="24"/>
                <w:u w:val="none"/>
                <w:lang w:val="en-US" w:eastAsia="zh-CN" w:bidi="ar"/>
              </w:rPr>
              <w:t>标准分值</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评分方式</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黑体" w:hAnsi="宋体" w:eastAsia="黑体" w:cs="黑体"/>
                <w:i w:val="0"/>
                <w:color w:val="000000"/>
                <w:kern w:val="0"/>
                <w:sz w:val="24"/>
                <w:szCs w:val="24"/>
                <w:u w:val="none"/>
                <w:lang w:val="en-US" w:eastAsia="zh-CN" w:bidi="ar"/>
              </w:rPr>
              <w:t>评审方式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04"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目标与职责</w:t>
            </w:r>
          </w:p>
        </w:tc>
        <w:tc>
          <w:tcPr>
            <w:tcW w:w="645"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r>
              <w:rPr>
                <w:rStyle w:val="22"/>
                <w:lang w:val="en-US" w:eastAsia="zh-CN" w:bidi="ar"/>
              </w:rPr>
              <w:t>目标管理</w:t>
            </w:r>
          </w:p>
        </w:tc>
        <w:tc>
          <w:tcPr>
            <w:tcW w:w="637"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1.1.1</w:t>
            </w:r>
            <w:r>
              <w:rPr>
                <w:rStyle w:val="22"/>
                <w:lang w:val="en-US" w:eastAsia="zh-CN" w:bidi="ar"/>
              </w:rPr>
              <w:t>目标</w:t>
            </w: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建立安全生产目标的管理制度，明确目标与指标的制定、分解、实施、检查、考核等相关环节内容。</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无该项制度或未以文件形式发布生效的，不得分；制度每缺少制定、分解、实施、检查、考核中任一环节内容的，扣1分；未能明确相关环节的责任部门或责任人相应责任的，扣1分。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查资料：相关管理制度、目标责任书的签定和绩效考核细则、发放记录。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、制定文件化的年度安全生产目标与指标。</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、安全生产目标内容至少包括：生产安全事故、风险分级管控、隐患排查治理、责任落实、培训教育、应急救援等。</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无年度安全生产目标或未以文件形式发布生效的，不得分；安全生产目标内容不完善的（如目标中只有伤亡指标的），扣1分；目标不合理或不明确的，每处扣1分；员工不了解企业安全生产目标的，每人扣1分。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查资料：企业的安全生产目标和安全生产工作计划。</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询问：</w:t>
            </w:r>
            <w:r>
              <w:rPr>
                <w:rFonts w:hint="default" w:ascii="Times New Roman" w:hAnsi="Times New Roman" w:eastAsia="宋体" w:cs="Times New Roman"/>
                <w:i w:val="0"/>
                <w:color w:val="000000"/>
                <w:kern w:val="0"/>
                <w:sz w:val="24"/>
                <w:szCs w:val="24"/>
                <w:u w:val="none"/>
                <w:lang w:val="en-US" w:eastAsia="zh-CN" w:bidi="ar"/>
              </w:rPr>
              <w:t>1-2</w:t>
            </w:r>
            <w:r>
              <w:rPr>
                <w:rStyle w:val="22"/>
                <w:lang w:val="en-US" w:eastAsia="zh-CN" w:bidi="ar"/>
              </w:rPr>
              <w:t>名员工是否了解企业安全生产目标。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1.1.2</w:t>
            </w:r>
            <w:r>
              <w:rPr>
                <w:rStyle w:val="22"/>
                <w:lang w:val="en-US" w:eastAsia="zh-CN" w:bidi="ar"/>
              </w:rPr>
              <w:t>监测与考核</w:t>
            </w: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、根据所属基层单位和部门在安全生产中的职能，分解年度安全生产指标，并制定实施计划和考核办法。</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、量化指标应包含人身伤害、责任事故，以及隐患排查、</w:t>
            </w:r>
            <w:r>
              <w:rPr>
                <w:rFonts w:hint="eastAsia" w:asciiTheme="majorEastAsia" w:hAnsiTheme="majorEastAsia" w:eastAsiaTheme="majorEastAsia" w:cstheme="majorEastAsia"/>
                <w:i w:val="0"/>
                <w:color w:val="000000"/>
                <w:kern w:val="0"/>
                <w:sz w:val="24"/>
                <w:szCs w:val="24"/>
                <w:u w:val="none"/>
                <w:lang w:val="en-US" w:eastAsia="zh-CN" w:bidi="ar"/>
              </w:rPr>
              <w:t>“</w:t>
            </w:r>
            <w:r>
              <w:rPr>
                <w:rStyle w:val="22"/>
                <w:rFonts w:hint="eastAsia" w:asciiTheme="majorEastAsia" w:hAnsiTheme="majorEastAsia" w:eastAsiaTheme="majorEastAsia" w:cstheme="majorEastAsia"/>
                <w:lang w:val="en-US" w:eastAsia="zh-CN" w:bidi="ar"/>
              </w:rPr>
              <w:t>三违</w:t>
            </w:r>
            <w:r>
              <w:rPr>
                <w:rFonts w:hint="eastAsia" w:asciiTheme="majorEastAsia" w:hAnsiTheme="majorEastAsia" w:eastAsiaTheme="majorEastAsia" w:cstheme="majorEastAsia"/>
                <w:i w:val="0"/>
                <w:color w:val="000000"/>
                <w:kern w:val="0"/>
                <w:sz w:val="24"/>
                <w:szCs w:val="24"/>
                <w:u w:val="none"/>
                <w:lang w:val="en-US" w:eastAsia="zh-CN" w:bidi="ar"/>
              </w:rPr>
              <w:t>”</w:t>
            </w:r>
            <w:r>
              <w:rPr>
                <w:rStyle w:val="22"/>
                <w:rFonts w:hint="eastAsia" w:asciiTheme="majorEastAsia" w:hAnsiTheme="majorEastAsia" w:eastAsiaTheme="majorEastAsia" w:cstheme="majorEastAsia"/>
                <w:lang w:val="en-US" w:eastAsia="zh-CN" w:bidi="ar"/>
              </w:rPr>
              <w:t>查处等内容。</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没有制定安全生产工作指标或指标未进行量化，不得分；安全生产目标指标未进行分解的，每缺一个基层单位和部门扣1分；无实施计划或考核办法的，不得分；实施计划无针对性的，扣1分；每缺一个基层单位和职能部门的目标实施计划或考核办法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查资料：各级组织的安全生产目标责任书、各级组织年度安全生产工作计划及考核办法。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按照制度规定，对安全生产目标和指标实施计划的执行情况进行监测，并保存有关监测记录资料。</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无安全目标实施情况的检查或监测记录的，不得分；检查和监测不符合制度规定的，扣1分；检查和监测资料不齐全的，扣1分。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查资料：安全生产目标指标分解表、阶段性和年终完成情况检查记录和考核情况。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、定期对安全生产目标的完成效果进行评估和考核，依据评估考核结果，及时调整安全生产目标和指标的实施计划。</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、评估报告和实施计划的调整、修改记录应形成文件并加以保存。</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未定期进行效果评估和考核的（含无评估报告），不得分；未根据评估结果及时调整实施计划的，不得分；记录资料保存不齐全的，扣1分。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查资料：安全生产目标指标考核与奖惩记录（包括阶段性检查和完成情况评估）、文件发放记录等。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4" w:type="dxa"/>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997" w:type="dxa"/>
            <w:gridSpan w:val="3"/>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小计</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3870" w:type="dxa"/>
            <w:shd w:val="clear" w:color="auto" w:fill="auto"/>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c>
          <w:tcPr>
            <w:tcW w:w="3045" w:type="dxa"/>
            <w:shd w:val="clear" w:color="auto" w:fill="auto"/>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04"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目标与职责</w:t>
            </w:r>
          </w:p>
        </w:tc>
        <w:tc>
          <w:tcPr>
            <w:tcW w:w="645"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r>
              <w:rPr>
                <w:rStyle w:val="22"/>
                <w:lang w:val="en-US" w:eastAsia="zh-CN" w:bidi="ar"/>
              </w:rPr>
              <w:t>机构和职责</w:t>
            </w:r>
          </w:p>
        </w:tc>
        <w:tc>
          <w:tcPr>
            <w:tcW w:w="637"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1.2.1</w:t>
            </w:r>
            <w:r>
              <w:rPr>
                <w:rStyle w:val="22"/>
                <w:lang w:val="en-US" w:eastAsia="zh-CN" w:bidi="ar"/>
              </w:rPr>
              <w:t>机构设置</w:t>
            </w: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建立设置安全管理机构、配备安全管理人员的管理制度。</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无该项制度的或未以文件形式发布生效的，不得分；与国家、地方等有关规定不符的，扣1分。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查资料：设置安全管理机构、配备安全管理人员的相关制度。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根据《企业安全生产责任体系五落实五到位规定》（安监总办〔</w:t>
            </w:r>
            <w:r>
              <w:rPr>
                <w:rFonts w:hint="default" w:ascii="Times New Roman" w:hAnsi="Times New Roman" w:eastAsia="宋体" w:cs="Times New Roman"/>
                <w:i w:val="0"/>
                <w:color w:val="000000"/>
                <w:kern w:val="0"/>
                <w:sz w:val="24"/>
                <w:szCs w:val="24"/>
                <w:u w:val="none"/>
                <w:lang w:val="en-US" w:eastAsia="zh-CN" w:bidi="ar"/>
              </w:rPr>
              <w:t>2015</w:t>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27</w:t>
            </w:r>
            <w:r>
              <w:rPr>
                <w:rStyle w:val="22"/>
                <w:lang w:val="en-US" w:eastAsia="zh-CN" w:bidi="ar"/>
              </w:rPr>
              <w:t>号）的规定和企业实际，设立安全生产委员会或安全生产领导机构。</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rFonts w:hint="default" w:ascii="Times New Roman" w:hAnsi="Times New Roman" w:cs="Times New Roman"/>
                <w:lang w:val="en-US" w:eastAsia="zh-CN" w:bidi="ar"/>
              </w:rPr>
              <w:t>未按规定设立的或未发文的，扣</w:t>
            </w:r>
            <w:r>
              <w:rPr>
                <w:rFonts w:hint="default" w:ascii="Times New Roman" w:hAnsi="Times New Roman" w:eastAsia="宋体" w:cs="Times New Roman"/>
                <w:i w:val="0"/>
                <w:color w:val="000000"/>
                <w:kern w:val="0"/>
                <w:sz w:val="24"/>
                <w:szCs w:val="24"/>
                <w:u w:val="none"/>
                <w:lang w:val="en-US" w:eastAsia="zh-CN" w:bidi="ar"/>
              </w:rPr>
              <w:t>1</w:t>
            </w:r>
            <w:r>
              <w:rPr>
                <w:rStyle w:val="22"/>
                <w:rFonts w:hint="default" w:ascii="Times New Roman" w:hAnsi="Times New Roman" w:cs="Times New Roman"/>
                <w:lang w:val="en-US" w:eastAsia="zh-CN" w:bidi="ar"/>
              </w:rPr>
              <w:t>分；成员未包括主要负责人、部门负责人等相关人员的，扣</w:t>
            </w:r>
            <w:r>
              <w:rPr>
                <w:rFonts w:hint="default" w:ascii="Times New Roman" w:hAnsi="Times New Roman" w:eastAsia="宋体" w:cs="Times New Roman"/>
                <w:i w:val="0"/>
                <w:color w:val="000000"/>
                <w:kern w:val="0"/>
                <w:sz w:val="24"/>
                <w:szCs w:val="24"/>
                <w:u w:val="none"/>
                <w:lang w:val="en-US" w:eastAsia="zh-CN" w:bidi="ar"/>
              </w:rPr>
              <w:t>1</w:t>
            </w:r>
            <w:r>
              <w:rPr>
                <w:rStyle w:val="22"/>
                <w:rFonts w:hint="default" w:ascii="Times New Roman" w:hAnsi="Times New Roman" w:cs="Times New Roman"/>
                <w:lang w:val="en-US" w:eastAsia="zh-CN" w:bidi="ar"/>
              </w:rPr>
              <w:t>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查资料：关于设立安全生产委员会或安全生产领导机构的正式文件。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宋体" w:hAnsi="宋体" w:eastAsia="宋体" w:cs="宋体"/>
                <w:i w:val="0"/>
                <w:color w:val="000000"/>
                <w:kern w:val="0"/>
                <w:sz w:val="24"/>
                <w:szCs w:val="24"/>
                <w:u w:val="none"/>
                <w:lang w:val="en-US" w:eastAsia="zh-CN" w:bidi="ar"/>
              </w:rPr>
              <w:t>安委会或安全生产领导机构应定期召开安全专题会，协调解决安全生产问题。会议纪要中应有工作要求并保存。</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简" w:cs="Times New Roman"/>
                <w:i w:val="0"/>
                <w:color w:val="000000"/>
                <w:sz w:val="24"/>
                <w:szCs w:val="24"/>
                <w:u w:val="none"/>
              </w:rPr>
            </w:pPr>
            <w:r>
              <w:rPr>
                <w:rStyle w:val="23"/>
                <w:rFonts w:hint="default" w:ascii="Times New Roman" w:hAnsi="Times New Roman" w:cs="Times New Roman"/>
                <w:lang w:val="en-US" w:eastAsia="zh-CN" w:bidi="ar"/>
              </w:rPr>
              <w:t>未定期召开安全专题会的或无会议记录的，不得分；未跟踪上次会议工作要求的落实情况的或未制订新的工作要求的，不得分；有未完成项且无整改措施的，每项扣</w:t>
            </w:r>
            <w:r>
              <w:rPr>
                <w:rFonts w:hint="default" w:ascii="Times New Roman" w:hAnsi="Times New Roman" w:eastAsia="宋体-简" w:cs="Times New Roman"/>
                <w:i w:val="0"/>
                <w:color w:val="000000"/>
                <w:kern w:val="0"/>
                <w:sz w:val="24"/>
                <w:szCs w:val="24"/>
                <w:u w:val="none"/>
                <w:lang w:val="en-US" w:eastAsia="zh-CN" w:bidi="ar"/>
              </w:rPr>
              <w:t>1</w:t>
            </w:r>
            <w:r>
              <w:rPr>
                <w:rStyle w:val="23"/>
                <w:rFonts w:hint="default" w:ascii="Times New Roman" w:hAnsi="Times New Roman" w:cs="Times New Roman"/>
                <w:lang w:val="en-US" w:eastAsia="zh-CN" w:bidi="ar"/>
              </w:rPr>
              <w:t>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3"/>
                <w:lang w:val="en-US" w:eastAsia="zh-CN" w:bidi="ar"/>
              </w:rPr>
              <w:t>查资料：安全专题会会议记录。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、按照《江苏省安全生产条例》第</w:t>
            </w:r>
            <w:r>
              <w:rPr>
                <w:rFonts w:hint="default" w:ascii="Times New Roman" w:hAnsi="Times New Roman" w:eastAsia="宋体" w:cs="Times New Roman"/>
                <w:i w:val="0"/>
                <w:color w:val="000000"/>
                <w:kern w:val="0"/>
                <w:sz w:val="24"/>
                <w:szCs w:val="24"/>
                <w:u w:val="none"/>
                <w:lang w:val="en-US" w:eastAsia="zh-CN" w:bidi="ar"/>
              </w:rPr>
              <w:t>16</w:t>
            </w:r>
            <w:r>
              <w:rPr>
                <w:rStyle w:val="22"/>
                <w:lang w:val="en-US" w:eastAsia="zh-CN" w:bidi="ar"/>
              </w:rPr>
              <w:t>条的规定设置安全管理机构、配备安全管理人员。</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、按照《江苏省安全生产条例》第</w:t>
            </w:r>
            <w:r>
              <w:rPr>
                <w:rFonts w:hint="default" w:ascii="Times New Roman" w:hAnsi="Times New Roman" w:eastAsia="宋体" w:cs="Times New Roman"/>
                <w:i w:val="0"/>
                <w:color w:val="000000"/>
                <w:kern w:val="0"/>
                <w:sz w:val="24"/>
                <w:szCs w:val="24"/>
                <w:u w:val="none"/>
                <w:lang w:val="en-US" w:eastAsia="zh-CN" w:bidi="ar"/>
              </w:rPr>
              <w:t>18</w:t>
            </w:r>
            <w:r>
              <w:rPr>
                <w:rStyle w:val="22"/>
                <w:lang w:val="en-US" w:eastAsia="zh-CN" w:bidi="ar"/>
              </w:rPr>
              <w:t>条、《注册安全工程师管理规定》（安监总局令第</w:t>
            </w:r>
            <w:r>
              <w:rPr>
                <w:rFonts w:hint="default" w:ascii="Times New Roman" w:hAnsi="Times New Roman" w:eastAsia="宋体" w:cs="Times New Roman"/>
                <w:i w:val="0"/>
                <w:color w:val="000000"/>
                <w:kern w:val="0"/>
                <w:sz w:val="24"/>
                <w:szCs w:val="24"/>
                <w:u w:val="none"/>
                <w:lang w:val="en-US" w:eastAsia="zh-CN" w:bidi="ar"/>
              </w:rPr>
              <w:t>11</w:t>
            </w:r>
            <w:r>
              <w:rPr>
                <w:rStyle w:val="22"/>
                <w:lang w:val="en-US" w:eastAsia="zh-CN" w:bidi="ar"/>
              </w:rPr>
              <w:t>号）的规定配备注册安全工程师。</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从业人员一百人以上的金属冶炼、涉爆粉尘、涉氨制冷等行业、领域生产经营单位，应当设置安全总监或者其他专职安全生产分管负责人。总监条件应符合《省政府办公厅关于在我省重点行业领域试行安全总监制度的通知》（苏政办发〔</w:t>
            </w:r>
            <w:r>
              <w:rPr>
                <w:rFonts w:hint="default" w:ascii="Times New Roman" w:hAnsi="Times New Roman" w:eastAsia="宋体" w:cs="Times New Roman"/>
                <w:i w:val="0"/>
                <w:color w:val="000000"/>
                <w:kern w:val="0"/>
                <w:sz w:val="24"/>
                <w:szCs w:val="24"/>
                <w:u w:val="none"/>
                <w:lang w:val="en-US" w:eastAsia="zh-CN" w:bidi="ar"/>
              </w:rPr>
              <w:t>2015</w:t>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81</w:t>
            </w:r>
            <w:r>
              <w:rPr>
                <w:rStyle w:val="22"/>
                <w:lang w:val="en-US" w:eastAsia="zh-CN" w:bidi="ar"/>
              </w:rPr>
              <w:t>号）的要求。</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3870" w:type="dxa"/>
            <w:shd w:val="clear" w:color="auto" w:fill="FCD5B4"/>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未按规定设置或配备的，不得分；未以文件形式进行设置或任命的，不得分；配备的人员不符合规定的，每人扣2分；未以文件形式按规定聘用注册安全工程师的（未在本单位），扣1分。安全总监（专职安全生产分管负责人）未专项分管安全生产管理工作的，扣2分。</w:t>
            </w:r>
            <w:r>
              <w:rPr>
                <w:rStyle w:val="24"/>
                <w:rFonts w:hint="default" w:ascii="Times New Roman" w:hAnsi="Times New Roman" w:cs="Times New Roman"/>
                <w:lang w:val="en-US" w:eastAsia="zh-CN" w:bidi="ar"/>
              </w:rPr>
              <w:t>本小项不得分时，追加扣除6分。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查资料：安全管理机构、管理部门的设置文件；相关人员的任命文件；安全总监（专职安全生产分管负责人）简历、工作职责及企业领导层分工文件。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1.2.2</w:t>
            </w:r>
            <w:r>
              <w:rPr>
                <w:rStyle w:val="22"/>
                <w:lang w:val="en-US" w:eastAsia="zh-CN" w:bidi="ar"/>
              </w:rPr>
              <w:t>全员参与</w:t>
            </w: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建立针对安全生产责任制的制定、沟通、培训、评审、修订及考核等环节内容的管理制度。</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无该项制度或未以文件形式发布生效的，不得分；制度中每缺一个环节内容的，扣1分。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查资料：安全生产责任制管理制度；制度文件发放记录等。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2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建立、健全纵向到底、横向到边的安全生产责任制，定期对全员安全生产责任制履职情况进行评估考核，考核情况向全体从业人员公示。</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3870" w:type="dxa"/>
            <w:shd w:val="clear" w:color="auto" w:fill="FCD5B4"/>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rFonts w:hint="default" w:ascii="Times New Roman" w:hAnsi="Times New Roman" w:cs="Times New Roman"/>
                <w:lang w:val="en-US" w:eastAsia="zh-CN" w:bidi="ar"/>
              </w:rPr>
              <w:t>安全生产责任制未以文件形式发布生效的，不得分；每缺一个纵向、横向安全生产责任制的，扣2分；责任制内容与岗位（含职能部门下属岗位）工作实际不相符的，每处扣2分；没有履行主要职责的，每人扣2分；考核结果与实际不符或未将考核结果公示的，不得分。</w:t>
            </w:r>
            <w:r>
              <w:rPr>
                <w:rStyle w:val="24"/>
                <w:rFonts w:hint="default" w:ascii="Times New Roman" w:hAnsi="Times New Roman" w:cs="Times New Roman"/>
                <w:lang w:val="en-US" w:eastAsia="zh-CN" w:bidi="ar"/>
              </w:rPr>
              <w:t>未建立安全生产责任制或未定期开展安全生产责任制履职情况考核的，本小项不得分，追加扣除10分。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查资料：企业全员责任制及相关责任清单；重点部门履职记录；安全生产责任制落实情况的考核记录。</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询问：各类人员对本岗位安全生产责任制的熟悉情况。</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测试：部分人员对本岗位安全生产责任制的掌握和落实情况。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主要负责人全面负责安全生产工作，根据《安全生产法》、《江苏省安全生产条例》等法律法规要求，履行职责。</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主要负责人没有履行主要职责的，每缺一项扣3分。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宋体" w:hAnsi="宋体" w:eastAsia="宋体" w:cs="宋体"/>
                <w:i w:val="0"/>
                <w:color w:val="000000"/>
                <w:kern w:val="0"/>
                <w:sz w:val="24"/>
                <w:szCs w:val="24"/>
                <w:u w:val="none"/>
                <w:lang w:val="en-US" w:eastAsia="zh-CN" w:bidi="ar"/>
              </w:rPr>
              <w:t>查资料：主要负责人的安全生产责任制和履职清单、主要负责人的履职记录等。</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宋体" w:hAnsi="宋体" w:eastAsia="宋体" w:cs="宋体"/>
                <w:i w:val="0"/>
                <w:color w:val="000000"/>
                <w:kern w:val="0"/>
                <w:sz w:val="24"/>
                <w:szCs w:val="24"/>
                <w:u w:val="none"/>
                <w:lang w:val="en-US" w:eastAsia="zh-CN" w:bidi="ar"/>
              </w:rPr>
              <w:t>询问：安全职责了解和熟悉情况。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对各级管理层进行安全生产责任制与权限的培训。</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无该培训或无培训记录的，不得分；每缺一人扣1分；被抽查人员对责任制不清楚的，每人扣1分。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查资料：培训记录。</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询问：管理层安全生产责任制的熟悉情况。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每年至少对责任制的适宜性进行一次评审与更新。</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未定期进行适宜性评审的或无评审记录的，不得分；评审、更新频次不符合制度或最新法律法规规定的，不得分；更新后未以文件形式发布的，不得分；法律法规规定责任制有更新未更新责任制的，每一项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查资料：新法律法规颁布实施后，安全责任制的评审、更新记录等。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4" w:type="dxa"/>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997" w:type="dxa"/>
            <w:gridSpan w:val="3"/>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小计</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3870" w:type="dxa"/>
            <w:shd w:val="clear" w:color="auto" w:fill="auto"/>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c>
          <w:tcPr>
            <w:tcW w:w="3045" w:type="dxa"/>
            <w:shd w:val="clear" w:color="auto" w:fill="auto"/>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1" w:hRule="atLeast"/>
          <w:jc w:val="center"/>
        </w:trPr>
        <w:tc>
          <w:tcPr>
            <w:tcW w:w="504"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目标与职责</w:t>
            </w:r>
          </w:p>
        </w:tc>
        <w:tc>
          <w:tcPr>
            <w:tcW w:w="1282" w:type="dxa"/>
            <w:gridSpan w:val="2"/>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r>
              <w:rPr>
                <w:rStyle w:val="22"/>
                <w:lang w:val="en-US" w:eastAsia="zh-CN" w:bidi="ar"/>
              </w:rPr>
              <w:t>安全生产投入</w:t>
            </w: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建立安全生产投入保障（安全生产费用）制度，明确职责、流程、提取使用范围和标准、检查等内容。</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无该项制度或未以文件形式发布生效的，不得分；制度中职责、流程、提取范围和标准、检查等内容，每缺一项扣1分。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查资料：安全生产投入保障管理制度；制度执行记录。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82" w:type="dxa"/>
            <w:gridSpan w:val="2"/>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制定年度安全生产投入计划。计划中提取和使用范围应符合《企业生产安全费用提取和使用管理办法》（财资</w:t>
            </w:r>
            <w:r>
              <w:rPr>
                <w:rFonts w:hint="default" w:ascii="Times New Roman" w:hAnsi="Times New Roman" w:eastAsia="宋体" w:cs="Times New Roman"/>
                <w:i w:val="0"/>
                <w:color w:val="000000"/>
                <w:kern w:val="0"/>
                <w:sz w:val="24"/>
                <w:szCs w:val="24"/>
                <w:u w:val="none"/>
                <w:lang w:val="en-US" w:eastAsia="zh-CN" w:bidi="ar"/>
              </w:rPr>
              <w:t>[2022]136</w:t>
            </w:r>
            <w:r>
              <w:rPr>
                <w:rStyle w:val="22"/>
                <w:lang w:val="en-US" w:eastAsia="zh-CN" w:bidi="ar"/>
              </w:rPr>
              <w:t>号）规定。</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无该使用计划的，不得分；计划内容缺失的，扣1分；计划有超规定范围使用的，不得分。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查资料：安全生产费用的使用计划。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82" w:type="dxa"/>
            <w:gridSpan w:val="2"/>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保证安全生产费用投入，专款专用，建立安全生产费用使用台账。</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未按规定和计划提取安全生产费用的</w:t>
            </w:r>
            <w:r>
              <w:rPr>
                <w:rFonts w:hint="eastAsia" w:ascii="Times New Roman" w:hAnsi="Times New Roman" w:eastAsia="宋体" w:cs="Times New Roman"/>
                <w:i w:val="0"/>
                <w:color w:val="000000"/>
                <w:kern w:val="0"/>
                <w:sz w:val="24"/>
                <w:szCs w:val="24"/>
                <w:u w:val="none"/>
                <w:lang w:val="en-US" w:eastAsia="zh-CN" w:bidi="ar"/>
              </w:rPr>
              <w:t>或</w:t>
            </w:r>
            <w:r>
              <w:rPr>
                <w:rFonts w:hint="default" w:ascii="Times New Roman" w:hAnsi="Times New Roman" w:eastAsia="宋体" w:cs="Times New Roman"/>
                <w:i w:val="0"/>
                <w:color w:val="000000"/>
                <w:kern w:val="0"/>
                <w:sz w:val="24"/>
                <w:szCs w:val="24"/>
                <w:u w:val="none"/>
                <w:lang w:val="en-US" w:eastAsia="zh-CN" w:bidi="ar"/>
              </w:rPr>
              <w:t>安全生产投入不足的，不得分；无财务专项科目或报表中无安全生产费用归类统计的，不得分；无安全费用使用台账</w:t>
            </w:r>
            <w:r>
              <w:rPr>
                <w:rFonts w:hint="eastAsia" w:ascii="Times New Roman" w:hAnsi="Times New Roman" w:eastAsia="宋体" w:cs="Times New Roman"/>
                <w:i w:val="0"/>
                <w:color w:val="000000"/>
                <w:kern w:val="0"/>
                <w:sz w:val="24"/>
                <w:szCs w:val="24"/>
                <w:u w:val="none"/>
                <w:lang w:val="en-US" w:eastAsia="zh-CN" w:bidi="ar"/>
              </w:rPr>
              <w:t>或</w:t>
            </w:r>
            <w:r>
              <w:rPr>
                <w:rFonts w:hint="default" w:ascii="Times New Roman" w:hAnsi="Times New Roman" w:eastAsia="宋体" w:cs="Times New Roman"/>
                <w:i w:val="0"/>
                <w:color w:val="000000"/>
                <w:kern w:val="0"/>
                <w:sz w:val="24"/>
                <w:szCs w:val="24"/>
                <w:u w:val="none"/>
                <w:lang w:val="en-US" w:eastAsia="zh-CN" w:bidi="ar"/>
              </w:rPr>
              <w:t>有超规定范围使用的，不得分；台账不完整齐全的，扣1分。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查资料：安全生产费用管理制度；安全生产费用台帐。</w:t>
            </w:r>
            <w:r>
              <w:rPr>
                <w:rFonts w:hint="default" w:ascii="Times New Roman" w:hAnsi="Times New Roman" w:eastAsia="宋体" w:cs="Times New Roman"/>
                <w:i w:val="0"/>
                <w:color w:val="000000"/>
                <w:kern w:val="0"/>
                <w:sz w:val="24"/>
                <w:szCs w:val="24"/>
                <w:u w:val="non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询问：安全生产费用管理部门对安全生产费用使用情况。</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查现场：安全生产费用使用情况与台帐记录是否符合。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82" w:type="dxa"/>
            <w:gridSpan w:val="2"/>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、足额足员缴纳工伤保险费；</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、高危行业、领域应当按照有关规定投保安全生产责任保险。</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未缴纳或无缴费相关资料的，不得分；高危行业未按规定投保安责险的，不得分；工伤保险缴纳不全的，每缺一人扣1分；高危行业安责险缴纳不全的，每缺一人扣1分。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查资料：企业为从业人员缴纳保险凭证。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82" w:type="dxa"/>
            <w:gridSpan w:val="2"/>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保障死亡、受伤员工获取相应的保险与赔付。</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有关保险评估、年费、返回资料、赔偿等资料不全的，不得分；未进行伤残等级鉴定的</w:t>
            </w:r>
            <w:r>
              <w:rPr>
                <w:rFonts w:hint="eastAsia" w:ascii="Times New Roman" w:hAnsi="Times New Roman" w:eastAsia="宋体" w:cs="Times New Roman"/>
                <w:i w:val="0"/>
                <w:color w:val="000000"/>
                <w:kern w:val="0"/>
                <w:sz w:val="24"/>
                <w:szCs w:val="24"/>
                <w:u w:val="none"/>
                <w:lang w:val="en-US" w:eastAsia="zh-CN" w:bidi="ar"/>
              </w:rPr>
              <w:t>或</w:t>
            </w:r>
            <w:r>
              <w:rPr>
                <w:rFonts w:hint="default" w:ascii="Times New Roman" w:hAnsi="Times New Roman" w:eastAsia="宋体" w:cs="Times New Roman"/>
                <w:i w:val="0"/>
                <w:color w:val="000000"/>
                <w:kern w:val="0"/>
                <w:sz w:val="24"/>
                <w:szCs w:val="24"/>
                <w:u w:val="none"/>
                <w:lang w:val="en-US" w:eastAsia="zh-CN" w:bidi="ar"/>
              </w:rPr>
              <w:t>伤残等级鉴定不全的，不得分；赔偿不到位的，不得分。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查资料：劳动保护工伤保险使用台账、工伤或生产安全事故相关资料。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4" w:type="dxa"/>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997" w:type="dxa"/>
            <w:gridSpan w:val="3"/>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小计</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3870" w:type="dxa"/>
            <w:shd w:val="clear" w:color="auto" w:fill="auto"/>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c>
          <w:tcPr>
            <w:tcW w:w="3045" w:type="dxa"/>
            <w:shd w:val="clear" w:color="auto" w:fill="auto"/>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504"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目标与职责</w:t>
            </w:r>
          </w:p>
        </w:tc>
        <w:tc>
          <w:tcPr>
            <w:tcW w:w="1282" w:type="dxa"/>
            <w:gridSpan w:val="2"/>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r>
              <w:rPr>
                <w:rStyle w:val="22"/>
                <w:lang w:val="en-US" w:eastAsia="zh-CN" w:bidi="ar"/>
              </w:rPr>
              <w:t>安全生产信息化建设</w:t>
            </w: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按照《江苏省安全生产条例》第</w:t>
            </w:r>
            <w:r>
              <w:rPr>
                <w:rFonts w:hint="default" w:ascii="Times New Roman" w:hAnsi="Times New Roman" w:eastAsia="宋体" w:cs="Times New Roman"/>
                <w:i w:val="0"/>
                <w:color w:val="000000"/>
                <w:kern w:val="0"/>
                <w:sz w:val="24"/>
                <w:szCs w:val="24"/>
                <w:u w:val="none"/>
                <w:lang w:val="en-US" w:eastAsia="zh-CN" w:bidi="ar"/>
              </w:rPr>
              <w:t>37</w:t>
            </w:r>
            <w:r>
              <w:rPr>
                <w:rStyle w:val="22"/>
                <w:lang w:val="en-US" w:eastAsia="zh-CN" w:bidi="ar"/>
              </w:rPr>
              <w:t>条要求，金属冶炼、涉爆粉尘、涉氨制冷等行业、领域生产经营单位，应当加强安全生产的信息化管理，运用数字化技术开展安全风险管控、事故隐患排查治理、重大危险源监测监控等工作，按照规定通过相关信息系统向负有安全生产监督管理职责的部门准确、完整地报送下列安全生产数据：）安全生产基础情况数据；安全风险管控和事故隐患排查治理数据；重大危险源监测监控数据；其他需要报送的数据。</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未按照要求开展安全生产信息化管理的，不得分。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查现场：信息化系统和数据上报信息。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5" w:hRule="atLeast"/>
          <w:jc w:val="center"/>
        </w:trPr>
        <w:tc>
          <w:tcPr>
            <w:tcW w:w="504" w:type="dxa"/>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997" w:type="dxa"/>
            <w:gridSpan w:val="3"/>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小计</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3870" w:type="dxa"/>
            <w:shd w:val="clear" w:color="auto" w:fill="auto"/>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c>
          <w:tcPr>
            <w:tcW w:w="3045" w:type="dxa"/>
            <w:shd w:val="clear" w:color="auto" w:fill="auto"/>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5" w:hRule="atLeast"/>
          <w:jc w:val="center"/>
        </w:trPr>
        <w:tc>
          <w:tcPr>
            <w:tcW w:w="7501" w:type="dxa"/>
            <w:gridSpan w:val="4"/>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合计</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80</w:t>
            </w:r>
          </w:p>
        </w:tc>
        <w:tc>
          <w:tcPr>
            <w:tcW w:w="3870" w:type="dxa"/>
            <w:shd w:val="clear" w:color="auto" w:fill="auto"/>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c>
          <w:tcPr>
            <w:tcW w:w="3045" w:type="dxa"/>
            <w:shd w:val="clear" w:color="auto" w:fill="auto"/>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5" w:hRule="atLeast"/>
          <w:jc w:val="center"/>
        </w:trPr>
        <w:tc>
          <w:tcPr>
            <w:tcW w:w="504"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制度化管理</w:t>
            </w:r>
          </w:p>
        </w:tc>
        <w:tc>
          <w:tcPr>
            <w:tcW w:w="1282" w:type="dxa"/>
            <w:gridSpan w:val="2"/>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r>
              <w:rPr>
                <w:rStyle w:val="22"/>
                <w:lang w:val="en-US" w:eastAsia="zh-CN" w:bidi="ar"/>
              </w:rPr>
              <w:t>法规标准识别</w:t>
            </w: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建立识别、获取、评审、更新安全生产法律法规与其他要求的管理制度，明确责任部门、获取渠道、方式。</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无该项制度或未以文件形式发布生效的，不得分；缺少内容的，扣1分。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查资料：相应的管理制度文件；制度执行记录。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82" w:type="dxa"/>
            <w:gridSpan w:val="2"/>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定期识别和获取适用的安全生产法律法规与其他要求，建立法律法规、标准的清单和文本数据库，并定期更新。</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未定期识别和获取的，不得分；无安全生产法律法规与标准清单的，不得分；缺少适用法律标准的，每项扣1分；安全生产法律法规与标准文本或电子版不全的，扣1分。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查资料：各部门识别和获取本部门适用的安全生产法律法规、标准规范及更新情况；汇总清单及文本数据库；定期更新记录。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82" w:type="dxa"/>
            <w:gridSpan w:val="2"/>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及时将适用的安全生产法律法规、标准规范的相关要求传达给相关从业人员，并进行相关培训和考核，保留相关工作记录。</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未传达给相关从业人员的，不得分；未培训考核或无无培训考核记录的，不得分；每缺少一项培训和考核的，扣 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查资料：相关文件发放记录；法律法规宣贯培训记录、告知书、宣传材料等。</w:t>
            </w:r>
            <w:r>
              <w:rPr>
                <w:rFonts w:hint="default" w:ascii="Times New Roman" w:hAnsi="Times New Roman" w:eastAsia="宋体" w:cs="Times New Roman"/>
                <w:i w:val="0"/>
                <w:color w:val="000000"/>
                <w:kern w:val="0"/>
                <w:sz w:val="24"/>
                <w:szCs w:val="24"/>
                <w:u w:val="non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询问：有关人员是否接收到相关信息。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82" w:type="dxa"/>
            <w:gridSpan w:val="2"/>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遵守安全生产法律法规与其他要求，并将相关要求及时转化为本单位的规章制度、操作规程，贯彻到各项工作中。</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未及时融入转化成规章制度和操作规程的，每项扣2分；制度与安全生产法律法规与其他要求不符的，每项扣1分；未落实到实际工作中的，每项扣1分。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查资料：根据法律法规的识别，及时修订单位规章制度；根据新的法律法规纠正了哪些不符合项，相关文件发布。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4" w:type="dxa"/>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997" w:type="dxa"/>
            <w:gridSpan w:val="3"/>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小计</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3870" w:type="dxa"/>
            <w:shd w:val="clear" w:color="auto" w:fill="auto"/>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c>
          <w:tcPr>
            <w:tcW w:w="3045" w:type="dxa"/>
            <w:shd w:val="clear" w:color="auto" w:fill="auto"/>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58" w:hRule="atLeast"/>
          <w:jc w:val="center"/>
        </w:trPr>
        <w:tc>
          <w:tcPr>
            <w:tcW w:w="504"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制度化管理</w:t>
            </w:r>
          </w:p>
        </w:tc>
        <w:tc>
          <w:tcPr>
            <w:tcW w:w="1282" w:type="dxa"/>
            <w:gridSpan w:val="2"/>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r>
              <w:rPr>
                <w:rStyle w:val="22"/>
                <w:lang w:val="en-US" w:eastAsia="zh-CN" w:bidi="ar"/>
              </w:rPr>
              <w:t>规章制度</w:t>
            </w: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按照相关规定建立和发布健全的安全生产规章制度，至少包含：目标管理；安全生产责任制；安全生产承诺；安全生产投入；安全生产信息化；四新</w:t>
            </w:r>
            <w:r>
              <w:rPr>
                <w:rFonts w:hint="default" w:ascii="Times New Roman" w:hAnsi="Times New Roman" w:eastAsia="宋体" w:cs="Times New Roman"/>
                <w:i w:val="0"/>
                <w:color w:val="000000"/>
                <w:kern w:val="0"/>
                <w:sz w:val="24"/>
                <w:szCs w:val="24"/>
                <w:u w:val="none"/>
                <w:lang w:val="en-US" w:eastAsia="zh-CN" w:bidi="ar"/>
              </w:rPr>
              <w:t>(</w:t>
            </w:r>
            <w:r>
              <w:rPr>
                <w:rStyle w:val="22"/>
                <w:lang w:val="en-US" w:eastAsia="zh-CN" w:bidi="ar"/>
              </w:rPr>
              <w:t>新技术、新材料、新工艺、新设备设施</w:t>
            </w:r>
            <w:r>
              <w:rPr>
                <w:rFonts w:hint="default" w:ascii="Times New Roman" w:hAnsi="Times New Roman" w:eastAsia="宋体" w:cs="Times New Roman"/>
                <w:i w:val="0"/>
                <w:color w:val="000000"/>
                <w:kern w:val="0"/>
                <w:sz w:val="24"/>
                <w:szCs w:val="24"/>
                <w:u w:val="none"/>
                <w:lang w:val="en-US" w:eastAsia="zh-CN" w:bidi="ar"/>
              </w:rPr>
              <w:t>)</w:t>
            </w:r>
            <w:r>
              <w:rPr>
                <w:rStyle w:val="22"/>
                <w:lang w:val="en-US" w:eastAsia="zh-CN" w:bidi="ar"/>
              </w:rPr>
              <w:t>管理；文件、记录和档案管理；安全风险管理、隐患排査治理；教育培训；班组安全活动；班前会制度；特种作业人员管理；建设项目安全设施</w:t>
            </w:r>
            <w:r>
              <w:rPr>
                <w:rFonts w:hint="eastAsia" w:asciiTheme="majorEastAsia" w:hAnsiTheme="majorEastAsia" w:eastAsiaTheme="majorEastAsia" w:cstheme="majorEastAsia"/>
                <w:i w:val="0"/>
                <w:color w:val="000000"/>
                <w:kern w:val="0"/>
                <w:sz w:val="24"/>
                <w:szCs w:val="24"/>
                <w:u w:val="none"/>
                <w:lang w:val="en-US" w:eastAsia="zh-CN" w:bidi="ar"/>
              </w:rPr>
              <w:t>“</w:t>
            </w:r>
            <w:r>
              <w:rPr>
                <w:rStyle w:val="22"/>
                <w:rFonts w:hint="eastAsia" w:asciiTheme="majorEastAsia" w:hAnsiTheme="majorEastAsia" w:eastAsiaTheme="majorEastAsia" w:cstheme="majorEastAsia"/>
                <w:lang w:val="en-US" w:eastAsia="zh-CN" w:bidi="ar"/>
              </w:rPr>
              <w:t>三同时</w:t>
            </w:r>
            <w:r>
              <w:rPr>
                <w:rFonts w:hint="eastAsia" w:asciiTheme="majorEastAsia" w:hAnsiTheme="majorEastAsia" w:eastAsiaTheme="majorEastAsia" w:cstheme="majorEastAsia"/>
                <w:i w:val="0"/>
                <w:color w:val="000000"/>
                <w:kern w:val="0"/>
                <w:sz w:val="24"/>
                <w:szCs w:val="24"/>
                <w:u w:val="none"/>
                <w:lang w:val="en-US" w:eastAsia="zh-CN" w:bidi="ar"/>
              </w:rPr>
              <w:t>”</w:t>
            </w:r>
            <w:r>
              <w:rPr>
                <w:rStyle w:val="22"/>
                <w:lang w:val="en-US" w:eastAsia="zh-CN" w:bidi="ar"/>
              </w:rPr>
              <w:t>管理；设备设施管理；施工和检维修安全管理；危险物品管理；危险作业安全管理；安全警示标志管理；安全预测预警；安全生产奖惩管理；相关方安全管理；变更管理；个体防护用品管理；应急管理；事故管理；安全生产报告；绩效评定管理。</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各制度未以文件形式发布的，不得分；每缺一项制度的，扣2分；制度内容不符合规定或与实际不符的，每项制度扣2分；无制度执行记录的，每项制度扣2分。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查资料：企业安全生产规章制度；相关执行记录。</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询问：有关人员对规章制度的了解、掌握情况。</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查现场：规章制度与生产实际的符合性。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82" w:type="dxa"/>
            <w:gridSpan w:val="2"/>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安全生产规章制度制修订过程中应征求工会和从业人员意见、建议，并保留相关工作记录。</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制修订过程中未征求工会和从业人员意见、建议的或无相关记录的，每处扣1分。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查资料：规章制度制修订相关工作记录。</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询问：相关人员参与制修订情况。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82" w:type="dxa"/>
            <w:gridSpan w:val="2"/>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安全生产规章制度发放到相关工作岗位，确保从业人员及时获取制度文本，并对员工进行培训和考核。</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规章制度未发放到相应岗位的，扣2分；无培训和考核记录的，不得分；每缺少一项培训和考核的，扣1分。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查资料：文件发放记录；规章制度的培训、考核记录等。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4" w:type="dxa"/>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997" w:type="dxa"/>
            <w:gridSpan w:val="3"/>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小计</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3870" w:type="dxa"/>
            <w:shd w:val="clear" w:color="auto" w:fill="auto"/>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c>
          <w:tcPr>
            <w:tcW w:w="3045" w:type="dxa"/>
            <w:shd w:val="clear" w:color="auto" w:fill="auto"/>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5" w:hRule="atLeast"/>
          <w:jc w:val="center"/>
        </w:trPr>
        <w:tc>
          <w:tcPr>
            <w:tcW w:w="504"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制度化管理</w:t>
            </w:r>
          </w:p>
        </w:tc>
        <w:tc>
          <w:tcPr>
            <w:tcW w:w="1282" w:type="dxa"/>
            <w:gridSpan w:val="2"/>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r>
              <w:rPr>
                <w:rStyle w:val="22"/>
                <w:lang w:val="en-US" w:eastAsia="zh-CN" w:bidi="ar"/>
              </w:rPr>
              <w:t>操作规程</w:t>
            </w: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结合本企业生产工艺、作业任务特点以及岗位作业安全风险要求，编制齐全、适用的岗位安全操作规程。</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无岗位安全操作规程的，不得分；岗位操作规程不齐全、适用的，每缺一个扣2分；内容不符合相关规定或没有基于特定风险分析、评估和控制的，每个扣2分。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查资料：岗位操作规程及签发文件。</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查现场：操作规程与生产实际的符合性；岗位操作规程的执行情况。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82" w:type="dxa"/>
            <w:gridSpan w:val="2"/>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岗位安全操作规程发放到相关工作岗位，确保从业人员及时获取，并对员工进行培训和考核。</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未发放的，不得分；每少发一个岗位的，扣1分；无培训和考核记录等资料的，不得分；每缺一个培训和考核的，扣2分。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查资料：岗位操作规程发放记录；班组关于规程培训学习及相关记录。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82" w:type="dxa"/>
            <w:gridSpan w:val="2"/>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从业人员应参与岗位安全生产操作规程的编制和修订工作，并保留相关记录。</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无从业人员参与岗位安全生产操作规程的编制和修订工作记录的，每处扣1分。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查资料：岗位安全生产操作规程制修订相关工作记录。</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询问：相关人员参与制修订情况。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82" w:type="dxa"/>
            <w:gridSpan w:val="2"/>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新技术、新材料、新工艺、新设备设施投入使用前，应组织制修订相应的安全生产操作规程。</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未制修</w:t>
            </w:r>
            <w:r>
              <w:rPr>
                <w:rFonts w:hint="eastAsia" w:asciiTheme="majorEastAsia" w:hAnsiTheme="majorEastAsia" w:eastAsiaTheme="majorEastAsia" w:cstheme="majorEastAsia"/>
                <w:i w:val="0"/>
                <w:color w:val="000000"/>
                <w:kern w:val="0"/>
                <w:sz w:val="24"/>
                <w:szCs w:val="24"/>
                <w:u w:val="none"/>
                <w:lang w:val="en-US" w:eastAsia="zh-CN" w:bidi="ar"/>
              </w:rPr>
              <w:t>订“四新”的</w:t>
            </w:r>
            <w:r>
              <w:rPr>
                <w:rFonts w:hint="default" w:ascii="Times New Roman" w:hAnsi="Times New Roman" w:eastAsia="宋体" w:cs="Times New Roman"/>
                <w:i w:val="0"/>
                <w:color w:val="000000"/>
                <w:kern w:val="0"/>
                <w:sz w:val="24"/>
                <w:szCs w:val="24"/>
                <w:u w:val="none"/>
                <w:lang w:val="en-US" w:eastAsia="zh-CN" w:bidi="ar"/>
              </w:rPr>
              <w:t>安全生产操作规程的，不得分；规程不完善的，扣2分。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w:t>
            </w:r>
            <w:r>
              <w:rPr>
                <w:rFonts w:hint="default" w:ascii="Times New Roman" w:hAnsi="Times New Roman" w:eastAsia="宋体" w:cs="Times New Roman"/>
                <w:i w:val="0"/>
                <w:color w:val="000000"/>
                <w:kern w:val="0"/>
                <w:sz w:val="24"/>
                <w:szCs w:val="24"/>
                <w:u w:val="none"/>
                <w:lang w:val="en-US" w:eastAsia="zh-CN" w:bidi="ar"/>
              </w:rPr>
              <w:t>“</w:t>
            </w:r>
            <w:r>
              <w:rPr>
                <w:rStyle w:val="22"/>
                <w:lang w:val="en-US" w:eastAsia="zh-CN" w:bidi="ar"/>
              </w:rPr>
              <w:t>四新</w:t>
            </w:r>
            <w:r>
              <w:rPr>
                <w:rFonts w:hint="default" w:ascii="Times New Roman" w:hAnsi="Times New Roman" w:eastAsia="宋体" w:cs="Times New Roman"/>
                <w:i w:val="0"/>
                <w:color w:val="000000"/>
                <w:kern w:val="0"/>
                <w:sz w:val="24"/>
                <w:szCs w:val="24"/>
                <w:u w:val="none"/>
                <w:lang w:val="en-US" w:eastAsia="zh-CN" w:bidi="ar"/>
              </w:rPr>
              <w:t>”</w:t>
            </w:r>
            <w:r>
              <w:rPr>
                <w:rStyle w:val="22"/>
                <w:lang w:val="en-US" w:eastAsia="zh-CN" w:bidi="ar"/>
              </w:rPr>
              <w:t>项目相关规程，核实内容的适宜性和有效性。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5" w:hRule="atLeast"/>
          <w:jc w:val="center"/>
        </w:trPr>
        <w:tc>
          <w:tcPr>
            <w:tcW w:w="504" w:type="dxa"/>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997" w:type="dxa"/>
            <w:gridSpan w:val="3"/>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小计</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3870" w:type="dxa"/>
            <w:shd w:val="clear" w:color="auto" w:fill="auto"/>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c>
          <w:tcPr>
            <w:tcW w:w="3045" w:type="dxa"/>
            <w:shd w:val="clear" w:color="auto" w:fill="auto"/>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5" w:hRule="atLeast"/>
          <w:jc w:val="center"/>
        </w:trPr>
        <w:tc>
          <w:tcPr>
            <w:tcW w:w="504"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制度化管理</w:t>
            </w:r>
          </w:p>
        </w:tc>
        <w:tc>
          <w:tcPr>
            <w:tcW w:w="645"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w:t>
            </w:r>
            <w:r>
              <w:rPr>
                <w:rStyle w:val="22"/>
                <w:lang w:val="en-US" w:eastAsia="zh-CN" w:bidi="ar"/>
              </w:rPr>
              <w:t>文档管理</w:t>
            </w:r>
          </w:p>
        </w:tc>
        <w:tc>
          <w:tcPr>
            <w:tcW w:w="637"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2.4.1</w:t>
            </w:r>
            <w:r>
              <w:rPr>
                <w:rStyle w:val="22"/>
                <w:lang w:val="en-US" w:eastAsia="zh-CN" w:bidi="ar"/>
              </w:rPr>
              <w:t>记录管理</w:t>
            </w: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建立文件、记录和档案管理制度，明确安全生产规章制度及操作规程的编制、评审、发布、使用、修订、作废，明确文件和记录管理的职责、程序和要求，明确具体档案资料、保存周期、保存形式等。</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无该项制度或未以文件形式发布的，不得分；制度内容不全的，扣1分。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查资料：制度文件。</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查现场：核实责任部门的职责。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确保安全规章制度和操作规程编制、使用、评审、修订的效力。</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未按文件管理制度执行的，不得分；缺少环节记录资料的，扣1分。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查资料：安全生产规章制度或操作规程编制、发布等环节相关记录。</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查现场：抽查工作岗位规章制度、岗位操作规程是否为最新、有效版本。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9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、对下列主要安全生产资料进行档案管理：培训教育档案、安全设施档案或建设项目安全管理资料档案、相关方档案</w:t>
            </w:r>
            <w:r>
              <w:rPr>
                <w:rFonts w:hint="default" w:ascii="Times New Roman" w:hAnsi="Times New Roman" w:eastAsia="宋体" w:cs="Times New Roman"/>
                <w:i w:val="0"/>
                <w:color w:val="000000"/>
                <w:kern w:val="0"/>
                <w:sz w:val="24"/>
                <w:szCs w:val="24"/>
                <w:u w:val="none"/>
                <w:lang w:val="en-US" w:eastAsia="zh-CN" w:bidi="ar"/>
              </w:rPr>
              <w:t>(</w:t>
            </w:r>
            <w:r>
              <w:rPr>
                <w:rStyle w:val="22"/>
                <w:lang w:val="en-US" w:eastAsia="zh-CN" w:bidi="ar"/>
              </w:rPr>
              <w:t>供应商档案、合格承包商档案</w:t>
            </w:r>
            <w:r>
              <w:rPr>
                <w:rFonts w:hint="default" w:ascii="Times New Roman" w:hAnsi="Times New Roman" w:eastAsia="宋体" w:cs="Times New Roman"/>
                <w:i w:val="0"/>
                <w:color w:val="000000"/>
                <w:kern w:val="0"/>
                <w:sz w:val="24"/>
                <w:szCs w:val="24"/>
                <w:u w:val="none"/>
                <w:lang w:val="en-US" w:eastAsia="zh-CN" w:bidi="ar"/>
              </w:rPr>
              <w:t>)</w:t>
            </w:r>
            <w:r>
              <w:rPr>
                <w:rStyle w:val="22"/>
                <w:lang w:val="en-US" w:eastAsia="zh-CN" w:bidi="ar"/>
              </w:rPr>
              <w:t>、安全风险档案、重大危险源档案、危险化学品档案、个体防护装备</w:t>
            </w:r>
            <w:r>
              <w:rPr>
                <w:rFonts w:hint="default" w:ascii="Times New Roman" w:hAnsi="Times New Roman" w:eastAsia="宋体" w:cs="Times New Roman"/>
                <w:i w:val="0"/>
                <w:color w:val="000000"/>
                <w:kern w:val="0"/>
                <w:sz w:val="24"/>
                <w:szCs w:val="24"/>
                <w:u w:val="none"/>
                <w:lang w:val="en-US" w:eastAsia="zh-CN" w:bidi="ar"/>
              </w:rPr>
              <w:t>(</w:t>
            </w:r>
            <w:r>
              <w:rPr>
                <w:rStyle w:val="22"/>
                <w:lang w:val="en-US" w:eastAsia="zh-CN" w:bidi="ar"/>
              </w:rPr>
              <w:t>劳动防护用品</w:t>
            </w:r>
            <w:r>
              <w:rPr>
                <w:rFonts w:hint="default" w:ascii="Times New Roman" w:hAnsi="Times New Roman" w:eastAsia="宋体" w:cs="Times New Roman"/>
                <w:i w:val="0"/>
                <w:color w:val="000000"/>
                <w:kern w:val="0"/>
                <w:sz w:val="24"/>
                <w:szCs w:val="24"/>
                <w:u w:val="none"/>
                <w:lang w:val="en-US" w:eastAsia="zh-CN" w:bidi="ar"/>
              </w:rPr>
              <w:t>)</w:t>
            </w:r>
            <w:r>
              <w:rPr>
                <w:rStyle w:val="22"/>
                <w:lang w:val="en-US" w:eastAsia="zh-CN" w:bidi="ar"/>
              </w:rPr>
              <w:t>档案、事故隐患档案、事故档案、特种设备档案、建筑拆除工程安全技术档案、消防设施档案。</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、电子档案支持查询和检索功能。</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未实行档案管理的，不得分；档案管理不规范的，扣2分；每缺少一类档案，扣2分；电子档案无查询和检索功能的，扣2分。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查资料：各类安全生产资料相关档案。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c>
          <w:tcPr>
            <w:tcW w:w="637"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2.4.2</w:t>
            </w:r>
            <w:r>
              <w:rPr>
                <w:rStyle w:val="22"/>
                <w:lang w:val="en-US" w:eastAsia="zh-CN" w:bidi="ar"/>
              </w:rPr>
              <w:t>评估</w:t>
            </w: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每年至少对安全生产法律法规、标准规范、规章制度、操作规程的执行情况和适用情况进行评估一次。</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未进行评估的或无评估报告的，不得分；评估报告每缺少一个方面内容的，扣1分；评估结果与实际不符的，扣2分；评估频次不符合要求的，扣2分。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查资料：查评估报告。</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查现场：评估结果与生产实际的符合性。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c>
          <w:tcPr>
            <w:tcW w:w="637" w:type="dxa"/>
            <w:shd w:val="clear" w:color="auto" w:fill="auto"/>
            <w:noWrap/>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2.4.3</w:t>
            </w:r>
            <w:r>
              <w:rPr>
                <w:rStyle w:val="22"/>
                <w:lang w:val="en-US" w:eastAsia="zh-CN" w:bidi="ar"/>
              </w:rPr>
              <w:t>修订</w:t>
            </w: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根据评估情况、安全检查反馈的问题、生产安全事故案例、绩效评定结果等，对安全生产管理规章制度和操作规程进行修订，确保其有效和适用。</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未及时组织修订的，不得分；无修订的计划和记录资料的，不得分；应修订而未修订的，每项扣2分。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查资料：管理制度评审和修订制度；安全生产规章制度、操作规程评审和修订记录。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5" w:hRule="atLeast"/>
          <w:jc w:val="center"/>
        </w:trPr>
        <w:tc>
          <w:tcPr>
            <w:tcW w:w="504" w:type="dxa"/>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997" w:type="dxa"/>
            <w:gridSpan w:val="3"/>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小计</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3870" w:type="dxa"/>
            <w:shd w:val="clear" w:color="auto" w:fill="auto"/>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c>
          <w:tcPr>
            <w:tcW w:w="3045" w:type="dxa"/>
            <w:shd w:val="clear" w:color="auto" w:fill="auto"/>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7501" w:type="dxa"/>
            <w:gridSpan w:val="4"/>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合计</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70</w:t>
            </w:r>
          </w:p>
        </w:tc>
        <w:tc>
          <w:tcPr>
            <w:tcW w:w="3870" w:type="dxa"/>
            <w:shd w:val="clear" w:color="auto" w:fill="auto"/>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c>
          <w:tcPr>
            <w:tcW w:w="3045" w:type="dxa"/>
            <w:shd w:val="clear" w:color="auto" w:fill="auto"/>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04"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教育培训</w:t>
            </w:r>
          </w:p>
        </w:tc>
        <w:tc>
          <w:tcPr>
            <w:tcW w:w="1282" w:type="dxa"/>
            <w:gridSpan w:val="2"/>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w:t>
            </w:r>
            <w:r>
              <w:rPr>
                <w:rStyle w:val="22"/>
                <w:lang w:val="en-US" w:eastAsia="zh-CN" w:bidi="ar"/>
              </w:rPr>
              <w:t>教育培训管理</w:t>
            </w: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建立安全培训制度，并发布生效，明确安全培训主管部门、培训大纲、内容、学时等内容。</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无该项制度或未以文件形式发布生效的，不得分；未明确主管部门的，不得分；不符合法律法规要求的，不得分；制度中每缺少一类培训规定的，扣1分。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查资料：安全培训管理制度；制度执行记录。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82" w:type="dxa"/>
            <w:gridSpan w:val="2"/>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、定期识别从业人员安全培训需求。</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、制定包含培训时间、培训对象、培训内容、培训学时、资金、考核方式等内容的培训计划和实施方案。</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未定期识别从业人员培训需求的，不得分；识别不充分的，每处扣1分；无培训计划的，不得分；计划每缺少一类培训的，扣1分。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查资料：安全培训需求记录；培训计划；安全生产费用台账。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82" w:type="dxa"/>
            <w:gridSpan w:val="2"/>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、按计划进行安全培训，如实记录从业人员安全培训情况。</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、应对安全培训效果进行评估，发现问题，及时改进。效果评估应包括：（</w:t>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）培训效果反应评价：要通过学员的情绪、注意力、满意或不满意等。（</w:t>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）学习效果评价：检查学员学到了什么知识，掌握知识的程度，培训内容方法是否合适、有效。（</w:t>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）行为影响效果评价：衡量培训是否给受训者的行为带来了新的改变。（</w:t>
            </w: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）存在的问题和改进对策。</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、建立从业人员安全培训档案，包括：培训的时间、内容、参加人员以及考核结果等情况。</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未按计划进行培训的，每次扣2分；记录不完整齐全的，每缺一项扣2分；未进行效果评估的，每次扣2分；评估内容缺失一类，扣2分；未根据评估作出改进的，每次扣2分；未进行档案管理的，不得分；档案资料不完整齐全的，每次扣2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查资料：从业人员安全培训记录；培训实施效果评估记录；安全培训档案。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4" w:type="dxa"/>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997" w:type="dxa"/>
            <w:gridSpan w:val="3"/>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小计</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3870" w:type="dxa"/>
            <w:shd w:val="clear" w:color="auto" w:fill="auto"/>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c>
          <w:tcPr>
            <w:tcW w:w="3045" w:type="dxa"/>
            <w:shd w:val="clear" w:color="auto" w:fill="auto"/>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5" w:hRule="atLeast"/>
          <w:jc w:val="center"/>
        </w:trPr>
        <w:tc>
          <w:tcPr>
            <w:tcW w:w="504"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教育培训</w:t>
            </w:r>
          </w:p>
        </w:tc>
        <w:tc>
          <w:tcPr>
            <w:tcW w:w="645"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w:t>
            </w:r>
            <w:r>
              <w:rPr>
                <w:rStyle w:val="22"/>
                <w:lang w:val="en-US" w:eastAsia="zh-CN" w:bidi="ar"/>
              </w:rPr>
              <w:t>人员教育培训</w:t>
            </w:r>
          </w:p>
        </w:tc>
        <w:tc>
          <w:tcPr>
            <w:tcW w:w="637" w:type="dxa"/>
            <w:vMerge w:val="restart"/>
            <w:shd w:val="clear" w:color="auto" w:fill="auto"/>
            <w:noWrap/>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3.2.1</w:t>
            </w:r>
            <w:r>
              <w:rPr>
                <w:rStyle w:val="22"/>
                <w:lang w:val="en-US" w:eastAsia="zh-CN" w:bidi="ar"/>
              </w:rPr>
              <w:t>主要负责人和安全管理人员</w:t>
            </w: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主要负责人和安全生产管理人员，必须具备与本单位所从事的生产经营活动相适应的安全生产知识和管理能力。法律法规要求必须对其安全生产知识和管理能力进行考核的，须经考核合格后方可任职。</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3870" w:type="dxa"/>
            <w:shd w:val="clear" w:color="auto" w:fill="B7DEE8"/>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rFonts w:hint="default" w:ascii="Times New Roman" w:hAnsi="Times New Roman" w:cs="Times New Roman"/>
                <w:lang w:val="en-US" w:eastAsia="zh-CN" w:bidi="ar"/>
              </w:rPr>
              <w:t>培训要求不符合《生产经营单位安全培训规定》（安监总局令第3号、第80号）要求的，每处扣2分；不熟悉安全生产知识和或不具备安全管理能力的，每人扣2分；发生生产安全事故造成人员死亡的，未重新参加安全生产知识培训并考核合格的，不得分。</w:t>
            </w:r>
            <w:r>
              <w:rPr>
                <w:rStyle w:val="22"/>
                <w:rFonts w:hint="default" w:ascii="Times New Roman" w:hAnsi="Times New Roman" w:cs="Times New Roman"/>
                <w:lang w:val="en-US" w:eastAsia="zh-CN" w:bidi="ar"/>
              </w:rPr>
              <w:br w:type="textWrapping"/>
            </w:r>
            <w:r>
              <w:rPr>
                <w:rFonts w:hint="default" w:ascii="Times New Roman" w:hAnsi="Times New Roman" w:eastAsia="宋体" w:cs="Times New Roman"/>
                <w:b/>
                <w:i w:val="0"/>
                <w:color w:val="FF0000"/>
                <w:kern w:val="0"/>
                <w:sz w:val="24"/>
                <w:szCs w:val="24"/>
                <w:u w:val="none"/>
                <w:lang w:val="en-US" w:eastAsia="zh-CN" w:bidi="ar"/>
              </w:rPr>
              <w:t>金属冶炼企业主要负责人、安全生产管理人员未按照规定经考核合格的，为否决项。</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查资料：高危行业主要负责人和安全生产管理人员安全合格证及培训学习档案。</w:t>
            </w:r>
            <w:r>
              <w:rPr>
                <w:rFonts w:hint="default" w:ascii="Times New Roman" w:hAnsi="Times New Roman" w:eastAsia="宋体" w:cs="Times New Roman"/>
                <w:i w:val="0"/>
                <w:color w:val="000000"/>
                <w:kern w:val="0"/>
                <w:sz w:val="24"/>
                <w:szCs w:val="24"/>
                <w:u w:val="non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测试：抽查相关人员对企业安全生产目标与指标、责任制、主要规章制度、重大危险源、风险管控情况等内容的掌握情况。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3"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noWrap/>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各级管理人员应接受教育培训，培训内容至少应包括：安全生产法律法规、风险评估与管控、隐患排查治理、应急处置、事故案例等，并保留记录。</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未进行培训或无培训记录的，不得分；培训</w:t>
            </w:r>
            <w:r>
              <w:rPr>
                <w:rFonts w:hint="eastAsia" w:ascii="Times New Roman" w:hAnsi="Times New Roman" w:eastAsia="宋体" w:cs="Times New Roman"/>
                <w:i w:val="0"/>
                <w:color w:val="000000"/>
                <w:kern w:val="0"/>
                <w:sz w:val="24"/>
                <w:szCs w:val="24"/>
                <w:u w:val="none"/>
                <w:lang w:val="en-US" w:eastAsia="zh-CN" w:bidi="ar"/>
              </w:rPr>
              <w:t>每缺</w:t>
            </w:r>
            <w:r>
              <w:rPr>
                <w:rFonts w:hint="default" w:ascii="Times New Roman" w:hAnsi="Times New Roman" w:eastAsia="宋体" w:cs="Times New Roman"/>
                <w:i w:val="0"/>
                <w:color w:val="000000"/>
                <w:kern w:val="0"/>
                <w:sz w:val="24"/>
                <w:szCs w:val="24"/>
                <w:u w:val="none"/>
                <w:lang w:val="en-US" w:eastAsia="zh-CN" w:bidi="ar"/>
              </w:rPr>
              <w:t>一人扣1分；记录</w:t>
            </w:r>
            <w:r>
              <w:rPr>
                <w:rFonts w:hint="eastAsia" w:ascii="Times New Roman" w:hAnsi="Times New Roman" w:eastAsia="宋体" w:cs="Times New Roman"/>
                <w:i w:val="0"/>
                <w:color w:val="000000"/>
                <w:kern w:val="0"/>
                <w:sz w:val="24"/>
                <w:szCs w:val="24"/>
                <w:u w:val="none"/>
                <w:lang w:val="en-US" w:eastAsia="zh-CN" w:bidi="ar"/>
              </w:rPr>
              <w:t>每缺</w:t>
            </w:r>
            <w:r>
              <w:rPr>
                <w:rFonts w:hint="default" w:ascii="Times New Roman" w:hAnsi="Times New Roman" w:eastAsia="宋体" w:cs="Times New Roman"/>
                <w:i w:val="0"/>
                <w:color w:val="000000"/>
                <w:kern w:val="0"/>
                <w:sz w:val="24"/>
                <w:szCs w:val="24"/>
                <w:u w:val="none"/>
                <w:lang w:val="en-US" w:eastAsia="zh-CN" w:bidi="ar"/>
              </w:rPr>
              <w:t>一次扣1分；被抽查人员不熟悉本岗位应具备的安全生产知识的，每人扣1分。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测试：部分管理人员的相关安全生产知识和能力。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restart"/>
            <w:shd w:val="clear" w:color="auto" w:fill="auto"/>
            <w:noWrap/>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3.2.2</w:t>
            </w:r>
            <w:r>
              <w:rPr>
                <w:rStyle w:val="22"/>
                <w:lang w:val="en-US" w:eastAsia="zh-CN" w:bidi="ar"/>
              </w:rPr>
              <w:t>从业人员</w:t>
            </w: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应对从业人员进行安全培训，培训内容应至少包含：满足岗位要求的安全生产知识、相关法律法规、规章制度、操作规程、安全操作技能、风险辨识和管控方法以及应急处置方案、权利和义务等内容。当安全风险变化时，及时更新培训内容，对相关人员</w:t>
            </w:r>
            <w:r>
              <w:rPr>
                <w:rFonts w:hint="default" w:ascii="Times New Roman" w:hAnsi="Times New Roman" w:eastAsia="宋体" w:cs="Times New Roman"/>
                <w:i w:val="0"/>
                <w:color w:val="000000"/>
                <w:kern w:val="0"/>
                <w:sz w:val="24"/>
                <w:szCs w:val="24"/>
                <w:u w:val="none"/>
                <w:lang w:val="en-US" w:eastAsia="zh-CN" w:bidi="ar"/>
              </w:rPr>
              <w:t>(</w:t>
            </w:r>
            <w:r>
              <w:rPr>
                <w:rStyle w:val="22"/>
                <w:lang w:val="en-US" w:eastAsia="zh-CN" w:bidi="ar"/>
              </w:rPr>
              <w:t>包括承包商人员</w:t>
            </w:r>
            <w:r>
              <w:rPr>
                <w:rFonts w:hint="default" w:ascii="Times New Roman" w:hAnsi="Times New Roman" w:eastAsia="宋体" w:cs="Times New Roman"/>
                <w:i w:val="0"/>
                <w:color w:val="000000"/>
                <w:kern w:val="0"/>
                <w:sz w:val="24"/>
                <w:szCs w:val="24"/>
                <w:u w:val="none"/>
                <w:lang w:val="en-US" w:eastAsia="zh-CN" w:bidi="ar"/>
              </w:rPr>
              <w:t>)</w:t>
            </w:r>
            <w:r>
              <w:rPr>
                <w:rStyle w:val="22"/>
                <w:lang w:val="en-US" w:eastAsia="zh-CN" w:bidi="ar"/>
              </w:rPr>
              <w:t>进行培训。同行业或本企业发生事故事件后，及时组织教育培训，分享经验，吸取教训。</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从业人员须经安全教育培训考试合格后方可上岗作业。金属冶炼企业对新上岗的临时工、合同工、劳务工、轮换工、协议工等进行强制性安全培训，培训内容应至少包含本岗位安全操作、自救互救以及应急处置所需的知识和技能等相关内容，合格后方可上岗作业。</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培训内容不全的，每处扣2分；未经培训或培训考核不合格而上岗作业的，每人扣2分；被抽查人员不熟悉本岗位安全知识的，每人扣2分。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查资料：培训记录。</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测试：抽取部分从业人员对满足岗位要求的安全生产知识、相关法律法规、规章制度、操作规程、安全操作技能、风险辨识和管控方法以及应急处置方案、责任制等内容的掌握情况。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noWrap/>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每年进行安全生产知识再培训并考核，再培训学时和内容应符合《生产经营单位安全培训规定》（安监总局令第</w:t>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号、第</w:t>
            </w:r>
            <w:r>
              <w:rPr>
                <w:rFonts w:hint="default" w:ascii="Times New Roman" w:hAnsi="Times New Roman" w:eastAsia="宋体" w:cs="Times New Roman"/>
                <w:i w:val="0"/>
                <w:color w:val="000000"/>
                <w:kern w:val="0"/>
                <w:sz w:val="24"/>
                <w:szCs w:val="24"/>
                <w:u w:val="none"/>
                <w:lang w:val="en-US" w:eastAsia="zh-CN" w:bidi="ar"/>
              </w:rPr>
              <w:t>80</w:t>
            </w:r>
            <w:r>
              <w:rPr>
                <w:rStyle w:val="22"/>
                <w:lang w:val="en-US" w:eastAsia="zh-CN" w:bidi="ar"/>
              </w:rPr>
              <w:t>号）规定。</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每年再培训不符合要求，每人扣1分。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noWrap/>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新入厂（矿）从业人员上岗前应经厂（矿）、车间（工段、区、队）、班组三级安全培训教育；岗前安全教育培训学时和内容应符合《生产经营单位安全培训规定》（国家安全监管总局令第</w:t>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号、第</w:t>
            </w:r>
            <w:r>
              <w:rPr>
                <w:rFonts w:hint="default" w:ascii="Times New Roman" w:hAnsi="Times New Roman" w:eastAsia="宋体" w:cs="Times New Roman"/>
                <w:i w:val="0"/>
                <w:color w:val="000000"/>
                <w:kern w:val="0"/>
                <w:sz w:val="24"/>
                <w:szCs w:val="24"/>
                <w:u w:val="none"/>
                <w:lang w:val="en-US" w:eastAsia="zh-CN" w:bidi="ar"/>
              </w:rPr>
              <w:t>80</w:t>
            </w:r>
            <w:r>
              <w:rPr>
                <w:rStyle w:val="22"/>
                <w:lang w:val="en-US" w:eastAsia="zh-CN" w:bidi="ar"/>
              </w:rPr>
              <w:t>号）的有关规定。</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三级安全教育培训无针对性或流于形式的，不得分；新入厂人员未经三级安全培训合格后上岗的，每人扣1分；培训学时和内容不符合规定的，每人扣1分，被抽查人员不具备相关知识及技能的，每人扣1分。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查资料：从业人员安全培训教育档案、考核合格证明等。</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测试：抽查新上岗的从业人员相应安全知识、岗位操作规程、应急处置措施等掌握情况。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noWrap/>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在新工艺、新技术、新材料、新设备设施投入使用前，应对有关岗位操作人员进行专门的安全培训。</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在新工艺、新技术、新材料、新设备设施投入使用前，未对岗位操作人员进行专门的安全培训的，每人扣1分。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查资料：培训记录、培训内容、考核内容。</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询问：抽查相关人员相应安全知识、岗位操作规程、应急处置措施等掌握情况。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noWrap/>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岗位操作人员转岗和离岗六个月重新上岗者，应进行车间</w:t>
            </w:r>
            <w:r>
              <w:rPr>
                <w:rFonts w:hint="default" w:ascii="Times New Roman" w:hAnsi="Times New Roman" w:eastAsia="宋体" w:cs="Times New Roman"/>
                <w:i w:val="0"/>
                <w:color w:val="000000"/>
                <w:kern w:val="0"/>
                <w:sz w:val="24"/>
                <w:szCs w:val="24"/>
                <w:u w:val="none"/>
                <w:lang w:val="en-US" w:eastAsia="zh-CN" w:bidi="ar"/>
              </w:rPr>
              <w:t>(</w:t>
            </w:r>
            <w:r>
              <w:rPr>
                <w:rStyle w:val="22"/>
                <w:lang w:val="en-US" w:eastAsia="zh-CN" w:bidi="ar"/>
              </w:rPr>
              <w:t>工段</w:t>
            </w:r>
            <w:r>
              <w:rPr>
                <w:rFonts w:hint="default" w:ascii="Times New Roman" w:hAnsi="Times New Roman" w:eastAsia="宋体" w:cs="Times New Roman"/>
                <w:i w:val="0"/>
                <w:color w:val="000000"/>
                <w:kern w:val="0"/>
                <w:sz w:val="24"/>
                <w:szCs w:val="24"/>
                <w:u w:val="none"/>
                <w:lang w:val="en-US" w:eastAsia="zh-CN" w:bidi="ar"/>
              </w:rPr>
              <w:t>)</w:t>
            </w:r>
            <w:r>
              <w:rPr>
                <w:rStyle w:val="22"/>
                <w:lang w:val="en-US" w:eastAsia="zh-CN" w:bidi="ar"/>
              </w:rPr>
              <w:t>、班组安全培训，经考核合格后，方可上岗工作。</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未按规定对转岗和离岗者进行培训考核合格就上岗的，每人扣1分。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查资料：培训记录、培训内容、考核内容。</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询问：现场抽查相关人员安全知识、岗位操作规程的掌握情况等。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noWrap/>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从事特种作业人员和特种设备作业人员应遵照国家有关规定，经专门的安全作业培训取得相应资格，方可上岗作业，并定期接受复审。</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3870" w:type="dxa"/>
            <w:shd w:val="clear" w:color="auto" w:fill="B7DEE8"/>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rFonts w:hint="default" w:ascii="Times New Roman" w:hAnsi="Times New Roman" w:cs="Times New Roman"/>
                <w:lang w:val="en-US" w:eastAsia="zh-CN" w:bidi="ar"/>
              </w:rPr>
              <w:t>特种作业人员和特种设备作业人员配备不合理的，每人扣2分；无特种作业和特种设备作业人员台账的，扣4分；台账不全的，每处扣1分。</w:t>
            </w:r>
            <w:r>
              <w:rPr>
                <w:rStyle w:val="22"/>
                <w:rFonts w:hint="default" w:ascii="Times New Roman" w:hAnsi="Times New Roman" w:cs="Times New Roman"/>
                <w:lang w:val="en-US" w:eastAsia="zh-CN" w:bidi="ar"/>
              </w:rPr>
              <w:br w:type="textWrapping"/>
            </w:r>
            <w:r>
              <w:rPr>
                <w:rFonts w:hint="default" w:ascii="Times New Roman" w:hAnsi="Times New Roman" w:eastAsia="宋体" w:cs="Times New Roman"/>
                <w:b/>
                <w:i w:val="0"/>
                <w:color w:val="FF0000"/>
                <w:kern w:val="0"/>
                <w:sz w:val="24"/>
                <w:szCs w:val="24"/>
                <w:u w:val="none"/>
                <w:lang w:val="en-US" w:eastAsia="zh-CN" w:bidi="ar"/>
              </w:rPr>
              <w:t>特种作业人员未按照规定经专门的安全作业培训并取得相应资格，上岗作业的，为否决项。</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查资料：特种作业人员及特种设备作业人员管理台账；验证特种作业操作证等。</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查现场：特种作业人员、特种设备作业人员是否持证上岗。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noWrap/>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应对专（兼）职应急救援人员进行培训；应急救援人员经培训合格后，方可参加应急救援工作，并定期参加复训。</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专（兼）职应急救援人员未经相应应急救援培训并考核合格就上岗的，每人扣1分；未定期参加复训的，每人扣1分；被抽查人员，对应急救援流程、方法等内容不熟悉的，每人扣1分。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查资料：从业人员安全培训教育档案。</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询问：相关人员应急救援流程、方法等内容的掌握情况。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3.2.3</w:t>
            </w:r>
            <w:r>
              <w:rPr>
                <w:rStyle w:val="22"/>
                <w:lang w:val="en-US" w:eastAsia="zh-CN" w:bidi="ar"/>
              </w:rPr>
              <w:t>外来人员</w:t>
            </w: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对相关方进行安全培训，培训合格后，取得入厂证后方可入厂工作。作业人员进入作业现场前，应由作业现场所在单位对其进行有针对性的安全培训。</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未进行培训的，不得分。相关方作业人员未经安全培训进入作业现场的，每人扣2分；培训内容未根据具体作业活动的特点，或无针对性，每处扣1分。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查资料：厂级承包商安全培训教育记录；基层单位承包商安全培训记录。</w:t>
            </w:r>
            <w:r>
              <w:rPr>
                <w:rFonts w:hint="default" w:ascii="Times New Roman" w:hAnsi="Times New Roman" w:eastAsia="宋体" w:cs="Times New Roman"/>
                <w:i w:val="0"/>
                <w:color w:val="000000"/>
                <w:kern w:val="0"/>
                <w:sz w:val="24"/>
                <w:szCs w:val="24"/>
                <w:u w:val="non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询问：外来施工单位接受企业培训情况。</w:t>
            </w:r>
            <w:r>
              <w:rPr>
                <w:rFonts w:hint="default" w:ascii="Times New Roman" w:hAnsi="Times New Roman" w:eastAsia="宋体" w:cs="Times New Roman"/>
                <w:i w:val="0"/>
                <w:color w:val="000000"/>
                <w:kern w:val="0"/>
                <w:sz w:val="24"/>
                <w:szCs w:val="24"/>
                <w:u w:val="non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查现场：抽查外来施工单位入厂证。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对外来参观、学习等人员进行有关安全规定、可能接触到的危害及应急知识等内容的安全培训（告知），并签字确认，由专人带领。</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未进行安全培训（告知）的，不得分；内容与实际不符的，扣1分；未提供相应劳保用品的，不得分；无专人带领的，不得分。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查资料：外来参观、学习等人员培训记录或告知确认证明材料。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4" w:type="dxa"/>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997" w:type="dxa"/>
            <w:gridSpan w:val="3"/>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小计</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3870" w:type="dxa"/>
            <w:shd w:val="clear" w:color="auto" w:fill="auto"/>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c>
          <w:tcPr>
            <w:tcW w:w="3045" w:type="dxa"/>
            <w:shd w:val="clear" w:color="auto" w:fill="auto"/>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7501" w:type="dxa"/>
            <w:gridSpan w:val="4"/>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合计</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70</w:t>
            </w:r>
          </w:p>
        </w:tc>
        <w:tc>
          <w:tcPr>
            <w:tcW w:w="3870" w:type="dxa"/>
            <w:shd w:val="clear" w:color="auto" w:fill="auto"/>
            <w:tcMar>
              <w:top w:w="8" w:type="dxa"/>
              <w:left w:w="8" w:type="dxa"/>
              <w:right w:w="8" w:type="dxa"/>
            </w:tcMar>
            <w:vAlign w:val="center"/>
          </w:tcPr>
          <w:p>
            <w:pPr>
              <w:spacing w:before="0" w:beforeAutospacing="0" w:after="0" w:afterAutospacing="0"/>
              <w:ind w:left="0" w:right="0"/>
              <w:jc w:val="both"/>
              <w:rPr>
                <w:rFonts w:hint="eastAsia" w:ascii="宋体" w:hAnsi="宋体" w:eastAsia="宋体" w:cs="宋体"/>
                <w:i w:val="0"/>
                <w:color w:val="000000"/>
                <w:sz w:val="24"/>
                <w:szCs w:val="24"/>
                <w:u w:val="none"/>
              </w:rPr>
            </w:pPr>
          </w:p>
        </w:tc>
        <w:tc>
          <w:tcPr>
            <w:tcW w:w="3045" w:type="dxa"/>
            <w:shd w:val="clear" w:color="auto" w:fill="auto"/>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5" w:hRule="atLeast"/>
          <w:jc w:val="center"/>
        </w:trPr>
        <w:tc>
          <w:tcPr>
            <w:tcW w:w="504"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现场管理</w:t>
            </w:r>
          </w:p>
        </w:tc>
        <w:tc>
          <w:tcPr>
            <w:tcW w:w="1282" w:type="dxa"/>
            <w:gridSpan w:val="2"/>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w:t>
            </w:r>
            <w:r>
              <w:rPr>
                <w:rStyle w:val="22"/>
                <w:lang w:val="en-US" w:eastAsia="zh-CN" w:bidi="ar"/>
              </w:rPr>
              <w:t>规划建设</w:t>
            </w: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应遵循《建设项目安全设</w:t>
            </w:r>
            <w:r>
              <w:rPr>
                <w:rStyle w:val="22"/>
                <w:rFonts w:hint="eastAsia" w:asciiTheme="majorEastAsia" w:hAnsiTheme="majorEastAsia" w:eastAsiaTheme="majorEastAsia" w:cstheme="majorEastAsia"/>
                <w:lang w:val="en-US" w:eastAsia="zh-CN" w:bidi="ar"/>
              </w:rPr>
              <w:t>施</w:t>
            </w:r>
            <w:r>
              <w:rPr>
                <w:rFonts w:hint="eastAsia" w:asciiTheme="majorEastAsia" w:hAnsiTheme="majorEastAsia" w:eastAsiaTheme="majorEastAsia" w:cstheme="majorEastAsia"/>
                <w:i w:val="0"/>
                <w:color w:val="000000"/>
                <w:kern w:val="0"/>
                <w:sz w:val="24"/>
                <w:szCs w:val="24"/>
                <w:u w:val="none"/>
                <w:lang w:val="en-US" w:eastAsia="zh-CN" w:bidi="ar"/>
              </w:rPr>
              <w:t>“</w:t>
            </w:r>
            <w:r>
              <w:rPr>
                <w:rStyle w:val="22"/>
                <w:rFonts w:hint="eastAsia" w:asciiTheme="majorEastAsia" w:hAnsiTheme="majorEastAsia" w:eastAsiaTheme="majorEastAsia" w:cstheme="majorEastAsia"/>
                <w:lang w:val="en-US" w:eastAsia="zh-CN" w:bidi="ar"/>
              </w:rPr>
              <w:t>三同时</w:t>
            </w:r>
            <w:r>
              <w:rPr>
                <w:rFonts w:hint="eastAsia" w:asciiTheme="majorEastAsia" w:hAnsiTheme="majorEastAsia" w:eastAsiaTheme="majorEastAsia" w:cstheme="majorEastAsia"/>
                <w:i w:val="0"/>
                <w:color w:val="000000"/>
                <w:kern w:val="0"/>
                <w:sz w:val="24"/>
                <w:szCs w:val="24"/>
                <w:u w:val="none"/>
                <w:lang w:val="en-US" w:eastAsia="zh-CN" w:bidi="ar"/>
              </w:rPr>
              <w:t>”</w:t>
            </w:r>
            <w:r>
              <w:rPr>
                <w:rStyle w:val="22"/>
                <w:lang w:val="en-US" w:eastAsia="zh-CN" w:bidi="ar"/>
              </w:rPr>
              <w:t>监督管理办法》（安监总局令</w:t>
            </w:r>
            <w:r>
              <w:rPr>
                <w:rFonts w:hint="default" w:ascii="Times New Roman" w:hAnsi="Times New Roman" w:eastAsia="宋体" w:cs="Times New Roman"/>
                <w:i w:val="0"/>
                <w:color w:val="000000"/>
                <w:kern w:val="0"/>
                <w:sz w:val="24"/>
                <w:szCs w:val="24"/>
                <w:u w:val="none"/>
                <w:lang w:val="en-US" w:eastAsia="zh-CN" w:bidi="ar"/>
              </w:rPr>
              <w:t>36</w:t>
            </w:r>
            <w:r>
              <w:rPr>
                <w:rStyle w:val="22"/>
                <w:lang w:val="en-US" w:eastAsia="zh-CN" w:bidi="ar"/>
              </w:rPr>
              <w:t>号，</w:t>
            </w:r>
            <w:r>
              <w:rPr>
                <w:rFonts w:hint="default" w:ascii="Times New Roman" w:hAnsi="Times New Roman" w:eastAsia="宋体" w:cs="Times New Roman"/>
                <w:i w:val="0"/>
                <w:color w:val="000000"/>
                <w:kern w:val="0"/>
                <w:sz w:val="24"/>
                <w:szCs w:val="24"/>
                <w:u w:val="none"/>
                <w:lang w:val="en-US" w:eastAsia="zh-CN" w:bidi="ar"/>
              </w:rPr>
              <w:t>77</w:t>
            </w:r>
            <w:r>
              <w:rPr>
                <w:rStyle w:val="22"/>
                <w:lang w:val="en-US" w:eastAsia="zh-CN" w:bidi="ar"/>
              </w:rPr>
              <w:t>号修订）要求。新、改、扩建工程的安全设施应与建设项目主体工程同时设计、同时施工、同时投入生产和使用。</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金属冶炼企业未进行“三同时”管理的，不得分。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w:t>
            </w:r>
            <w:r>
              <w:rPr>
                <w:rFonts w:hint="default" w:ascii="Times New Roman" w:hAnsi="Times New Roman" w:eastAsia="宋体" w:cs="Times New Roman"/>
                <w:i w:val="0"/>
                <w:color w:val="000000"/>
                <w:kern w:val="0"/>
                <w:sz w:val="24"/>
                <w:szCs w:val="24"/>
                <w:u w:val="none"/>
                <w:lang w:val="en-US" w:eastAsia="zh-CN" w:bidi="ar"/>
              </w:rPr>
              <w:t>“</w:t>
            </w:r>
            <w:r>
              <w:rPr>
                <w:rStyle w:val="22"/>
                <w:lang w:val="en-US" w:eastAsia="zh-CN" w:bidi="ar"/>
              </w:rPr>
              <w:t>三同时</w:t>
            </w:r>
            <w:r>
              <w:rPr>
                <w:rFonts w:hint="default" w:ascii="Times New Roman" w:hAnsi="Times New Roman" w:eastAsia="宋体" w:cs="Times New Roman"/>
                <w:i w:val="0"/>
                <w:color w:val="000000"/>
                <w:kern w:val="0"/>
                <w:sz w:val="24"/>
                <w:szCs w:val="24"/>
                <w:u w:val="none"/>
                <w:lang w:val="en-US" w:eastAsia="zh-CN" w:bidi="ar"/>
              </w:rPr>
              <w:t>”</w:t>
            </w:r>
            <w:r>
              <w:rPr>
                <w:rStyle w:val="22"/>
                <w:lang w:val="en-US" w:eastAsia="zh-CN" w:bidi="ar"/>
              </w:rPr>
              <w:t>管理相关文件和记录。</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查现场：核实企业的新、改、扩建工程。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82" w:type="dxa"/>
            <w:gridSpan w:val="2"/>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总平面布置应符合《工业企业总平面设计规范》（</w:t>
            </w:r>
            <w:r>
              <w:rPr>
                <w:rFonts w:hint="default" w:ascii="Times New Roman" w:hAnsi="Times New Roman" w:eastAsia="宋体" w:cs="Times New Roman"/>
                <w:i w:val="0"/>
                <w:color w:val="000000"/>
                <w:kern w:val="0"/>
                <w:sz w:val="24"/>
                <w:szCs w:val="24"/>
                <w:u w:val="none"/>
                <w:lang w:val="en-US" w:eastAsia="zh-CN" w:bidi="ar"/>
              </w:rPr>
              <w:t>GB 50187</w:t>
            </w:r>
            <w:r>
              <w:rPr>
                <w:rStyle w:val="22"/>
                <w:lang w:val="en-US" w:eastAsia="zh-CN" w:bidi="ar"/>
              </w:rPr>
              <w:t>）规定。</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总平面布置不符合GB 50187规定的，每处扣1分。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82" w:type="dxa"/>
            <w:gridSpan w:val="2"/>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建筑设计防火应分别符合《建筑防火通用规范》（</w:t>
            </w:r>
            <w:r>
              <w:rPr>
                <w:rFonts w:hint="default" w:ascii="Times New Roman" w:hAnsi="Times New Roman" w:eastAsia="宋体" w:cs="Times New Roman"/>
                <w:i w:val="0"/>
                <w:color w:val="000000"/>
                <w:kern w:val="0"/>
                <w:sz w:val="24"/>
                <w:szCs w:val="24"/>
                <w:u w:val="none"/>
                <w:lang w:val="en-US" w:eastAsia="zh-CN" w:bidi="ar"/>
              </w:rPr>
              <w:t>GB 55037</w:t>
            </w:r>
            <w:r>
              <w:rPr>
                <w:rStyle w:val="22"/>
                <w:lang w:val="en-US" w:eastAsia="zh-CN" w:bidi="ar"/>
              </w:rPr>
              <w:t>）、《建筑设计防火规范》（</w:t>
            </w:r>
            <w:r>
              <w:rPr>
                <w:rFonts w:hint="default" w:ascii="Times New Roman" w:hAnsi="Times New Roman" w:eastAsia="宋体" w:cs="Times New Roman"/>
                <w:i w:val="0"/>
                <w:color w:val="000000"/>
                <w:kern w:val="0"/>
                <w:sz w:val="24"/>
                <w:szCs w:val="24"/>
                <w:u w:val="none"/>
                <w:lang w:val="en-US" w:eastAsia="zh-CN" w:bidi="ar"/>
              </w:rPr>
              <w:t>GB 50016</w:t>
            </w:r>
            <w:r>
              <w:rPr>
                <w:rStyle w:val="22"/>
                <w:lang w:val="en-US" w:eastAsia="zh-CN" w:bidi="ar"/>
              </w:rPr>
              <w:t>）等规定。</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不符合规定的，每处扣2分。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82" w:type="dxa"/>
            <w:gridSpan w:val="2"/>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厂区内的建构筑物，应按《建筑物防雷设计规范》（</w:t>
            </w:r>
            <w:r>
              <w:rPr>
                <w:rFonts w:hint="default" w:ascii="Times New Roman" w:hAnsi="Times New Roman" w:eastAsia="宋体" w:cs="Times New Roman"/>
                <w:i w:val="0"/>
                <w:color w:val="000000"/>
                <w:kern w:val="0"/>
                <w:sz w:val="24"/>
                <w:szCs w:val="24"/>
                <w:u w:val="none"/>
                <w:lang w:val="en-US" w:eastAsia="zh-CN" w:bidi="ar"/>
              </w:rPr>
              <w:t>GB 50057</w:t>
            </w:r>
            <w:r>
              <w:rPr>
                <w:rStyle w:val="22"/>
                <w:lang w:val="en-US" w:eastAsia="zh-CN" w:bidi="ar"/>
              </w:rPr>
              <w:t>）、《建筑设计防火规范》（</w:t>
            </w:r>
            <w:r>
              <w:rPr>
                <w:rFonts w:hint="default" w:ascii="Times New Roman" w:hAnsi="Times New Roman" w:eastAsia="宋体" w:cs="Times New Roman"/>
                <w:i w:val="0"/>
                <w:color w:val="000000"/>
                <w:kern w:val="0"/>
                <w:sz w:val="24"/>
                <w:szCs w:val="24"/>
                <w:u w:val="none"/>
                <w:lang w:val="en-US" w:eastAsia="zh-CN" w:bidi="ar"/>
              </w:rPr>
              <w:t>GB 50016</w:t>
            </w:r>
            <w:r>
              <w:rPr>
                <w:rStyle w:val="22"/>
                <w:lang w:val="en-US" w:eastAsia="zh-CN" w:bidi="ar"/>
              </w:rPr>
              <w:t>）的规定设置防雷设施，并定期检查，确保防雷设施完好。</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未按《建筑物防雷设计规范》（GB50057）的规定设置防雷设施的，不得分；未定期检查的，不得分；防雷设施不完好的，每处扣2分。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查资料：防雷检测证明文件。</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4" w:type="dxa"/>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997" w:type="dxa"/>
            <w:gridSpan w:val="3"/>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小计</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3870" w:type="dxa"/>
            <w:shd w:val="clear" w:color="auto" w:fill="auto"/>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c>
          <w:tcPr>
            <w:tcW w:w="3045" w:type="dxa"/>
            <w:shd w:val="clear" w:color="auto" w:fill="auto"/>
            <w:tcMar>
              <w:top w:w="8" w:type="dxa"/>
              <w:left w:w="8" w:type="dxa"/>
              <w:right w:w="8" w:type="dxa"/>
            </w:tcMar>
            <w:vAlign w:val="center"/>
          </w:tcPr>
          <w:p>
            <w:pPr>
              <w:spacing w:before="0" w:beforeAutospacing="0" w:after="0" w:afterAutospacing="0"/>
              <w:ind w:left="0" w:right="0"/>
              <w:jc w:val="left"/>
              <w:rPr>
                <w:rFonts w:hint="default" w:ascii="Times New Roman" w:hAnsi="Times New Roman" w:eastAsia="宋体"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04"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现场管理</w:t>
            </w:r>
          </w:p>
        </w:tc>
        <w:tc>
          <w:tcPr>
            <w:tcW w:w="645"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w:t>
            </w:r>
            <w:r>
              <w:rPr>
                <w:rStyle w:val="22"/>
                <w:lang w:val="en-US" w:eastAsia="zh-CN" w:bidi="ar"/>
              </w:rPr>
              <w:t>设备设施管理</w:t>
            </w:r>
          </w:p>
        </w:tc>
        <w:tc>
          <w:tcPr>
            <w:tcW w:w="637"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4.2.1</w:t>
            </w:r>
            <w:r>
              <w:rPr>
                <w:rStyle w:val="22"/>
                <w:lang w:val="en-US" w:eastAsia="zh-CN" w:bidi="ar"/>
              </w:rPr>
              <w:t>设备设施运行</w:t>
            </w: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建立设备设施全寿命周期管理制度，建立设备设施管理台账。</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缺少管理规范的，不得分；台账内容不全的，每处扣1分。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查资料：相关管理制度、台账。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、建立安全设施台账。</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、按照职责分工，指定专人负责管理各种安全设施以及检测与监测设备。</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、定期检查维护并做好记录。</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无安全设施台账的，不得分；安全设施台账不全的，每处扣1分；未指定专人负责管理的，每处扣1分；未定期检查维护的，每处扣1分；未做记录的，每处扣1分。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查资料：安全设施台账；维保记录。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不应使用国家命令禁止的设备设施。</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使用国家命令禁止的设备设施，不得分。</w:t>
            </w:r>
          </w:p>
        </w:tc>
        <w:tc>
          <w:tcPr>
            <w:tcW w:w="3045" w:type="dxa"/>
            <w:shd w:val="clear" w:color="auto" w:fill="auto"/>
            <w:tcMar>
              <w:top w:w="8" w:type="dxa"/>
              <w:left w:w="8" w:type="dxa"/>
              <w:right w:w="8" w:type="dxa"/>
            </w:tcMar>
            <w:vAlign w:val="center"/>
          </w:tcPr>
          <w:p>
            <w:pPr>
              <w:spacing w:before="0" w:beforeAutospacing="0" w:after="0" w:afterAutospacing="0"/>
              <w:ind w:left="0" w:right="0"/>
              <w:jc w:val="left"/>
              <w:rPr>
                <w:rFonts w:hint="default" w:ascii="Times New Roman" w:hAnsi="Times New Roman" w:eastAsia="宋体"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建立高风险设备、特种设备安全管理制度，明确设备运行、巡检、保养的要求。</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无该项制度或未正式发布生效的，不得分；制度缺少内容或操作性差的，每处扣1分。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查资料：相关管理制度；制度执行记录。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特种设备应按照有关规定，委托具有专业资质的检测、检验机构进行定期检测、检验，应取得相关安全检验合格标志和特种设备使用登记证。</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未定期进行检测、检验的，每处扣1分；未委托具有专业资质的机构进行检测检验的，不得分；未取得相关安全检验合格标志或特种设备使用登记证的，每处扣1分。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查资料：检测、检验证明文件；安全检验合格标志和特种设备使用登记证。</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查现场：特种设备的有效性。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2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4.2.2</w:t>
            </w:r>
            <w:r>
              <w:rPr>
                <w:rStyle w:val="22"/>
                <w:lang w:val="en-US" w:eastAsia="zh-CN" w:bidi="ar"/>
              </w:rPr>
              <w:t>通用设备设施</w:t>
            </w: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一、锅炉：</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使用标志：设备办理使用登记并将使用标志置于设备的显著位置；</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水（介）质处理：有水（介）质化验记录和定期水（介）质化验报告；</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安全附件及仪表：液位（面）计有最高、最低安全液位标记，水位清晰可见；排放水管应排至安全的地方，玻璃管式水位表应设置防护罩；水位表的照明灯应采用安全电压，布线应设有隔热措施；</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安全阀：额定供热量大于</w:t>
            </w:r>
            <w:r>
              <w:rPr>
                <w:rFonts w:hint="default" w:ascii="Times New Roman" w:hAnsi="Times New Roman" w:eastAsia="宋体" w:cs="Times New Roman"/>
                <w:i w:val="0"/>
                <w:color w:val="000000"/>
                <w:kern w:val="0"/>
                <w:sz w:val="24"/>
                <w:szCs w:val="24"/>
                <w:u w:val="none"/>
                <w:lang w:val="en-US" w:eastAsia="zh-CN" w:bidi="ar"/>
              </w:rPr>
              <w:t>30×104kcal/h</w:t>
            </w:r>
            <w:r>
              <w:rPr>
                <w:rStyle w:val="22"/>
                <w:lang w:val="en-US" w:eastAsia="zh-CN" w:bidi="ar"/>
              </w:rPr>
              <w:t>的热水锅炉和蒸发量大于</w:t>
            </w:r>
            <w:r>
              <w:rPr>
                <w:rFonts w:hint="default" w:ascii="Times New Roman" w:hAnsi="Times New Roman" w:eastAsia="宋体" w:cs="Times New Roman"/>
                <w:i w:val="0"/>
                <w:color w:val="000000"/>
                <w:kern w:val="0"/>
                <w:sz w:val="24"/>
                <w:szCs w:val="24"/>
                <w:u w:val="none"/>
                <w:lang w:val="en-US" w:eastAsia="zh-CN" w:bidi="ar"/>
              </w:rPr>
              <w:t>0.5t/h</w:t>
            </w:r>
            <w:r>
              <w:rPr>
                <w:rStyle w:val="22"/>
                <w:lang w:val="en-US" w:eastAsia="zh-CN" w:bidi="ar"/>
              </w:rPr>
              <w:t>蒸汽锅炉应至少安装两只安全阀；其余热水锅炉和蒸汽锅炉应至少安装</w:t>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只安全阀。每年检验一次，铅封完好，运行时每周进行一次手动排气试验，每月进行一次自动排气试验，并做好运行记录；</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5.</w:t>
            </w:r>
            <w:r>
              <w:rPr>
                <w:rStyle w:val="22"/>
                <w:lang w:val="en-US" w:eastAsia="zh-CN" w:bidi="ar"/>
              </w:rPr>
              <w:t>压力表：精度不低于</w:t>
            </w:r>
            <w:r>
              <w:rPr>
                <w:rFonts w:hint="default" w:ascii="Times New Roman" w:hAnsi="Times New Roman" w:eastAsia="宋体" w:cs="Times New Roman"/>
                <w:i w:val="0"/>
                <w:color w:val="000000"/>
                <w:kern w:val="0"/>
                <w:sz w:val="24"/>
                <w:szCs w:val="24"/>
                <w:u w:val="none"/>
                <w:lang w:val="en-US" w:eastAsia="zh-CN" w:bidi="ar"/>
              </w:rPr>
              <w:t>2.5</w:t>
            </w:r>
            <w:r>
              <w:rPr>
                <w:rStyle w:val="22"/>
                <w:lang w:val="en-US" w:eastAsia="zh-CN" w:bidi="ar"/>
              </w:rPr>
              <w:t>级，量程宜为工作压力的</w:t>
            </w:r>
            <w:r>
              <w:rPr>
                <w:rFonts w:hint="default" w:ascii="Times New Roman" w:hAnsi="Times New Roman" w:eastAsia="宋体" w:cs="Times New Roman"/>
                <w:i w:val="0"/>
                <w:color w:val="000000"/>
                <w:kern w:val="0"/>
                <w:sz w:val="24"/>
                <w:szCs w:val="24"/>
                <w:u w:val="none"/>
                <w:lang w:val="en-US" w:eastAsia="zh-CN" w:bidi="ar"/>
              </w:rPr>
              <w:t>1.5</w:t>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倍，表盘直径不小于</w:t>
            </w:r>
            <w:r>
              <w:rPr>
                <w:rFonts w:hint="default" w:ascii="Times New Roman" w:hAnsi="Times New Roman" w:eastAsia="宋体" w:cs="Times New Roman"/>
                <w:i w:val="0"/>
                <w:color w:val="000000"/>
                <w:kern w:val="0"/>
                <w:sz w:val="24"/>
                <w:szCs w:val="24"/>
                <w:u w:val="none"/>
                <w:lang w:val="en-US" w:eastAsia="zh-CN" w:bidi="ar"/>
              </w:rPr>
              <w:t>100mm</w:t>
            </w:r>
            <w:r>
              <w:rPr>
                <w:rStyle w:val="22"/>
                <w:lang w:val="en-US" w:eastAsia="zh-CN" w:bidi="ar"/>
              </w:rPr>
              <w:t>，刻度盘上标有最高工作压力红线；</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6.</w:t>
            </w:r>
            <w:r>
              <w:rPr>
                <w:rStyle w:val="22"/>
                <w:lang w:val="en-US" w:eastAsia="zh-CN" w:bidi="ar"/>
              </w:rPr>
              <w:t>运行情况：按要求及时填写运行、检修记录；现场检查时锅炉运行的压力、温度、水位在额定参数范围内；</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7.</w:t>
            </w:r>
            <w:r>
              <w:rPr>
                <w:rStyle w:val="22"/>
                <w:lang w:val="en-US" w:eastAsia="zh-CN" w:bidi="ar"/>
              </w:rPr>
              <w:t>管道漆色及保温应准确、完好可靠，且无泄漏。</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不符合要求的，每处扣1分。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查资料：相关记录。</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6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二、压力容器：</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使用标志：设备按要求办理使用登记并将使用标志置于设备的显著位置；</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定期自行检查情况：按规定进行年度检查；</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压力容器设备应安装压力表、安全阀：安全阀校验报告在有效期内，铅封完好安全阀每年检验一次，记录齐全，且铅封完整，在检验周期内使用；</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爆破片按照铭牌要求的期限定期更换；</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5.</w:t>
            </w:r>
            <w:r>
              <w:rPr>
                <w:rStyle w:val="22"/>
                <w:lang w:val="en-US" w:eastAsia="zh-CN" w:bidi="ar"/>
              </w:rPr>
              <w:t>压力表：量程为容器工作压力的</w:t>
            </w:r>
            <w:r>
              <w:rPr>
                <w:rFonts w:hint="default" w:ascii="Times New Roman" w:hAnsi="Times New Roman" w:eastAsia="宋体" w:cs="Times New Roman"/>
                <w:i w:val="0"/>
                <w:color w:val="000000"/>
                <w:kern w:val="0"/>
                <w:sz w:val="24"/>
                <w:szCs w:val="24"/>
                <w:u w:val="none"/>
                <w:lang w:val="en-US" w:eastAsia="zh-CN" w:bidi="ar"/>
              </w:rPr>
              <w:t>1.5</w:t>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倍，其精度不低于</w:t>
            </w:r>
            <w:r>
              <w:rPr>
                <w:rFonts w:hint="default" w:ascii="Times New Roman" w:hAnsi="Times New Roman" w:eastAsia="宋体" w:cs="Times New Roman"/>
                <w:i w:val="0"/>
                <w:color w:val="000000"/>
                <w:kern w:val="0"/>
                <w:sz w:val="24"/>
                <w:szCs w:val="24"/>
                <w:u w:val="none"/>
                <w:lang w:val="en-US" w:eastAsia="zh-CN" w:bidi="ar"/>
              </w:rPr>
              <w:t>2.5</w:t>
            </w:r>
            <w:r>
              <w:rPr>
                <w:rStyle w:val="22"/>
                <w:lang w:val="en-US" w:eastAsia="zh-CN" w:bidi="ar"/>
              </w:rPr>
              <w:t>级，表盘直径不应小于</w:t>
            </w:r>
            <w:r>
              <w:rPr>
                <w:rFonts w:hint="default" w:ascii="Times New Roman" w:hAnsi="Times New Roman" w:eastAsia="宋体" w:cs="Times New Roman"/>
                <w:i w:val="0"/>
                <w:color w:val="000000"/>
                <w:kern w:val="0"/>
                <w:sz w:val="24"/>
                <w:szCs w:val="24"/>
                <w:u w:val="none"/>
                <w:lang w:val="en-US" w:eastAsia="zh-CN" w:bidi="ar"/>
              </w:rPr>
              <w:t>100mm</w:t>
            </w:r>
            <w:r>
              <w:rPr>
                <w:rStyle w:val="22"/>
                <w:lang w:val="en-US" w:eastAsia="zh-CN" w:bidi="ar"/>
              </w:rPr>
              <w:t>，表盘上应标示出最高工作压力红线，指示灵敏，刻度清晰，定期检定，压力表检定证书在有效期内，封签完好；</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6.</w:t>
            </w:r>
            <w:r>
              <w:rPr>
                <w:rStyle w:val="22"/>
                <w:lang w:val="en-US" w:eastAsia="zh-CN" w:bidi="ar"/>
              </w:rPr>
              <w:t>快开门联锁保护装置完整；</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7.</w:t>
            </w:r>
            <w:r>
              <w:rPr>
                <w:rStyle w:val="22"/>
                <w:lang w:val="en-US" w:eastAsia="zh-CN" w:bidi="ar"/>
              </w:rPr>
              <w:t>运行情况：现场检查时压力容器运行的压力、温度在额定参数范围内。</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不符合要求的，每处扣1分。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查资料：相关记录。</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3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三、起重机械：</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、额定起重量（额定起重力矩）标识应设置在显著位置；</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、制动器、各类行程限位、重量限制器开关、联锁保护装置、急停装置、缓冲器、终端止挡器等安全保护装置，各类防护罩（盖）应完好可靠；</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、金属结构件、轨道、钢丝绳、吊钩、吊索具、滑轮应完好可靠，并符合相关规定要求；</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、各种信号装置、照明设施应完好有效，</w:t>
            </w:r>
            <w:r>
              <w:rPr>
                <w:rFonts w:hint="default" w:ascii="Times New Roman" w:hAnsi="Times New Roman" w:eastAsia="宋体" w:cs="Times New Roman"/>
                <w:i w:val="0"/>
                <w:color w:val="000000"/>
                <w:kern w:val="0"/>
                <w:sz w:val="24"/>
                <w:szCs w:val="24"/>
                <w:u w:val="none"/>
                <w:lang w:val="en-US" w:eastAsia="zh-CN" w:bidi="ar"/>
              </w:rPr>
              <w:t>PE</w:t>
            </w:r>
            <w:r>
              <w:rPr>
                <w:rStyle w:val="22"/>
                <w:lang w:val="en-US" w:eastAsia="zh-CN" w:bidi="ar"/>
              </w:rPr>
              <w:t>线应连接可靠，电气装置应配备完好；</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5</w:t>
            </w:r>
            <w:r>
              <w:rPr>
                <w:rStyle w:val="22"/>
                <w:lang w:val="en-US" w:eastAsia="zh-CN" w:bidi="ar"/>
              </w:rPr>
              <w:t>、司机室设置应符合相关行业规定。</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不符合要求的，每处扣1分。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788"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宋体" w:cs="Times New Roman"/>
                <w:i w:val="0"/>
                <w:color w:val="000000"/>
                <w:sz w:val="24"/>
                <w:szCs w:val="24"/>
                <w:u w:val="none"/>
              </w:rPr>
            </w:pPr>
            <w:r>
              <w:rPr>
                <w:rStyle w:val="22"/>
                <w:lang w:val="en-US" w:eastAsia="zh-CN" w:bidi="ar"/>
              </w:rPr>
              <w:t>四、工业管道（含压力管道）：</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、技术资料应有管道总平面布置图及长度尺寸、导除静电平面布置图、导除静电和防雷接地电阻测试记录、安装和验收资料，并定期检验；</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、架空管道应有与输送介质相一致的识别色，其基本识别色、识别符号、介质流向和安全标识应符合</w:t>
            </w:r>
            <w:r>
              <w:rPr>
                <w:rFonts w:hint="default" w:ascii="Times New Roman" w:hAnsi="Times New Roman" w:eastAsia="宋体" w:cs="Times New Roman"/>
                <w:i w:val="0"/>
                <w:color w:val="000000"/>
                <w:kern w:val="0"/>
                <w:sz w:val="24"/>
                <w:szCs w:val="24"/>
                <w:u w:val="none"/>
                <w:lang w:val="en-US" w:eastAsia="zh-CN" w:bidi="ar"/>
              </w:rPr>
              <w:t>GB7231</w:t>
            </w:r>
            <w:r>
              <w:rPr>
                <w:rStyle w:val="22"/>
                <w:lang w:val="en-US" w:eastAsia="zh-CN" w:bidi="ar"/>
              </w:rPr>
              <w:t>的相关规定；架空管道穿过道路、铁路及人行道时，应留有净空高度；</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B</w:t>
            </w:r>
            <w:r>
              <w:rPr>
                <w:rStyle w:val="22"/>
                <w:lang w:val="en-US" w:eastAsia="zh-CN" w:bidi="ar"/>
              </w:rPr>
              <w:t>类流体管道不得安装在通风不良的厂房内、室内吊顶内及建（构）筑物封闭的夹层内，不得穿过与其无关的建（构）筑物、生产装置、辅助生产及仓储区等地方；在明沟中不宜敷设密度比环境空气大的</w:t>
            </w:r>
            <w:r>
              <w:rPr>
                <w:rFonts w:hint="default" w:ascii="Times New Roman" w:hAnsi="Times New Roman" w:eastAsia="宋体" w:cs="Times New Roman"/>
                <w:i w:val="0"/>
                <w:color w:val="000000"/>
                <w:kern w:val="0"/>
                <w:sz w:val="24"/>
                <w:szCs w:val="24"/>
                <w:u w:val="none"/>
                <w:lang w:val="en-US" w:eastAsia="zh-CN" w:bidi="ar"/>
              </w:rPr>
              <w:t>B</w:t>
            </w:r>
            <w:r>
              <w:rPr>
                <w:rStyle w:val="22"/>
                <w:lang w:val="en-US" w:eastAsia="zh-CN" w:bidi="ar"/>
              </w:rPr>
              <w:t>类气体管道；</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、管道本体应符合下列要求：</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）输送易燃、易爆、有毒介质的管道无泄漏；一般管道的泄漏点每</w:t>
            </w:r>
            <w:r>
              <w:rPr>
                <w:rFonts w:hint="default" w:ascii="Times New Roman" w:hAnsi="Times New Roman" w:eastAsia="宋体" w:cs="Times New Roman"/>
                <w:i w:val="0"/>
                <w:color w:val="000000"/>
                <w:kern w:val="0"/>
                <w:sz w:val="24"/>
                <w:szCs w:val="24"/>
                <w:u w:val="none"/>
                <w:lang w:val="en-US" w:eastAsia="zh-CN" w:bidi="ar"/>
              </w:rPr>
              <w:t>1000m</w:t>
            </w:r>
            <w:r>
              <w:rPr>
                <w:rStyle w:val="22"/>
                <w:lang w:val="en-US" w:eastAsia="zh-CN" w:bidi="ar"/>
              </w:rPr>
              <w:t>不应超过三个点；</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）地下半地下敷设的管道应采取防腐蚀措施；地下敷设的管道应在地面设置走向标识；</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）输送助燃、易燃、易爆介质的管道，凡少于</w:t>
            </w:r>
            <w:r>
              <w:rPr>
                <w:rFonts w:hint="default" w:ascii="Times New Roman" w:hAnsi="Times New Roman" w:eastAsia="宋体" w:cs="Times New Roman"/>
                <w:i w:val="0"/>
                <w:color w:val="000000"/>
                <w:kern w:val="0"/>
                <w:sz w:val="24"/>
                <w:szCs w:val="24"/>
                <w:u w:val="none"/>
                <w:lang w:val="en-US" w:eastAsia="zh-CN" w:bidi="ar"/>
              </w:rPr>
              <w:t>5</w:t>
            </w:r>
            <w:r>
              <w:rPr>
                <w:rStyle w:val="22"/>
                <w:lang w:val="en-US" w:eastAsia="zh-CN" w:bidi="ar"/>
              </w:rPr>
              <w:t>枚螺钉连接的法兰应接跨接线，每</w:t>
            </w:r>
            <w:r>
              <w:rPr>
                <w:rFonts w:hint="default" w:ascii="Times New Roman" w:hAnsi="Times New Roman" w:eastAsia="宋体" w:cs="Times New Roman"/>
                <w:i w:val="0"/>
                <w:color w:val="000000"/>
                <w:kern w:val="0"/>
                <w:sz w:val="24"/>
                <w:szCs w:val="24"/>
                <w:u w:val="none"/>
                <w:lang w:val="en-US" w:eastAsia="zh-CN" w:bidi="ar"/>
              </w:rPr>
              <w:t>20000mm</w:t>
            </w:r>
            <w:r>
              <w:rPr>
                <w:rStyle w:val="22"/>
                <w:lang w:val="en-US" w:eastAsia="zh-CN" w:bidi="ar"/>
              </w:rPr>
              <w:t>长度应安装导除静电接地装置，接地电阻应小于</w:t>
            </w:r>
            <w:r>
              <w:rPr>
                <w:rFonts w:hint="default" w:ascii="Times New Roman" w:hAnsi="Times New Roman" w:eastAsia="宋体" w:cs="Times New Roman"/>
                <w:i w:val="0"/>
                <w:color w:val="000000"/>
                <w:kern w:val="0"/>
                <w:sz w:val="24"/>
                <w:szCs w:val="24"/>
                <w:u w:val="none"/>
                <w:lang w:val="en-US" w:eastAsia="zh-CN" w:bidi="ar"/>
              </w:rPr>
              <w:t>100Ω</w:t>
            </w:r>
            <w:r>
              <w:rPr>
                <w:rStyle w:val="22"/>
                <w:lang w:val="en-US" w:eastAsia="zh-CN" w:bidi="ar"/>
              </w:rPr>
              <w:t>，定期检测，并保持记录；</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）对于</w:t>
            </w:r>
            <w:r>
              <w:rPr>
                <w:rFonts w:hint="default" w:ascii="Times New Roman" w:hAnsi="Times New Roman" w:eastAsia="宋体" w:cs="Times New Roman"/>
                <w:i w:val="0"/>
                <w:color w:val="000000"/>
                <w:kern w:val="0"/>
                <w:sz w:val="24"/>
                <w:szCs w:val="24"/>
                <w:u w:val="none"/>
                <w:lang w:val="en-US" w:eastAsia="zh-CN" w:bidi="ar"/>
              </w:rPr>
              <w:t>TSG D0001-2019</w:t>
            </w:r>
            <w:r>
              <w:rPr>
                <w:rStyle w:val="22"/>
                <w:lang w:val="en-US" w:eastAsia="zh-CN" w:bidi="ar"/>
              </w:rPr>
              <w:t>第</w:t>
            </w:r>
            <w:r>
              <w:rPr>
                <w:rFonts w:hint="default" w:ascii="Times New Roman" w:hAnsi="Times New Roman" w:eastAsia="宋体" w:cs="Times New Roman"/>
                <w:i w:val="0"/>
                <w:color w:val="000000"/>
                <w:kern w:val="0"/>
                <w:sz w:val="24"/>
                <w:szCs w:val="24"/>
                <w:u w:val="none"/>
                <w:lang w:val="en-US" w:eastAsia="zh-CN" w:bidi="ar"/>
              </w:rPr>
              <w:t>130</w:t>
            </w:r>
            <w:r>
              <w:rPr>
                <w:rStyle w:val="22"/>
                <w:lang w:val="en-US" w:eastAsia="zh-CN" w:bidi="ar"/>
              </w:rPr>
              <w:t>条和第</w:t>
            </w:r>
            <w:r>
              <w:rPr>
                <w:rFonts w:hint="default" w:ascii="Times New Roman" w:hAnsi="Times New Roman" w:eastAsia="宋体" w:cs="Times New Roman"/>
                <w:i w:val="0"/>
                <w:color w:val="000000"/>
                <w:kern w:val="0"/>
                <w:sz w:val="24"/>
                <w:szCs w:val="24"/>
                <w:u w:val="none"/>
                <w:lang w:val="en-US" w:eastAsia="zh-CN" w:bidi="ar"/>
              </w:rPr>
              <w:t>131</w:t>
            </w:r>
            <w:r>
              <w:rPr>
                <w:rStyle w:val="22"/>
                <w:lang w:val="en-US" w:eastAsia="zh-CN" w:bidi="ar"/>
              </w:rPr>
              <w:t>条规定的管道应分别设置放空阻火器和管道阻火器；</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5</w:t>
            </w:r>
            <w:r>
              <w:rPr>
                <w:rStyle w:val="22"/>
                <w:lang w:val="en-US" w:eastAsia="zh-CN" w:bidi="ar"/>
              </w:rPr>
              <w:t>）热力管道保温层应完好、无破损。</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5</w:t>
            </w:r>
            <w:r>
              <w:rPr>
                <w:rStyle w:val="22"/>
                <w:lang w:val="en-US" w:eastAsia="zh-CN" w:bidi="ar"/>
              </w:rPr>
              <w:t>、管道支撑和吊架应符合下列要求：</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）架空管道支撑、吊架应牢固、齐全；</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）架空管道下方如有车辆通行时，应悬挂限高标志。</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不符合要求的，每处扣1分。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查资料：相关文件、记录。</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51"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五、工业气瓶：</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、对气瓶入库和发放实行登记制度，登记内容包括气瓶类型、编号、检验周期、外观检查、入出库日期、领用单位、管理责任人；</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、气瓶本体应符合下列要求：</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）瓶体漆色、字样应清晰，且符合</w:t>
            </w:r>
            <w:r>
              <w:rPr>
                <w:rFonts w:hint="default" w:ascii="Times New Roman" w:hAnsi="Times New Roman" w:eastAsia="宋体" w:cs="Times New Roman"/>
                <w:i w:val="0"/>
                <w:color w:val="000000"/>
                <w:kern w:val="0"/>
                <w:sz w:val="24"/>
                <w:szCs w:val="24"/>
                <w:u w:val="none"/>
                <w:lang w:val="en-US" w:eastAsia="zh-CN" w:bidi="ar"/>
              </w:rPr>
              <w:t>GB/T 7144</w:t>
            </w:r>
            <w:r>
              <w:rPr>
                <w:rStyle w:val="22"/>
                <w:lang w:val="en-US" w:eastAsia="zh-CN" w:bidi="ar"/>
              </w:rPr>
              <w:t>的规定；</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）瓶体外观应无缺陷，无机械性损伤，无严重腐蚀、灼痕；</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）瓶帽、瓶阀、防震圈、爆破片、易熔合金塞等安全附件应齐全、完好。</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、气瓶储存应符合下列要求：</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）气瓶应储存于专用库房内，并由足够的自然通风或机械通风；</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存放可燃气体气瓶和助燃气体气瓶的库房耐火等级应不低于二级，库房内应规范设置可燃气体报警装置，门窗的开向以及电气线路应符合防爆要求；库房外应设置禁火标志；消防器材的配备应符合消防相关规定；</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）可燃气体气瓶和助燃气体气瓶不允许同库存放，其储存间距不应小于</w:t>
            </w:r>
            <w:r>
              <w:rPr>
                <w:rFonts w:hint="default" w:ascii="Times New Roman" w:hAnsi="Times New Roman" w:eastAsia="宋体" w:cs="Times New Roman"/>
                <w:i w:val="0"/>
                <w:color w:val="000000"/>
                <w:kern w:val="0"/>
                <w:sz w:val="24"/>
                <w:szCs w:val="24"/>
                <w:u w:val="none"/>
                <w:lang w:val="en-US" w:eastAsia="zh-CN" w:bidi="ar"/>
              </w:rPr>
              <w:t>10000mm</w:t>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）空、实瓶应分开存放，在用气瓶和备用气瓶应分开存放，并设置防倾倒措施；</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5</w:t>
            </w:r>
            <w:r>
              <w:rPr>
                <w:rStyle w:val="22"/>
                <w:lang w:val="en-US" w:eastAsia="zh-CN" w:bidi="ar"/>
              </w:rPr>
              <w:t>）应采取隔热、防晒、防火等措施；</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、气瓶使用应符合下列要求；</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）溶解气体气瓶不允许卧放使用；</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）气瓶内气体不得耗尽，应留有不小于</w:t>
            </w:r>
            <w:r>
              <w:rPr>
                <w:rFonts w:hint="default" w:ascii="Times New Roman" w:hAnsi="Times New Roman" w:eastAsia="宋体" w:cs="Times New Roman"/>
                <w:i w:val="0"/>
                <w:color w:val="000000"/>
                <w:kern w:val="0"/>
                <w:sz w:val="24"/>
                <w:szCs w:val="24"/>
                <w:u w:val="none"/>
                <w:lang w:val="en-US" w:eastAsia="zh-CN" w:bidi="ar"/>
              </w:rPr>
              <w:t>0.05MPa</w:t>
            </w:r>
            <w:r>
              <w:rPr>
                <w:rStyle w:val="22"/>
                <w:lang w:val="en-US" w:eastAsia="zh-CN" w:bidi="ar"/>
              </w:rPr>
              <w:t>的余压；</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）工作现场的气瓶，同一地点存放量不得超过</w:t>
            </w:r>
            <w:r>
              <w:rPr>
                <w:rFonts w:hint="default" w:ascii="Times New Roman" w:hAnsi="Times New Roman" w:eastAsia="宋体" w:cs="Times New Roman"/>
                <w:i w:val="0"/>
                <w:color w:val="000000"/>
                <w:kern w:val="0"/>
                <w:sz w:val="24"/>
                <w:szCs w:val="24"/>
                <w:u w:val="none"/>
                <w:lang w:val="en-US" w:eastAsia="zh-CN" w:bidi="ar"/>
              </w:rPr>
              <w:t>20</w:t>
            </w:r>
            <w:r>
              <w:rPr>
                <w:rStyle w:val="22"/>
                <w:lang w:val="en-US" w:eastAsia="zh-CN" w:bidi="ar"/>
              </w:rPr>
              <w:t>瓶；超过</w:t>
            </w:r>
            <w:r>
              <w:rPr>
                <w:rFonts w:hint="default" w:ascii="Times New Roman" w:hAnsi="Times New Roman" w:eastAsia="宋体" w:cs="Times New Roman"/>
                <w:i w:val="0"/>
                <w:color w:val="000000"/>
                <w:kern w:val="0"/>
                <w:sz w:val="24"/>
                <w:szCs w:val="24"/>
                <w:u w:val="none"/>
                <w:lang w:val="en-US" w:eastAsia="zh-CN" w:bidi="ar"/>
              </w:rPr>
              <w:t>20</w:t>
            </w:r>
            <w:r>
              <w:rPr>
                <w:rStyle w:val="22"/>
                <w:lang w:val="en-US" w:eastAsia="zh-CN" w:bidi="ar"/>
              </w:rPr>
              <w:t>瓶则应建二级气瓶库；</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）气瓶不得靠近热源和明火，应保证气瓶瓶体干燥。盛装易起聚合反应或分解反应气体的气瓶应避开放射性源；</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5</w:t>
            </w:r>
            <w:r>
              <w:rPr>
                <w:rStyle w:val="22"/>
                <w:lang w:val="en-US" w:eastAsia="zh-CN" w:bidi="ar"/>
              </w:rPr>
              <w:t>）不得采用超过</w:t>
            </w:r>
            <w:r>
              <w:rPr>
                <w:rFonts w:hint="default" w:ascii="Times New Roman" w:hAnsi="Times New Roman" w:eastAsia="宋体" w:cs="Times New Roman"/>
                <w:i w:val="0"/>
                <w:color w:val="000000"/>
                <w:kern w:val="0"/>
                <w:sz w:val="24"/>
                <w:szCs w:val="24"/>
                <w:u w:val="none"/>
                <w:lang w:val="en-US" w:eastAsia="zh-CN" w:bidi="ar"/>
              </w:rPr>
              <w:t>40℃</w:t>
            </w:r>
            <w:r>
              <w:rPr>
                <w:rStyle w:val="22"/>
                <w:lang w:val="en-US" w:eastAsia="zh-CN" w:bidi="ar"/>
              </w:rPr>
              <w:t>的热源对气瓶加热；</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6</w:t>
            </w:r>
            <w:r>
              <w:rPr>
                <w:rStyle w:val="22"/>
                <w:lang w:val="en-US" w:eastAsia="zh-CN" w:bidi="ar"/>
              </w:rPr>
              <w:t>）气瓶减压器的压力表应定期校验，乙炔瓶工作时应安装回火防止器；</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7</w:t>
            </w:r>
            <w:r>
              <w:rPr>
                <w:rStyle w:val="22"/>
                <w:lang w:val="en-US" w:eastAsia="zh-CN" w:bidi="ar"/>
              </w:rPr>
              <w:t>）气瓶在使用现场需设置防倾倒装置；</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8</w:t>
            </w:r>
            <w:r>
              <w:rPr>
                <w:rStyle w:val="22"/>
                <w:lang w:val="en-US" w:eastAsia="zh-CN" w:bidi="ar"/>
              </w:rPr>
              <w:t>）气瓶批量周转需使用专用工位器具转运；</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9</w:t>
            </w:r>
            <w:r>
              <w:rPr>
                <w:rStyle w:val="22"/>
                <w:lang w:val="en-US" w:eastAsia="zh-CN" w:bidi="ar"/>
              </w:rPr>
              <w:t>）气瓶软管颜色应符合</w:t>
            </w:r>
            <w:r>
              <w:rPr>
                <w:rFonts w:hint="default" w:ascii="Times New Roman" w:hAnsi="Times New Roman" w:eastAsia="宋体" w:cs="Times New Roman"/>
                <w:i w:val="0"/>
                <w:color w:val="000000"/>
                <w:kern w:val="0"/>
                <w:sz w:val="24"/>
                <w:szCs w:val="24"/>
                <w:u w:val="none"/>
                <w:lang w:val="en-US" w:eastAsia="zh-CN" w:bidi="ar"/>
              </w:rPr>
              <w:t>GB/T 2550</w:t>
            </w:r>
            <w:r>
              <w:rPr>
                <w:rStyle w:val="22"/>
                <w:lang w:val="en-US" w:eastAsia="zh-CN" w:bidi="ar"/>
              </w:rPr>
              <w:t>的规定。</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不符合要求的，每处扣1分。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查资料：相关记录。</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六、电梯、货梯：</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、安全保护装置：限速器、安全钳、缓冲器、限位器、梳齿板、急停开关、报警装置以及防夹装置等应完整，且灵敏可靠；</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、曳引绳与补偿绳断丝数、腐蚀磨损量、变形量、使用长度和固定状态符合国家标准规定；</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、轿厢结构牢固可靠，轿厢门开启灵敏；</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、升降机出入门的防护栏应与动力回路联锁，且完好、可靠；</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5</w:t>
            </w:r>
            <w:r>
              <w:rPr>
                <w:rStyle w:val="22"/>
                <w:lang w:val="en-US" w:eastAsia="zh-CN" w:bidi="ar"/>
              </w:rPr>
              <w:t>、电梯机房：</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）机房内应通风、屏护良好，且清洁、无杂物；并应配置合适的消防设施、固定照明和电源插座；</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）控制柜</w:t>
            </w:r>
            <w:r>
              <w:rPr>
                <w:rFonts w:hint="default" w:ascii="Times New Roman" w:hAnsi="Times New Roman" w:eastAsia="宋体" w:cs="Times New Roman"/>
                <w:i w:val="0"/>
                <w:color w:val="000000"/>
                <w:kern w:val="0"/>
                <w:sz w:val="24"/>
                <w:szCs w:val="24"/>
                <w:u w:val="none"/>
                <w:lang w:val="en-US" w:eastAsia="zh-CN" w:bidi="ar"/>
              </w:rPr>
              <w:t>(</w:t>
            </w:r>
            <w:r>
              <w:rPr>
                <w:rStyle w:val="22"/>
                <w:lang w:val="en-US" w:eastAsia="zh-CN" w:bidi="ar"/>
              </w:rPr>
              <w:t>屏</w:t>
            </w:r>
            <w:r>
              <w:rPr>
                <w:rFonts w:hint="default" w:ascii="Times New Roman" w:hAnsi="Times New Roman" w:eastAsia="宋体" w:cs="Times New Roman"/>
                <w:i w:val="0"/>
                <w:color w:val="000000"/>
                <w:kern w:val="0"/>
                <w:sz w:val="24"/>
                <w:szCs w:val="24"/>
                <w:u w:val="none"/>
                <w:lang w:val="en-US" w:eastAsia="zh-CN" w:bidi="ar"/>
              </w:rPr>
              <w:t>)</w:t>
            </w:r>
            <w:r>
              <w:rPr>
                <w:rStyle w:val="22"/>
                <w:lang w:val="en-US" w:eastAsia="zh-CN" w:bidi="ar"/>
              </w:rPr>
              <w:t>的前面和需要检查、修理等人员操作的部件前面应留有不小于</w:t>
            </w:r>
            <w:r>
              <w:rPr>
                <w:rFonts w:hint="default" w:ascii="Times New Roman" w:hAnsi="Times New Roman" w:eastAsia="宋体" w:cs="Times New Roman"/>
                <w:i w:val="0"/>
                <w:color w:val="000000"/>
                <w:kern w:val="0"/>
                <w:sz w:val="24"/>
                <w:szCs w:val="24"/>
                <w:u w:val="none"/>
                <w:lang w:val="en-US" w:eastAsia="zh-CN" w:bidi="ar"/>
              </w:rPr>
              <w:t>0.6m×0.5m</w:t>
            </w:r>
            <w:r>
              <w:rPr>
                <w:rStyle w:val="22"/>
                <w:lang w:val="en-US" w:eastAsia="zh-CN" w:bidi="ar"/>
              </w:rPr>
              <w:t>的空间；曳引机、限速器等旋转部位应安装防护罩；</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）机房中每台电梯应单独装设主电源开关；</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）设置联络的通讯设施或装置；</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6</w:t>
            </w:r>
            <w:r>
              <w:rPr>
                <w:rStyle w:val="22"/>
                <w:lang w:val="en-US" w:eastAsia="zh-CN" w:bidi="ar"/>
              </w:rPr>
              <w:t>、各类建筑物电梯的负荷分级按照《民用建筑电气设计规范》</w:t>
            </w:r>
            <w:r>
              <w:rPr>
                <w:rFonts w:hint="default" w:ascii="Times New Roman" w:hAnsi="Times New Roman" w:eastAsia="宋体" w:cs="Times New Roman"/>
                <w:i w:val="0"/>
                <w:color w:val="000000"/>
                <w:kern w:val="0"/>
                <w:sz w:val="24"/>
                <w:szCs w:val="24"/>
                <w:u w:val="none"/>
                <w:lang w:val="en-US" w:eastAsia="zh-CN" w:bidi="ar"/>
              </w:rPr>
              <w:t>(JGJ 16—2008)</w:t>
            </w:r>
            <w:r>
              <w:rPr>
                <w:rStyle w:val="22"/>
                <w:lang w:val="en-US" w:eastAsia="zh-CN" w:bidi="ar"/>
              </w:rPr>
              <w:t>原则确定。</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不符合要求的，每处扣1分。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七、场（厂）内专用机动车辆：</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使用标志及安全标志：设备按要求办理使用登记并将使用标志置于设备的显著位置；</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机动车辆牌照清晰；</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动力系统、电气系统、传动系统、行驶系统、转向机构、制动系统运转平稳，完好可靠；</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严禁私自改造；</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5.</w:t>
            </w:r>
            <w:r>
              <w:rPr>
                <w:rStyle w:val="22"/>
                <w:lang w:val="en-US" w:eastAsia="zh-CN" w:bidi="ar"/>
              </w:rPr>
              <w:t>货叉架应设置防脱出的限位装置，货叉不应有裂纹，两叉尖高度差、水平段和垂直段的厚度磨损量、起重链条磨损量不超出相关规定；</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6.</w:t>
            </w:r>
            <w:r>
              <w:rPr>
                <w:rStyle w:val="22"/>
                <w:lang w:val="en-US" w:eastAsia="zh-CN" w:bidi="ar"/>
              </w:rPr>
              <w:t>叉车蓄电池充电或存放地点应保持良好的通风，室内应禁止明火和火花，并配置灭火器材；蓄电池和蓄电池上方应保持清洁、干燥，充电电缆绝缘良好。</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不符合要求的，每处扣1分；私自改造的，不得分。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8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八、金属切削机床：</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、防护罩、盖、栏应完备可靠，其安全距离、刚度、强度及稳定性均应符合相关规定；</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、防止夹具、卡具松动或脱落的装置完好；</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、各类行程限位装置、过载保护装置、电气与机械联锁装置、紧急制动装置、声光报警装置、自动保护装置应完好、可靠；操作手柄、显示屏和指示仪表应灵敏、准确；附属装置应齐全；</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、机床照明符合要求，局部照明或移动照明应采用安全电压，线路无老化，绝缘无破损；</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5</w:t>
            </w:r>
            <w:r>
              <w:rPr>
                <w:rStyle w:val="22"/>
                <w:lang w:val="en-US" w:eastAsia="zh-CN" w:bidi="ar"/>
              </w:rPr>
              <w:t>、机床电器箱，柜与线路符合要求，机床</w:t>
            </w:r>
            <w:r>
              <w:rPr>
                <w:rFonts w:hint="default" w:ascii="Times New Roman" w:hAnsi="Times New Roman" w:eastAsia="宋体" w:cs="Times New Roman"/>
                <w:i w:val="0"/>
                <w:color w:val="000000"/>
                <w:kern w:val="0"/>
                <w:sz w:val="24"/>
                <w:szCs w:val="24"/>
                <w:u w:val="none"/>
                <w:lang w:val="en-US" w:eastAsia="zh-CN" w:bidi="ar"/>
              </w:rPr>
              <w:t>PE</w:t>
            </w:r>
            <w:r>
              <w:rPr>
                <w:rStyle w:val="22"/>
                <w:lang w:val="en-US" w:eastAsia="zh-CN" w:bidi="ar"/>
              </w:rPr>
              <w:t>连接规范可靠；</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6</w:t>
            </w:r>
            <w:r>
              <w:rPr>
                <w:rStyle w:val="22"/>
                <w:lang w:val="en-US" w:eastAsia="zh-CN" w:bidi="ar"/>
              </w:rPr>
              <w:t>、未加罩旋转部位的楔、销、键，原则上不许突出；</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7</w:t>
            </w:r>
            <w:r>
              <w:rPr>
                <w:rStyle w:val="22"/>
                <w:lang w:val="en-US" w:eastAsia="zh-CN" w:bidi="ar"/>
              </w:rPr>
              <w:t>、备有清除切屑的专用工具。</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不符合要求的，每处扣1分。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768"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九、工业机器人（含机械手）：</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、作业区域应设置警示标志和封闭的防护栏；</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、距操作者站立面</w:t>
            </w:r>
            <w:r>
              <w:rPr>
                <w:rFonts w:hint="default" w:ascii="Times New Roman" w:hAnsi="Times New Roman" w:eastAsia="宋体" w:cs="Times New Roman"/>
                <w:i w:val="0"/>
                <w:color w:val="000000"/>
                <w:kern w:val="0"/>
                <w:sz w:val="24"/>
                <w:szCs w:val="24"/>
                <w:u w:val="none"/>
                <w:lang w:val="en-US" w:eastAsia="zh-CN" w:bidi="ar"/>
              </w:rPr>
              <w:t>2000mm</w:t>
            </w:r>
            <w:r>
              <w:rPr>
                <w:rStyle w:val="22"/>
                <w:lang w:val="en-US" w:eastAsia="zh-CN" w:bidi="ar"/>
              </w:rPr>
              <w:t>以下应设置防护栏，其强度应能抵御机器人最大速度、最大负载甩物的冲击，防护屏（网）应安装牢固，必备的检修门和开口部位应设置安全销、安全锁和光电保护装置、安全激光扫描仪等安全防护装置；每台设备应设置两套独立的安全防护装置；</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、检修门和围栏开口部位应设置安全销、安全锁和光电保护装置、安全激光扫描仪等安全防护装置并保持有效运行；</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、外露的旋转部位应设置可靠的防护罩，移动的防护罩与危险运动应互锁；防护罩的安全距离应符合</w:t>
            </w:r>
            <w:r>
              <w:rPr>
                <w:rFonts w:hint="default" w:ascii="Times New Roman" w:hAnsi="Times New Roman" w:eastAsia="宋体" w:cs="Times New Roman"/>
                <w:i w:val="0"/>
                <w:color w:val="000000"/>
                <w:kern w:val="0"/>
                <w:sz w:val="24"/>
                <w:szCs w:val="24"/>
                <w:u w:val="none"/>
                <w:lang w:val="en-US" w:eastAsia="zh-CN" w:bidi="ar"/>
              </w:rPr>
              <w:t>GB 23821</w:t>
            </w:r>
            <w:r>
              <w:rPr>
                <w:rStyle w:val="22"/>
                <w:lang w:val="en-US" w:eastAsia="zh-CN" w:bidi="ar"/>
              </w:rPr>
              <w:t>的相关规定；</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5</w:t>
            </w:r>
            <w:r>
              <w:rPr>
                <w:rStyle w:val="22"/>
                <w:lang w:val="en-US" w:eastAsia="zh-CN" w:bidi="ar"/>
              </w:rPr>
              <w:t>、各种行程限位、抗干扰屏蔽应灵敏、可靠；应设置保护性停止功能和独立的急停功能，急停装置应符合</w:t>
            </w:r>
            <w:r>
              <w:rPr>
                <w:rFonts w:hint="default" w:ascii="Times New Roman" w:hAnsi="Times New Roman" w:eastAsia="宋体" w:cs="Times New Roman"/>
                <w:i w:val="0"/>
                <w:color w:val="000000"/>
                <w:kern w:val="0"/>
                <w:sz w:val="24"/>
                <w:szCs w:val="24"/>
                <w:u w:val="none"/>
                <w:lang w:val="en-US" w:eastAsia="zh-CN" w:bidi="ar"/>
              </w:rPr>
              <w:t>GB 16754</w:t>
            </w:r>
            <w:r>
              <w:rPr>
                <w:rStyle w:val="22"/>
                <w:lang w:val="en-US" w:eastAsia="zh-CN" w:bidi="ar"/>
              </w:rPr>
              <w:t>的相关规定，并不得自动复位；</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6</w:t>
            </w:r>
            <w:r>
              <w:rPr>
                <w:rStyle w:val="22"/>
                <w:lang w:val="en-US" w:eastAsia="zh-CN" w:bidi="ar"/>
              </w:rPr>
              <w:t>、液压管路或气压管路应连接可靠，无老化或泄露；控制按钮配置齐全、动作准确；</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7</w:t>
            </w:r>
            <w:r>
              <w:rPr>
                <w:rStyle w:val="22"/>
                <w:lang w:val="en-US" w:eastAsia="zh-CN" w:bidi="ar"/>
              </w:rPr>
              <w:t>、执行机构应定位准确、抓取牢固；自动锁紧装置应灵敏、可靠；</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8</w:t>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PE</w:t>
            </w:r>
            <w:r>
              <w:rPr>
                <w:rStyle w:val="22"/>
                <w:lang w:val="en-US" w:eastAsia="zh-CN" w:bidi="ar"/>
              </w:rPr>
              <w:t>可靠；电气线路保护回路应齐全、可靠，且能防止意外或偶然的误操作；</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9</w:t>
            </w:r>
            <w:r>
              <w:rPr>
                <w:rStyle w:val="22"/>
                <w:lang w:val="en-US" w:eastAsia="zh-CN" w:bidi="ar"/>
              </w:rPr>
              <w:t>、当调整、检查、维修进入危险区域时，设备或配套的安全装置应具备防止意外启动的功能；</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10</w:t>
            </w:r>
            <w:r>
              <w:rPr>
                <w:rStyle w:val="22"/>
                <w:lang w:val="en-US" w:eastAsia="zh-CN" w:bidi="ar"/>
              </w:rPr>
              <w:t>、机器人运动部件与周边设施安全间距不应小于</w:t>
            </w:r>
            <w:r>
              <w:rPr>
                <w:rFonts w:hint="default" w:ascii="Times New Roman" w:hAnsi="Times New Roman" w:eastAsia="宋体" w:cs="Times New Roman"/>
                <w:i w:val="0"/>
                <w:color w:val="000000"/>
                <w:kern w:val="0"/>
                <w:sz w:val="24"/>
                <w:szCs w:val="24"/>
                <w:u w:val="none"/>
                <w:lang w:val="en-US" w:eastAsia="zh-CN" w:bidi="ar"/>
              </w:rPr>
              <w:t>1000mm</w:t>
            </w:r>
            <w:r>
              <w:rPr>
                <w:rStyle w:val="22"/>
                <w:lang w:val="en-US" w:eastAsia="zh-CN" w:bidi="ar"/>
              </w:rPr>
              <w:t>。</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不符合要求的，每处扣1分。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1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十、装配线（含部件分装线、焊装线）</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、输送机械的防护罩（网）应完好，无变形和破损；人行通道上方应装设护网（板）；</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、大型部件翻转机构的锁紧、限位装置应牢固可靠；回转区域应有醒目的安全标识和报警装置，周围</w:t>
            </w:r>
            <w:r>
              <w:rPr>
                <w:rFonts w:hint="default" w:ascii="Times New Roman" w:hAnsi="Times New Roman" w:eastAsia="宋体" w:cs="Times New Roman"/>
                <w:i w:val="0"/>
                <w:color w:val="000000"/>
                <w:kern w:val="0"/>
                <w:sz w:val="24"/>
                <w:szCs w:val="24"/>
                <w:u w:val="none"/>
                <w:lang w:val="en-US" w:eastAsia="zh-CN" w:bidi="ar"/>
              </w:rPr>
              <w:t>1.5m</w:t>
            </w:r>
            <w:r>
              <w:rPr>
                <w:rStyle w:val="22"/>
                <w:lang w:val="en-US" w:eastAsia="zh-CN" w:bidi="ar"/>
              </w:rPr>
              <w:t>处应设置防护栏；</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、控制台、操作工位以及装配线适当距离（不宜超过</w:t>
            </w:r>
            <w:r>
              <w:rPr>
                <w:rFonts w:hint="default" w:ascii="Times New Roman" w:hAnsi="Times New Roman" w:eastAsia="宋体" w:cs="Times New Roman"/>
                <w:i w:val="0"/>
                <w:color w:val="000000"/>
                <w:kern w:val="0"/>
                <w:sz w:val="24"/>
                <w:szCs w:val="24"/>
                <w:u w:val="none"/>
                <w:lang w:val="en-US" w:eastAsia="zh-CN" w:bidi="ar"/>
              </w:rPr>
              <w:t>20m</w:t>
            </w:r>
            <w:r>
              <w:rPr>
                <w:rStyle w:val="22"/>
                <w:lang w:val="en-US" w:eastAsia="zh-CN" w:bidi="ar"/>
              </w:rPr>
              <w:t>）间应设置急停装置，且不得自动复位；开线、停线或急停时应有明显的声光报警信号；</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、运转小车应定位准确、夹持牢固；料架（箱、斗）应结构合理、牢固，放置应平稳；</w:t>
            </w:r>
            <w:r>
              <w:rPr>
                <w:rFonts w:hint="default" w:ascii="Times New Roman" w:hAnsi="Times New Roman" w:eastAsia="宋体" w:cs="Times New Roman"/>
                <w:i w:val="0"/>
                <w:color w:val="000000"/>
                <w:kern w:val="0"/>
                <w:sz w:val="24"/>
                <w:szCs w:val="24"/>
                <w:u w:val="none"/>
                <w:lang w:val="en-US" w:eastAsia="zh-CN" w:bidi="ar"/>
              </w:rPr>
              <w:t>AGV</w:t>
            </w:r>
            <w:r>
              <w:rPr>
                <w:rStyle w:val="22"/>
                <w:lang w:val="en-US" w:eastAsia="zh-CN" w:bidi="ar"/>
              </w:rPr>
              <w:t>小车应设置声光警示装置，前端底部应设置安全防撞措施；</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5</w:t>
            </w:r>
            <w:r>
              <w:rPr>
                <w:rStyle w:val="22"/>
                <w:lang w:val="en-US" w:eastAsia="zh-CN" w:bidi="ar"/>
              </w:rPr>
              <w:t>、人员需要跨越输送线的地段应设置通行过桥，通行过桥的平台、踏板应防滑，其结构应符合工业梯台的相关规定；</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6</w:t>
            </w:r>
            <w:r>
              <w:rPr>
                <w:rStyle w:val="22"/>
                <w:lang w:val="en-US" w:eastAsia="zh-CN" w:bidi="ar"/>
              </w:rPr>
              <w:t>、地沟入口处应设置盖板或防护栏，且完好、无变形；沟内应无障碍物，并应配置应急照明灯，且不允许积水、积油；</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7</w:t>
            </w:r>
            <w:r>
              <w:rPr>
                <w:rStyle w:val="22"/>
                <w:lang w:val="en-US" w:eastAsia="zh-CN" w:bidi="ar"/>
              </w:rPr>
              <w:t>、焊装作业场所应设置有效、可靠的烟尘防治设施，各种焊接机械防护罩、防火花飞溅设施应齐全、可靠；仪表及按钮应清晰、完好；</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8</w:t>
            </w:r>
            <w:r>
              <w:rPr>
                <w:rStyle w:val="22"/>
                <w:lang w:val="en-US" w:eastAsia="zh-CN" w:bidi="ar"/>
              </w:rPr>
              <w:t>、装配线工艺升降机的检修入口应与物料进出口分设置；检修入口应设置联锁装置，物料进出口应设置限制人员进入的光栅、雷达等防护措施；</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9</w:t>
            </w:r>
            <w:r>
              <w:rPr>
                <w:rStyle w:val="22"/>
                <w:lang w:val="en-US" w:eastAsia="zh-CN" w:bidi="ar"/>
              </w:rPr>
              <w:t>、汽油加注机周边应无易燃易爆物质，并应设置抽排度装置；地沟</w:t>
            </w:r>
            <w:r>
              <w:rPr>
                <w:rFonts w:hint="default" w:ascii="Times New Roman" w:hAnsi="Times New Roman" w:eastAsia="宋体" w:cs="Times New Roman"/>
                <w:i w:val="0"/>
                <w:color w:val="000000"/>
                <w:kern w:val="0"/>
                <w:sz w:val="24"/>
                <w:szCs w:val="24"/>
                <w:u w:val="none"/>
                <w:lang w:val="en-US" w:eastAsia="zh-CN" w:bidi="ar"/>
              </w:rPr>
              <w:t>(</w:t>
            </w:r>
            <w:r>
              <w:rPr>
                <w:rStyle w:val="22"/>
                <w:lang w:val="en-US" w:eastAsia="zh-CN" w:bidi="ar"/>
              </w:rPr>
              <w:t>包括地板链地沟</w:t>
            </w:r>
            <w:r>
              <w:rPr>
                <w:rFonts w:hint="default" w:ascii="Times New Roman" w:hAnsi="Times New Roman" w:eastAsia="宋体" w:cs="Times New Roman"/>
                <w:i w:val="0"/>
                <w:color w:val="000000"/>
                <w:kern w:val="0"/>
                <w:sz w:val="24"/>
                <w:szCs w:val="24"/>
                <w:u w:val="none"/>
                <w:lang w:val="en-US" w:eastAsia="zh-CN" w:bidi="ar"/>
              </w:rPr>
              <w:t>)</w:t>
            </w:r>
            <w:r>
              <w:rPr>
                <w:rStyle w:val="22"/>
                <w:lang w:val="en-US" w:eastAsia="zh-CN" w:bidi="ar"/>
              </w:rPr>
              <w:t>应设置可燃气体检测报警装置，电气设施应符合</w:t>
            </w:r>
            <w:r>
              <w:rPr>
                <w:rFonts w:hint="default" w:ascii="Times New Roman" w:hAnsi="Times New Roman" w:eastAsia="宋体" w:cs="Times New Roman"/>
                <w:i w:val="0"/>
                <w:color w:val="000000"/>
                <w:kern w:val="0"/>
                <w:sz w:val="24"/>
                <w:szCs w:val="24"/>
                <w:u w:val="none"/>
                <w:lang w:val="en-US" w:eastAsia="zh-CN" w:bidi="ar"/>
              </w:rPr>
              <w:t>GB50257</w:t>
            </w:r>
            <w:r>
              <w:rPr>
                <w:rStyle w:val="22"/>
                <w:lang w:val="en-US" w:eastAsia="zh-CN" w:bidi="ar"/>
              </w:rPr>
              <w:t>的要求。</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不符合要求的，每处扣1分。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6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十一、木工机械（含可发性聚苯乙烯加工机械）：</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 xml:space="preserve"> </w:t>
            </w:r>
            <w:r>
              <w:rPr>
                <w:rStyle w:val="22"/>
                <w:lang w:val="en-US" w:eastAsia="zh-CN" w:bidi="ar"/>
              </w:rPr>
              <w:t>危险性大、行程较长或行程有特定要求的设备应设置限位装置或联锁开关，并确保其完好、灵敏、可靠；</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 xml:space="preserve"> </w:t>
            </w:r>
            <w:r>
              <w:rPr>
                <w:rStyle w:val="22"/>
                <w:lang w:val="en-US" w:eastAsia="zh-CN" w:bidi="ar"/>
              </w:rPr>
              <w:t>外露的旋转部位应安装防护罩或盖，并确保其完好、有效，其安全距离应符合</w:t>
            </w:r>
            <w:r>
              <w:rPr>
                <w:rFonts w:hint="default" w:ascii="Times New Roman" w:hAnsi="Times New Roman" w:eastAsia="宋体" w:cs="Times New Roman"/>
                <w:i w:val="0"/>
                <w:color w:val="000000"/>
                <w:kern w:val="0"/>
                <w:sz w:val="24"/>
                <w:szCs w:val="24"/>
                <w:u w:val="none"/>
                <w:lang w:val="en-US" w:eastAsia="zh-CN" w:bidi="ar"/>
              </w:rPr>
              <w:t>GB/T 23821</w:t>
            </w:r>
            <w:r>
              <w:rPr>
                <w:rStyle w:val="22"/>
                <w:lang w:val="en-US" w:eastAsia="zh-CN" w:bidi="ar"/>
              </w:rPr>
              <w:t>的相关规定；</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 xml:space="preserve"> </w:t>
            </w:r>
            <w:r>
              <w:rPr>
                <w:rStyle w:val="22"/>
                <w:lang w:val="en-US" w:eastAsia="zh-CN" w:bidi="ar"/>
              </w:rPr>
              <w:t>紧固件、连接件和锁紧装置应完整、可靠；</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 xml:space="preserve">4 </w:t>
            </w:r>
            <w:r>
              <w:rPr>
                <w:rStyle w:val="22"/>
                <w:lang w:val="en-US" w:eastAsia="zh-CN" w:bidi="ar"/>
              </w:rPr>
              <w:t>、电气设备的绝缘、屏护、防护间距应符合</w:t>
            </w:r>
            <w:r>
              <w:rPr>
                <w:rFonts w:hint="default" w:ascii="Times New Roman" w:hAnsi="Times New Roman" w:eastAsia="宋体" w:cs="Times New Roman"/>
                <w:i w:val="0"/>
                <w:color w:val="000000"/>
                <w:kern w:val="0"/>
                <w:sz w:val="24"/>
                <w:szCs w:val="24"/>
                <w:u w:val="none"/>
                <w:lang w:val="en-US" w:eastAsia="zh-CN" w:bidi="ar"/>
              </w:rPr>
              <w:t>GB/T 5226.1</w:t>
            </w:r>
            <w:r>
              <w:rPr>
                <w:rStyle w:val="22"/>
                <w:lang w:val="en-US" w:eastAsia="zh-CN" w:bidi="ar"/>
              </w:rPr>
              <w:t>的相关规定；</w:t>
            </w:r>
            <w:r>
              <w:rPr>
                <w:rFonts w:hint="default" w:ascii="Times New Roman" w:hAnsi="Times New Roman" w:eastAsia="宋体" w:cs="Times New Roman"/>
                <w:i w:val="0"/>
                <w:color w:val="000000"/>
                <w:kern w:val="0"/>
                <w:sz w:val="24"/>
                <w:szCs w:val="24"/>
                <w:u w:val="none"/>
                <w:lang w:val="en-US" w:eastAsia="zh-CN" w:bidi="ar"/>
              </w:rPr>
              <w:t>PE</w:t>
            </w:r>
            <w:r>
              <w:rPr>
                <w:rStyle w:val="22"/>
                <w:lang w:val="en-US" w:eastAsia="zh-CN" w:bidi="ar"/>
              </w:rPr>
              <w:t>连接可靠，控制电器符合规定。加工可发性聚苯乙烯泡沫材料时，设备应有防静电装置；</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 xml:space="preserve">5 </w:t>
            </w:r>
            <w:r>
              <w:rPr>
                <w:rStyle w:val="22"/>
                <w:lang w:val="en-US" w:eastAsia="zh-CN" w:bidi="ar"/>
              </w:rPr>
              <w:t>、安全防护装置应配置齐全，且安全、可靠；</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6</w:t>
            </w:r>
            <w:r>
              <w:rPr>
                <w:rStyle w:val="22"/>
                <w:lang w:val="en-US" w:eastAsia="zh-CN" w:bidi="ar"/>
              </w:rPr>
              <w:t>、按有关规定设置除尘设备设施。</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不符合要求的，每处扣1分。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2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十二、风动工具</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 xml:space="preserve">1 </w:t>
            </w:r>
            <w:r>
              <w:rPr>
                <w:rStyle w:val="22"/>
                <w:lang w:val="en-US" w:eastAsia="zh-CN" w:bidi="ar"/>
              </w:rPr>
              <w:t>砂轮的装夹应牢靠，无松动；卡盘与砂轮的接触面应平整、均匀，压紧螺母或螺栓无滑扣，且有防松措施；</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 xml:space="preserve">2 </w:t>
            </w:r>
            <w:r>
              <w:rPr>
                <w:rStyle w:val="22"/>
                <w:lang w:val="en-US" w:eastAsia="zh-CN" w:bidi="ar"/>
              </w:rPr>
              <w:t>使用风动工具应配备完好无损的风罩和防护罩，并严禁拆卸；</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 xml:space="preserve">3 </w:t>
            </w:r>
            <w:r>
              <w:rPr>
                <w:rStyle w:val="22"/>
                <w:lang w:val="en-US" w:eastAsia="zh-CN" w:bidi="ar"/>
              </w:rPr>
              <w:t>开关和进气阀应灵活可靠，密封良好，并能准确控制正反转和停止，关闭后不允许漏气；</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 xml:space="preserve">4 </w:t>
            </w:r>
            <w:r>
              <w:rPr>
                <w:rStyle w:val="22"/>
                <w:lang w:val="en-US" w:eastAsia="zh-CN" w:bidi="ar"/>
              </w:rPr>
              <w:t>各种形式的防松脱装置应完好，可靠；</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 xml:space="preserve">5 </w:t>
            </w:r>
            <w:r>
              <w:rPr>
                <w:rStyle w:val="22"/>
                <w:lang w:val="en-US" w:eastAsia="zh-CN" w:bidi="ar"/>
              </w:rPr>
              <w:t>输气管道及软管不应泄漏、老化或腐蚀。</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不符合要求的，每处扣1分。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十三、砂轮机：</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、安装地点应保证人员和设备的安全，工作面照度应大于或等于</w:t>
            </w:r>
            <w:r>
              <w:rPr>
                <w:rFonts w:hint="default" w:ascii="Times New Roman" w:hAnsi="Times New Roman" w:eastAsia="宋体" w:cs="Times New Roman"/>
                <w:i w:val="0"/>
                <w:color w:val="000000"/>
                <w:kern w:val="0"/>
                <w:sz w:val="24"/>
                <w:szCs w:val="24"/>
                <w:u w:val="none"/>
                <w:lang w:val="en-US" w:eastAsia="zh-CN" w:bidi="ar"/>
              </w:rPr>
              <w:t>300</w:t>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lx</w:t>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、砂轮机的防护罩、挡屑板、砂轮、托架、卡盘应符合</w:t>
            </w:r>
            <w:r>
              <w:rPr>
                <w:rFonts w:hint="default" w:ascii="Times New Roman" w:hAnsi="Times New Roman" w:eastAsia="宋体" w:cs="Times New Roman"/>
                <w:i w:val="0"/>
                <w:color w:val="000000"/>
                <w:kern w:val="0"/>
                <w:sz w:val="24"/>
                <w:szCs w:val="24"/>
                <w:u w:val="none"/>
                <w:lang w:val="en-US" w:eastAsia="zh-CN" w:bidi="ar"/>
              </w:rPr>
              <w:t>JB 8799</w:t>
            </w:r>
            <w:r>
              <w:rPr>
                <w:rStyle w:val="22"/>
                <w:lang w:val="en-US" w:eastAsia="zh-CN" w:bidi="ar"/>
              </w:rPr>
              <w:t>相关规定；</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、砂轮机运行必须平稳可靠，砂轮磨损量不应超过</w:t>
            </w:r>
            <w:r>
              <w:rPr>
                <w:rFonts w:hint="default" w:ascii="Times New Roman" w:hAnsi="Times New Roman" w:eastAsia="宋体" w:cs="Times New Roman"/>
                <w:i w:val="0"/>
                <w:color w:val="000000"/>
                <w:kern w:val="0"/>
                <w:sz w:val="24"/>
                <w:szCs w:val="24"/>
                <w:u w:val="none"/>
                <w:lang w:val="en-US" w:eastAsia="zh-CN" w:bidi="ar"/>
              </w:rPr>
              <w:t>GB 4674</w:t>
            </w:r>
            <w:r>
              <w:rPr>
                <w:rStyle w:val="22"/>
                <w:lang w:val="en-US" w:eastAsia="zh-CN" w:bidi="ar"/>
              </w:rPr>
              <w:t>的相关规定，不应使用不带除尘设施的砂轮机。</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使用不带除尘设施的砂轮机，不得分；其他不符合要求的，每处扣1分。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35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十四、手持电动工具</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、使用条件应符合下列要求：</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）手持式电动工具应具有国家强制认证标志、产品合格证和使用说明书，并在规定的条件下使用；</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）一般场所应使用</w:t>
            </w:r>
            <w:r>
              <w:rPr>
                <w:rFonts w:hint="default" w:ascii="Times New Roman" w:hAnsi="Times New Roman" w:eastAsia="宋体" w:cs="Times New Roman"/>
                <w:i w:val="0"/>
                <w:color w:val="000000"/>
                <w:kern w:val="0"/>
                <w:sz w:val="24"/>
                <w:szCs w:val="24"/>
                <w:u w:val="none"/>
                <w:lang w:val="en-US" w:eastAsia="zh-CN" w:bidi="ar"/>
              </w:rPr>
              <w:t>Ⅱ</w:t>
            </w:r>
            <w:r>
              <w:rPr>
                <w:rStyle w:val="22"/>
                <w:lang w:val="en-US" w:eastAsia="zh-CN" w:bidi="ar"/>
              </w:rPr>
              <w:t>类工具；狭窄场所或受限空间、潮湿环境应使用配置剩余电流动作保护装置的</w:t>
            </w:r>
            <w:r>
              <w:rPr>
                <w:rFonts w:hint="default" w:ascii="Times New Roman" w:hAnsi="Times New Roman" w:eastAsia="宋体" w:cs="Times New Roman"/>
                <w:i w:val="0"/>
                <w:color w:val="000000"/>
                <w:kern w:val="0"/>
                <w:sz w:val="24"/>
                <w:szCs w:val="24"/>
                <w:u w:val="none"/>
                <w:lang w:val="en-US" w:eastAsia="zh-CN" w:bidi="ar"/>
              </w:rPr>
              <w:t>Ⅱ</w:t>
            </w:r>
            <w:r>
              <w:rPr>
                <w:rStyle w:val="22"/>
                <w:lang w:val="en-US" w:eastAsia="zh-CN" w:bidi="ar"/>
              </w:rPr>
              <w:t>类工具或</w:t>
            </w:r>
            <w:r>
              <w:rPr>
                <w:rFonts w:hint="default" w:ascii="Times New Roman" w:hAnsi="Times New Roman" w:eastAsia="宋体" w:cs="Times New Roman"/>
                <w:i w:val="0"/>
                <w:color w:val="000000"/>
                <w:kern w:val="0"/>
                <w:sz w:val="24"/>
                <w:szCs w:val="24"/>
                <w:u w:val="none"/>
                <w:lang w:val="en-US" w:eastAsia="zh-CN" w:bidi="ar"/>
              </w:rPr>
              <w:t>Ⅲ</w:t>
            </w:r>
            <w:r>
              <w:rPr>
                <w:rStyle w:val="22"/>
                <w:lang w:val="en-US" w:eastAsia="zh-CN" w:bidi="ar"/>
              </w:rPr>
              <w:t>类工具；当使用</w:t>
            </w:r>
            <w:r>
              <w:rPr>
                <w:rFonts w:hint="default" w:ascii="Times New Roman" w:hAnsi="Times New Roman" w:eastAsia="宋体" w:cs="Times New Roman"/>
                <w:i w:val="0"/>
                <w:color w:val="000000"/>
                <w:kern w:val="0"/>
                <w:sz w:val="24"/>
                <w:szCs w:val="24"/>
                <w:u w:val="none"/>
                <w:lang w:val="en-US" w:eastAsia="zh-CN" w:bidi="ar"/>
              </w:rPr>
              <w:t>Ⅰ</w:t>
            </w:r>
            <w:r>
              <w:rPr>
                <w:rStyle w:val="22"/>
                <w:lang w:val="en-US" w:eastAsia="zh-CN" w:bidi="ar"/>
              </w:rPr>
              <w:t>类工具时，应配置剩余电流动作保护装置，</w:t>
            </w:r>
            <w:r>
              <w:rPr>
                <w:rFonts w:hint="default" w:ascii="Times New Roman" w:hAnsi="Times New Roman" w:eastAsia="宋体" w:cs="Times New Roman"/>
                <w:i w:val="0"/>
                <w:color w:val="000000"/>
                <w:kern w:val="0"/>
                <w:sz w:val="24"/>
                <w:szCs w:val="24"/>
                <w:u w:val="none"/>
                <w:lang w:val="en-US" w:eastAsia="zh-CN" w:bidi="ar"/>
              </w:rPr>
              <w:t>PE</w:t>
            </w:r>
            <w:r>
              <w:rPr>
                <w:rStyle w:val="22"/>
                <w:lang w:val="en-US" w:eastAsia="zh-CN" w:bidi="ar"/>
              </w:rPr>
              <w:t>线应连接规范；</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、日常检查和定期检测的内容应符合</w:t>
            </w:r>
            <w:r>
              <w:rPr>
                <w:rFonts w:hint="default" w:ascii="Times New Roman" w:hAnsi="Times New Roman" w:eastAsia="宋体" w:cs="Times New Roman"/>
                <w:i w:val="0"/>
                <w:color w:val="000000"/>
                <w:kern w:val="0"/>
                <w:sz w:val="24"/>
                <w:szCs w:val="24"/>
                <w:u w:val="none"/>
                <w:lang w:val="en-US" w:eastAsia="zh-CN" w:bidi="ar"/>
              </w:rPr>
              <w:t>GB/T 3787</w:t>
            </w:r>
            <w:r>
              <w:rPr>
                <w:rStyle w:val="22"/>
                <w:lang w:val="en-US" w:eastAsia="zh-CN" w:bidi="ar"/>
              </w:rPr>
              <w:t>的相关规定，保存记录并在检测合格工具的明显位置粘贴合格标识；</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、电源线长度应小于</w:t>
            </w:r>
            <w:r>
              <w:rPr>
                <w:rFonts w:hint="default" w:ascii="Times New Roman" w:hAnsi="Times New Roman" w:eastAsia="宋体" w:cs="Times New Roman"/>
                <w:i w:val="0"/>
                <w:color w:val="000000"/>
                <w:kern w:val="0"/>
                <w:sz w:val="24"/>
                <w:szCs w:val="24"/>
                <w:u w:val="none"/>
                <w:lang w:val="en-US" w:eastAsia="zh-CN" w:bidi="ar"/>
              </w:rPr>
              <w:t>6000mm</w:t>
            </w:r>
            <w:r>
              <w:rPr>
                <w:rStyle w:val="22"/>
                <w:lang w:val="en-US" w:eastAsia="zh-CN" w:bidi="ar"/>
              </w:rPr>
              <w:t>，中间不允许有接头，且无破损、无老化，不应穿越通道；</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、工具的防护罩、盖、手柄应连接牢靠，并有足够的强度，外观无损伤、裂缝和变形；</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5</w:t>
            </w:r>
            <w:r>
              <w:rPr>
                <w:rStyle w:val="22"/>
                <w:lang w:val="en-US" w:eastAsia="zh-CN" w:bidi="ar"/>
              </w:rPr>
              <w:t>、转动部分、开关及插件应符合下列要求：</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）转动部分应灵活，无阻滞现象；开关应动作灵活，无缺损与破裂；</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）接插件额定参数与所用工具应相匹配，且无烧损、无破裂和严重损伤。</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不符合要求的，每处扣1分。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56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十五、焊接设备</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、电焊设备外壳防护应符合下列要求：户内使用的设备外壳防护等级不应低于</w:t>
            </w:r>
            <w:r>
              <w:rPr>
                <w:rFonts w:hint="default" w:ascii="Times New Roman" w:hAnsi="Times New Roman" w:eastAsia="宋体" w:cs="Times New Roman"/>
                <w:i w:val="0"/>
                <w:color w:val="000000"/>
                <w:kern w:val="0"/>
                <w:sz w:val="24"/>
                <w:szCs w:val="24"/>
                <w:u w:val="none"/>
                <w:lang w:val="en-US" w:eastAsia="zh-CN" w:bidi="ar"/>
              </w:rPr>
              <w:t>IP21</w:t>
            </w:r>
            <w:r>
              <w:rPr>
                <w:rStyle w:val="22"/>
                <w:lang w:val="en-US" w:eastAsia="zh-CN" w:bidi="ar"/>
              </w:rPr>
              <w:t>；户外使用的设备不得低于</w:t>
            </w:r>
            <w:r>
              <w:rPr>
                <w:rFonts w:hint="default" w:ascii="Times New Roman" w:hAnsi="Times New Roman" w:eastAsia="宋体" w:cs="Times New Roman"/>
                <w:i w:val="0"/>
                <w:color w:val="000000"/>
                <w:kern w:val="0"/>
                <w:sz w:val="24"/>
                <w:szCs w:val="24"/>
                <w:u w:val="none"/>
                <w:lang w:val="en-US" w:eastAsia="zh-CN" w:bidi="ar"/>
              </w:rPr>
              <w:t>IP23</w:t>
            </w:r>
            <w:r>
              <w:rPr>
                <w:rStyle w:val="22"/>
                <w:lang w:val="en-US" w:eastAsia="zh-CN" w:bidi="ar"/>
              </w:rPr>
              <w:t>，当不能满足场所安全要求时应采取其它防护措施；</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、使用的输气软管应符合</w:t>
            </w:r>
            <w:r>
              <w:rPr>
                <w:rFonts w:hint="default" w:ascii="Times New Roman" w:hAnsi="Times New Roman" w:eastAsia="宋体" w:cs="Times New Roman"/>
                <w:i w:val="0"/>
                <w:color w:val="000000"/>
                <w:kern w:val="0"/>
                <w:sz w:val="24"/>
                <w:szCs w:val="24"/>
                <w:u w:val="none"/>
                <w:lang w:val="en-US" w:eastAsia="zh-CN" w:bidi="ar"/>
              </w:rPr>
              <w:t>GB/T 2550</w:t>
            </w:r>
            <w:r>
              <w:rPr>
                <w:rStyle w:val="22"/>
                <w:lang w:val="en-US" w:eastAsia="zh-CN" w:bidi="ar"/>
              </w:rPr>
              <w:t>的规定；</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、当采用焊接电缆供电时，一次线的接线长度应不超过</w:t>
            </w:r>
            <w:r>
              <w:rPr>
                <w:rFonts w:hint="default" w:ascii="Times New Roman" w:hAnsi="Times New Roman" w:eastAsia="宋体" w:cs="Times New Roman"/>
                <w:i w:val="0"/>
                <w:color w:val="000000"/>
                <w:kern w:val="0"/>
                <w:sz w:val="24"/>
                <w:szCs w:val="24"/>
                <w:u w:val="none"/>
                <w:lang w:val="en-US" w:eastAsia="zh-CN" w:bidi="ar"/>
              </w:rPr>
              <w:t>3000mm</w:t>
            </w:r>
            <w:r>
              <w:rPr>
                <w:rStyle w:val="22"/>
                <w:lang w:val="en-US" w:eastAsia="zh-CN" w:bidi="ar"/>
              </w:rPr>
              <w:t>，电源线不应在地面拖拽使用，切不允许跨越通道；二次线接线长度应不超过</w:t>
            </w:r>
            <w:r>
              <w:rPr>
                <w:rFonts w:hint="default" w:ascii="Times New Roman" w:hAnsi="Times New Roman" w:eastAsia="宋体" w:cs="Times New Roman"/>
                <w:i w:val="0"/>
                <w:color w:val="000000"/>
                <w:kern w:val="0"/>
                <w:sz w:val="24"/>
                <w:szCs w:val="24"/>
                <w:u w:val="none"/>
                <w:lang w:val="en-US" w:eastAsia="zh-CN" w:bidi="ar"/>
              </w:rPr>
              <w:t>30000mm</w:t>
            </w:r>
            <w:r>
              <w:rPr>
                <w:rStyle w:val="22"/>
                <w:lang w:val="en-US" w:eastAsia="zh-CN" w:bidi="ar"/>
              </w:rPr>
              <w:t>，接头不超过</w:t>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个；</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、二次回路应符合下列要求：</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）二次回路应保持其独立性和隔离要求；</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）二次回路宜直接与被焊工件直接连接或压接。二次回路接点应紧固，无电气裸露，接头宜采用电缆耦合器，且不超过</w:t>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个。电阻焊机的焊接回路及其零部件（电极除外）的温升限值不应超过允许值；</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）当二次回路所采取的措施不能限制可能流经人体的电流小于电击电流时，应采取剩余电流动作保护装置或其他保护装置作为补充防护；</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）禁止搭载或利用厂房金属结构、管道、轨道、设备可移动部位，以及</w:t>
            </w:r>
            <w:r>
              <w:rPr>
                <w:rFonts w:hint="default" w:ascii="Times New Roman" w:hAnsi="Times New Roman" w:eastAsia="宋体" w:cs="Times New Roman"/>
                <w:i w:val="0"/>
                <w:color w:val="000000"/>
                <w:kern w:val="0"/>
                <w:sz w:val="24"/>
                <w:szCs w:val="24"/>
                <w:u w:val="none"/>
                <w:lang w:val="en-US" w:eastAsia="zh-CN" w:bidi="ar"/>
              </w:rPr>
              <w:t>PE</w:t>
            </w:r>
            <w:r>
              <w:rPr>
                <w:rStyle w:val="22"/>
                <w:lang w:val="en-US" w:eastAsia="zh-CN" w:bidi="ar"/>
              </w:rPr>
              <w:t>线等作为焊接二次回路。在有</w:t>
            </w:r>
            <w:r>
              <w:rPr>
                <w:rFonts w:hint="default" w:ascii="Times New Roman" w:hAnsi="Times New Roman" w:eastAsia="宋体" w:cs="Times New Roman"/>
                <w:i w:val="0"/>
                <w:color w:val="000000"/>
                <w:kern w:val="0"/>
                <w:sz w:val="24"/>
                <w:szCs w:val="24"/>
                <w:u w:val="none"/>
                <w:lang w:val="en-US" w:eastAsia="zh-CN" w:bidi="ar"/>
              </w:rPr>
              <w:t>PE</w:t>
            </w:r>
            <w:r>
              <w:rPr>
                <w:rStyle w:val="22"/>
                <w:lang w:val="en-US" w:eastAsia="zh-CN" w:bidi="ar"/>
              </w:rPr>
              <w:t>线装置的焊件上进行电焊操作时，应暂时拆除</w:t>
            </w:r>
            <w:r>
              <w:rPr>
                <w:rFonts w:hint="default" w:ascii="Times New Roman" w:hAnsi="Times New Roman" w:eastAsia="宋体" w:cs="Times New Roman"/>
                <w:i w:val="0"/>
                <w:color w:val="000000"/>
                <w:kern w:val="0"/>
                <w:sz w:val="24"/>
                <w:szCs w:val="24"/>
                <w:u w:val="none"/>
                <w:lang w:val="en-US" w:eastAsia="zh-CN" w:bidi="ar"/>
              </w:rPr>
              <w:t>PE</w:t>
            </w:r>
            <w:r>
              <w:rPr>
                <w:rStyle w:val="22"/>
                <w:lang w:val="en-US" w:eastAsia="zh-CN" w:bidi="ar"/>
              </w:rPr>
              <w:t>线；</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5</w:t>
            </w:r>
            <w:r>
              <w:rPr>
                <w:rStyle w:val="22"/>
                <w:lang w:val="en-US" w:eastAsia="zh-CN" w:bidi="ar"/>
              </w:rPr>
              <w:t>）当设备配置急停按钮时，应符合</w:t>
            </w:r>
            <w:r>
              <w:rPr>
                <w:rFonts w:hint="default" w:ascii="Times New Roman" w:hAnsi="Times New Roman" w:eastAsia="宋体" w:cs="Times New Roman"/>
                <w:i w:val="0"/>
                <w:color w:val="000000"/>
                <w:kern w:val="0"/>
                <w:sz w:val="24"/>
                <w:szCs w:val="24"/>
                <w:u w:val="none"/>
                <w:lang w:val="en-US" w:eastAsia="zh-CN" w:bidi="ar"/>
              </w:rPr>
              <w:t>GB/T 16754</w:t>
            </w:r>
            <w:r>
              <w:rPr>
                <w:rStyle w:val="22"/>
                <w:lang w:val="en-US" w:eastAsia="zh-CN" w:bidi="ar"/>
              </w:rPr>
              <w:t>的相关规定；</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5</w:t>
            </w:r>
            <w:r>
              <w:rPr>
                <w:rStyle w:val="22"/>
                <w:lang w:val="en-US" w:eastAsia="zh-CN" w:bidi="ar"/>
              </w:rPr>
              <w:t>、夹持装置和绝缘应符合下列要求：</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）夹持装置应确保夹紧焊条或工件，且有良好绝缘和隔热性能，绝缘电阻应大于</w:t>
            </w:r>
            <w:r>
              <w:rPr>
                <w:rFonts w:hint="default" w:ascii="Times New Roman" w:hAnsi="Times New Roman" w:eastAsia="宋体" w:cs="Times New Roman"/>
                <w:i w:val="0"/>
                <w:color w:val="000000"/>
                <w:kern w:val="0"/>
                <w:sz w:val="24"/>
                <w:szCs w:val="24"/>
                <w:u w:val="none"/>
                <w:lang w:val="en-US" w:eastAsia="zh-CN" w:bidi="ar"/>
              </w:rPr>
              <w:t>1M</w:t>
            </w:r>
            <w:r>
              <w:rPr>
                <w:rStyle w:val="25"/>
                <w:rFonts w:eastAsia="宋体"/>
                <w:lang w:val="en-US" w:eastAsia="zh-CN" w:bidi="ar"/>
              </w:rPr>
              <w:t>Ω</w:t>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）电焊钳或操作部件应与导线连接紧固、绝缘可靠，且无外露带电体；</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）悬挂式电阻焊机吊点应准确，平衡保护装置可靠。</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不符合要求的，每处扣1分。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8"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十六、工业梯台及移动平台</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、金属结构简单的焊接应符合</w:t>
            </w:r>
            <w:r>
              <w:rPr>
                <w:rFonts w:hint="default" w:ascii="Times New Roman" w:hAnsi="Times New Roman" w:eastAsia="宋体" w:cs="Times New Roman"/>
                <w:i w:val="0"/>
                <w:color w:val="000000"/>
                <w:kern w:val="0"/>
                <w:sz w:val="24"/>
                <w:szCs w:val="24"/>
                <w:u w:val="none"/>
                <w:lang w:val="en-US" w:eastAsia="zh-CN" w:bidi="ar"/>
              </w:rPr>
              <w:t>GB 50205</w:t>
            </w:r>
            <w:r>
              <w:rPr>
                <w:rStyle w:val="22"/>
                <w:lang w:val="en-US" w:eastAsia="zh-CN" w:bidi="ar"/>
              </w:rPr>
              <w:t>的相关规定；且无变形、腐蚀、裂纹等缺陷；</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、固定式钢斜梯踏板及钢平台铺板应采用花纹钢板或经防滑处理的钢板制作；</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、工业梯台结构应符合下列要求：</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）进入两级平台之间的梯台接头应符合</w:t>
            </w:r>
            <w:r>
              <w:rPr>
                <w:rFonts w:hint="default" w:ascii="Times New Roman" w:hAnsi="Times New Roman" w:eastAsia="宋体" w:cs="Times New Roman"/>
                <w:i w:val="0"/>
                <w:color w:val="000000"/>
                <w:kern w:val="0"/>
                <w:sz w:val="24"/>
                <w:szCs w:val="24"/>
                <w:u w:val="none"/>
                <w:lang w:val="en-US" w:eastAsia="zh-CN" w:bidi="ar"/>
              </w:rPr>
              <w:t>GB/T 17888.1</w:t>
            </w:r>
            <w:r>
              <w:rPr>
                <w:rStyle w:val="22"/>
                <w:lang w:val="en-US" w:eastAsia="zh-CN" w:bidi="ar"/>
              </w:rPr>
              <w:t>的规定；</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）工作平台和通道的结构应符合</w:t>
            </w:r>
            <w:r>
              <w:rPr>
                <w:rFonts w:hint="default" w:ascii="Times New Roman" w:hAnsi="Times New Roman" w:eastAsia="宋体" w:cs="Times New Roman"/>
                <w:i w:val="0"/>
                <w:color w:val="000000"/>
                <w:kern w:val="0"/>
                <w:sz w:val="24"/>
                <w:szCs w:val="24"/>
                <w:u w:val="none"/>
                <w:lang w:val="en-US" w:eastAsia="zh-CN" w:bidi="ar"/>
              </w:rPr>
              <w:t>GB/T 17888.2</w:t>
            </w:r>
            <w:r>
              <w:rPr>
                <w:rStyle w:val="22"/>
                <w:lang w:val="en-US" w:eastAsia="zh-CN" w:bidi="ar"/>
              </w:rPr>
              <w:t>的规定；</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）楼梯、阶梯和护栏的结构应符合</w:t>
            </w:r>
            <w:r>
              <w:rPr>
                <w:rFonts w:hint="default" w:ascii="Times New Roman" w:hAnsi="Times New Roman" w:eastAsia="宋体" w:cs="Times New Roman"/>
                <w:i w:val="0"/>
                <w:color w:val="000000"/>
                <w:kern w:val="0"/>
                <w:sz w:val="24"/>
                <w:szCs w:val="24"/>
                <w:u w:val="none"/>
                <w:lang w:val="en-US" w:eastAsia="zh-CN" w:bidi="ar"/>
              </w:rPr>
              <w:t>GB/T17888.3</w:t>
            </w:r>
            <w:r>
              <w:rPr>
                <w:rStyle w:val="22"/>
                <w:lang w:val="en-US" w:eastAsia="zh-CN" w:bidi="ar"/>
              </w:rPr>
              <w:t>的规定；</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）钢直梯的结构应符合</w:t>
            </w:r>
            <w:r>
              <w:rPr>
                <w:rFonts w:hint="default" w:ascii="Times New Roman" w:hAnsi="Times New Roman" w:eastAsia="宋体" w:cs="Times New Roman"/>
                <w:i w:val="0"/>
                <w:color w:val="000000"/>
                <w:kern w:val="0"/>
                <w:sz w:val="24"/>
                <w:szCs w:val="24"/>
                <w:u w:val="none"/>
                <w:lang w:val="en-US" w:eastAsia="zh-CN" w:bidi="ar"/>
              </w:rPr>
              <w:t>GB/T 17888.4</w:t>
            </w:r>
            <w:r>
              <w:rPr>
                <w:rStyle w:val="22"/>
                <w:lang w:val="en-US" w:eastAsia="zh-CN" w:bidi="ar"/>
              </w:rPr>
              <w:t>的规定；</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5</w:t>
            </w:r>
            <w:r>
              <w:rPr>
                <w:rStyle w:val="22"/>
                <w:lang w:val="en-US" w:eastAsia="zh-CN" w:bidi="ar"/>
              </w:rPr>
              <w:t>）便携式铝合金梯的结构应符合</w:t>
            </w:r>
            <w:r>
              <w:rPr>
                <w:rFonts w:hint="default" w:ascii="Times New Roman" w:hAnsi="Times New Roman" w:eastAsia="宋体" w:cs="Times New Roman"/>
                <w:i w:val="0"/>
                <w:color w:val="000000"/>
                <w:kern w:val="0"/>
                <w:sz w:val="24"/>
                <w:szCs w:val="24"/>
                <w:u w:val="none"/>
                <w:lang w:val="en-US" w:eastAsia="zh-CN" w:bidi="ar"/>
              </w:rPr>
              <w:t>GB/T 27685</w:t>
            </w:r>
            <w:r>
              <w:rPr>
                <w:rStyle w:val="22"/>
                <w:lang w:val="en-US" w:eastAsia="zh-CN" w:bidi="ar"/>
              </w:rPr>
              <w:t>的规定；</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6</w:t>
            </w:r>
            <w:r>
              <w:rPr>
                <w:rStyle w:val="22"/>
                <w:lang w:val="en-US" w:eastAsia="zh-CN" w:bidi="ar"/>
              </w:rPr>
              <w:t>）活动人字梯铰链完好无变形，两梯之间梁柱中部应有限制拉线，撑锁固定装置牢固；梯子与地面接触部位应设置防滑装置；</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7</w:t>
            </w:r>
            <w:r>
              <w:rPr>
                <w:rStyle w:val="22"/>
                <w:lang w:val="en-US" w:eastAsia="zh-CN" w:bidi="ar"/>
              </w:rPr>
              <w:t>）竹梯构件不得有连续裂损</w:t>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个竹节或不连续裂损</w:t>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个竹节；梯子与地面接触部位应设置防滑装置；</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、移动平台的操作平台结构、保护设施等应符合</w:t>
            </w:r>
            <w:r>
              <w:rPr>
                <w:rFonts w:hint="default" w:ascii="Times New Roman" w:hAnsi="Times New Roman" w:eastAsia="宋体" w:cs="Times New Roman"/>
                <w:i w:val="0"/>
                <w:color w:val="000000"/>
                <w:kern w:val="0"/>
                <w:sz w:val="24"/>
                <w:szCs w:val="24"/>
                <w:u w:val="none"/>
                <w:lang w:val="en-US" w:eastAsia="zh-CN" w:bidi="ar"/>
              </w:rPr>
              <w:t>JB/T 5320</w:t>
            </w:r>
            <w:r>
              <w:rPr>
                <w:rStyle w:val="22"/>
                <w:lang w:val="en-US" w:eastAsia="zh-CN" w:bidi="ar"/>
              </w:rPr>
              <w:t>的要求；</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5</w:t>
            </w:r>
            <w:r>
              <w:rPr>
                <w:rStyle w:val="22"/>
                <w:lang w:val="en-US" w:eastAsia="zh-CN" w:bidi="ar"/>
              </w:rPr>
              <w:t>、使用应符合下列要求：</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）使用处下方可能坠落范围半径范围内，不应堆放杂物；</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）登高操作人员不应携带重物进行高处作业；</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）在平台上作业时不应穿光滑硬底鞋，登高人员物品不应超载，并有监护人；</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）在平台上作业，不得往下抛掷材料、工具和其他物品。</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5</w:t>
            </w:r>
            <w:r>
              <w:rPr>
                <w:rStyle w:val="22"/>
                <w:lang w:val="en-US" w:eastAsia="zh-CN" w:bidi="ar"/>
              </w:rPr>
              <w:t>）移动平台操作时应放置稳固，并防止滑动，平台上有人时不应移位。</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不符合要求的，每处扣1分。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1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十七、空压机（站、水冷系统）</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、压力表、温度计、安全阀、油标等安全装置指示灵敏、刻度清晰、铅封完整；</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、超压、超温保护装置正常工作；</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、应设置齐全、可靠的防护罩或防护网，其安全距离应符合</w:t>
            </w:r>
            <w:r>
              <w:rPr>
                <w:rFonts w:hint="default" w:ascii="Times New Roman" w:hAnsi="Times New Roman" w:eastAsia="宋体" w:cs="Times New Roman"/>
                <w:i w:val="0"/>
                <w:color w:val="000000"/>
                <w:kern w:val="0"/>
                <w:sz w:val="24"/>
                <w:szCs w:val="24"/>
                <w:u w:val="none"/>
                <w:lang w:val="en-US" w:eastAsia="zh-CN" w:bidi="ar"/>
              </w:rPr>
              <w:t>GB/T 23821</w:t>
            </w:r>
            <w:r>
              <w:rPr>
                <w:rStyle w:val="22"/>
                <w:lang w:val="en-US" w:eastAsia="zh-CN" w:bidi="ar"/>
              </w:rPr>
              <w:t>的相关规定；</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、螺杆式空压机的门、盖应确保运行时不得开启或拆卸。活塞式空压机与储罐间的止回阀、冷却器、油水分离器、排空管应完好、有效；</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6</w:t>
            </w:r>
            <w:r>
              <w:rPr>
                <w:rStyle w:val="22"/>
                <w:lang w:val="en-US" w:eastAsia="zh-CN" w:bidi="ar"/>
              </w:rPr>
              <w:t>、冷却水系统应符合下列要求：</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）冷却塔风扇的防雷设施应可靠，并于</w:t>
            </w:r>
            <w:r>
              <w:rPr>
                <w:rFonts w:hint="default" w:ascii="Times New Roman" w:hAnsi="Times New Roman" w:eastAsia="宋体" w:cs="Times New Roman"/>
                <w:i w:val="0"/>
                <w:color w:val="000000"/>
                <w:kern w:val="0"/>
                <w:sz w:val="24"/>
                <w:szCs w:val="24"/>
                <w:u w:val="none"/>
                <w:lang w:val="en-US" w:eastAsia="zh-CN" w:bidi="ar"/>
              </w:rPr>
              <w:t>PE</w:t>
            </w:r>
            <w:r>
              <w:rPr>
                <w:rStyle w:val="22"/>
                <w:lang w:val="en-US" w:eastAsia="zh-CN" w:bidi="ar"/>
              </w:rPr>
              <w:t>线连接；</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）冷却水池四周防护栏应符合规范要求；</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）泵站、空压站（房）内不得积水、积油；冷却水管不得漏水；</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7</w:t>
            </w:r>
            <w:r>
              <w:rPr>
                <w:rStyle w:val="22"/>
                <w:lang w:val="en-US" w:eastAsia="zh-CN" w:bidi="ar"/>
              </w:rPr>
              <w:t>、空压站（房）周边不得存放易燃、易爆物品，不得进行喷漆和铝镁磨削等作业；其布局、设施、作业环境应符合</w:t>
            </w:r>
            <w:r>
              <w:rPr>
                <w:rFonts w:hint="default" w:ascii="Times New Roman" w:hAnsi="Times New Roman" w:eastAsia="宋体" w:cs="Times New Roman"/>
                <w:i w:val="0"/>
                <w:color w:val="000000"/>
                <w:kern w:val="0"/>
                <w:sz w:val="24"/>
                <w:szCs w:val="24"/>
                <w:u w:val="none"/>
                <w:lang w:val="en-US" w:eastAsia="zh-CN" w:bidi="ar"/>
              </w:rPr>
              <w:t>GB 50029</w:t>
            </w:r>
            <w:r>
              <w:rPr>
                <w:rStyle w:val="22"/>
                <w:lang w:val="en-US" w:eastAsia="zh-CN" w:bidi="ar"/>
              </w:rPr>
              <w:t>的规定。</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不符合要求的，每处扣1分。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83"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十八、输送机械</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、应设置齐全、可靠的防护罩或防护网，其安全距离应符合</w:t>
            </w:r>
            <w:r>
              <w:rPr>
                <w:rFonts w:hint="default" w:ascii="Times New Roman" w:hAnsi="Times New Roman" w:eastAsia="宋体" w:cs="Times New Roman"/>
                <w:i w:val="0"/>
                <w:color w:val="000000"/>
                <w:kern w:val="0"/>
                <w:sz w:val="24"/>
                <w:szCs w:val="24"/>
                <w:u w:val="none"/>
                <w:lang w:val="en-US" w:eastAsia="zh-CN" w:bidi="ar"/>
              </w:rPr>
              <w:t>GB/T 23821</w:t>
            </w:r>
            <w:r>
              <w:rPr>
                <w:rStyle w:val="22"/>
                <w:lang w:val="en-US" w:eastAsia="zh-CN" w:bidi="ar"/>
              </w:rPr>
              <w:t>的相关规定；</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、急停装置应符合下列要求：</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）机械化运输线上每隔</w:t>
            </w:r>
            <w:r>
              <w:rPr>
                <w:rFonts w:hint="default" w:ascii="Times New Roman" w:hAnsi="Times New Roman" w:eastAsia="宋体" w:cs="Times New Roman"/>
                <w:i w:val="0"/>
                <w:color w:val="000000"/>
                <w:kern w:val="0"/>
                <w:sz w:val="24"/>
                <w:szCs w:val="24"/>
                <w:u w:val="none"/>
                <w:lang w:val="en-US" w:eastAsia="zh-CN" w:bidi="ar"/>
              </w:rPr>
              <w:t>20000mm</w:t>
            </w:r>
            <w:r>
              <w:rPr>
                <w:rStyle w:val="22"/>
                <w:lang w:val="en-US" w:eastAsia="zh-CN" w:bidi="ar"/>
              </w:rPr>
              <w:t>长度范围内应至少设置一个急停开关；皮带输送机的人行一侧，应设置全程的拉绳急停开关；</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）操作工位、升降工段或转弯处应设置急停开关；</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）急停开关不应自动恢复，应采取手动复位；并符合</w:t>
            </w:r>
            <w:r>
              <w:rPr>
                <w:rFonts w:hint="default" w:ascii="Times New Roman" w:hAnsi="Times New Roman" w:eastAsia="宋体" w:cs="Times New Roman"/>
                <w:i w:val="0"/>
                <w:color w:val="000000"/>
                <w:kern w:val="0"/>
                <w:sz w:val="24"/>
                <w:szCs w:val="24"/>
                <w:u w:val="none"/>
                <w:lang w:val="en-US" w:eastAsia="zh-CN" w:bidi="ar"/>
              </w:rPr>
              <w:t>GB/T 16754</w:t>
            </w:r>
            <w:r>
              <w:rPr>
                <w:rStyle w:val="22"/>
                <w:lang w:val="en-US" w:eastAsia="zh-CN" w:bidi="ar"/>
              </w:rPr>
              <w:t>的相关规定；</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、安全防护装置应符合下列要求</w:t>
            </w:r>
            <w:r>
              <w:rPr>
                <w:rFonts w:hint="default"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）皮带输送机在两边应设置防跑偏挡轮</w:t>
            </w:r>
            <w:r>
              <w:rPr>
                <w:rFonts w:hint="default" w:ascii="Times New Roman" w:hAnsi="Times New Roman" w:eastAsia="宋体" w:cs="Times New Roman"/>
                <w:i w:val="0"/>
                <w:color w:val="000000"/>
                <w:kern w:val="0"/>
                <w:sz w:val="24"/>
                <w:szCs w:val="24"/>
                <w:u w:val="none"/>
                <w:lang w:val="en-US" w:eastAsia="zh-CN" w:bidi="ar"/>
              </w:rPr>
              <w:t>,</w:t>
            </w:r>
            <w:r>
              <w:rPr>
                <w:rStyle w:val="22"/>
                <w:lang w:val="en-US" w:eastAsia="zh-CN" w:bidi="ar"/>
              </w:rPr>
              <w:t>并运转灵活，销轴无窜动</w:t>
            </w:r>
            <w:r>
              <w:rPr>
                <w:rFonts w:hint="default" w:ascii="Times New Roman" w:hAnsi="Times New Roman" w:eastAsia="宋体" w:cs="Times New Roman"/>
                <w:i w:val="0"/>
                <w:color w:val="000000"/>
                <w:kern w:val="0"/>
                <w:sz w:val="24"/>
                <w:szCs w:val="24"/>
                <w:u w:val="none"/>
                <w:lang w:val="en-US" w:eastAsia="zh-CN" w:bidi="ar"/>
              </w:rPr>
              <w:t>;</w:t>
            </w:r>
            <w:r>
              <w:rPr>
                <w:rStyle w:val="22"/>
                <w:lang w:val="en-US" w:eastAsia="zh-CN" w:bidi="ar"/>
              </w:rPr>
              <w:t>主动端和被动端防护罩应齐全、有效</w:t>
            </w:r>
            <w:r>
              <w:rPr>
                <w:rFonts w:hint="default"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）垂直升降机的驱动装置中应设置过载保护装置</w:t>
            </w:r>
            <w:r>
              <w:rPr>
                <w:rFonts w:hint="default" w:ascii="Times New Roman" w:hAnsi="Times New Roman" w:eastAsia="宋体" w:cs="Times New Roman"/>
                <w:i w:val="0"/>
                <w:color w:val="000000"/>
                <w:kern w:val="0"/>
                <w:sz w:val="24"/>
                <w:szCs w:val="24"/>
                <w:u w:val="none"/>
                <w:lang w:val="en-US" w:eastAsia="zh-CN" w:bidi="ar"/>
              </w:rPr>
              <w:t>,</w:t>
            </w:r>
            <w:r>
              <w:rPr>
                <w:rStyle w:val="22"/>
                <w:lang w:val="en-US" w:eastAsia="zh-CN" w:bidi="ar"/>
              </w:rPr>
              <w:t>且运行可靠</w:t>
            </w:r>
            <w:r>
              <w:rPr>
                <w:rFonts w:hint="default"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）链式输送机上坡、下坡处应设置止退器或捕捉器，并运行可靠</w:t>
            </w:r>
            <w:r>
              <w:rPr>
                <w:rFonts w:hint="default"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）垂直升降机应设置上升、下降限位装置及止挡器，并设有防护栏，其门应设置联锁装置</w:t>
            </w:r>
            <w:r>
              <w:rPr>
                <w:rFonts w:hint="default"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5</w:t>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AGV</w:t>
            </w:r>
            <w:r>
              <w:rPr>
                <w:rStyle w:val="22"/>
                <w:lang w:val="en-US" w:eastAsia="zh-CN" w:bidi="ar"/>
              </w:rPr>
              <w:t>智能搬运小车的前端应装有接近探知器和接触缓冲器</w:t>
            </w:r>
            <w:r>
              <w:rPr>
                <w:rFonts w:hint="default" w:ascii="Times New Roman" w:hAnsi="Times New Roman" w:eastAsia="宋体" w:cs="Times New Roman"/>
                <w:i w:val="0"/>
                <w:color w:val="000000"/>
                <w:kern w:val="0"/>
                <w:sz w:val="24"/>
                <w:szCs w:val="24"/>
                <w:u w:val="none"/>
                <w:lang w:val="en-US" w:eastAsia="zh-CN" w:bidi="ar"/>
              </w:rPr>
              <w:t>,</w:t>
            </w:r>
            <w:r>
              <w:rPr>
                <w:rStyle w:val="22"/>
                <w:lang w:val="en-US" w:eastAsia="zh-CN" w:bidi="ar"/>
              </w:rPr>
              <w:t>并能控制自动导向车减速直到自动停止；</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、通道、梯台和防护网（栏）应符合下列要求：</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）输送机械下方的通道净空高度应大于</w:t>
            </w:r>
            <w:r>
              <w:rPr>
                <w:rFonts w:hint="default" w:ascii="Times New Roman" w:hAnsi="Times New Roman" w:eastAsia="宋体" w:cs="Times New Roman"/>
                <w:i w:val="0"/>
                <w:color w:val="000000"/>
                <w:kern w:val="0"/>
                <w:sz w:val="24"/>
                <w:szCs w:val="24"/>
                <w:u w:val="none"/>
                <w:lang w:val="en-US" w:eastAsia="zh-CN" w:bidi="ar"/>
              </w:rPr>
              <w:t>2000mm</w:t>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）输送机械上坡、下坡段或下面有人员通过的部位，应在输送机械的下面设置坚固的防护网（板）；输送机械穿越楼层而出现孔口时应设护栏，在人员能解禁的重锤张紧装置下方应设立防护栅（栏）；</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）人员需经常跨越输送机械的部位应设置人行过道（桥）；</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）工业梯台应符合表</w:t>
            </w:r>
            <w:r>
              <w:rPr>
                <w:rFonts w:hint="default" w:ascii="Times New Roman" w:hAnsi="Times New Roman" w:eastAsia="宋体" w:cs="Times New Roman"/>
                <w:i w:val="0"/>
                <w:color w:val="000000"/>
                <w:kern w:val="0"/>
                <w:sz w:val="24"/>
                <w:szCs w:val="24"/>
                <w:u w:val="none"/>
                <w:lang w:val="en-US" w:eastAsia="zh-CN" w:bidi="ar"/>
              </w:rPr>
              <w:t>C.23</w:t>
            </w:r>
            <w:r>
              <w:rPr>
                <w:rStyle w:val="22"/>
                <w:lang w:val="en-US" w:eastAsia="zh-CN" w:bidi="ar"/>
              </w:rPr>
              <w:t>的要求；防护护网（栏）的安全距离应符合</w:t>
            </w:r>
            <w:r>
              <w:rPr>
                <w:rFonts w:hint="default" w:ascii="Times New Roman" w:hAnsi="Times New Roman" w:eastAsia="宋体" w:cs="Times New Roman"/>
                <w:i w:val="0"/>
                <w:color w:val="000000"/>
                <w:kern w:val="0"/>
                <w:sz w:val="24"/>
                <w:szCs w:val="24"/>
                <w:u w:val="none"/>
                <w:lang w:val="en-US" w:eastAsia="zh-CN" w:bidi="ar"/>
              </w:rPr>
              <w:t>GB/T 23821</w:t>
            </w:r>
            <w:r>
              <w:rPr>
                <w:rStyle w:val="22"/>
                <w:lang w:val="en-US" w:eastAsia="zh-CN" w:bidi="ar"/>
              </w:rPr>
              <w:t>相关规定。</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5</w:t>
            </w:r>
            <w:r>
              <w:rPr>
                <w:rStyle w:val="22"/>
                <w:lang w:val="en-US" w:eastAsia="zh-CN" w:bidi="ar"/>
              </w:rPr>
              <w:t>、启动和停止装置应设置明显的安全标志和警示信号。</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不符合要求的，每处扣1分。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45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十九、变配电、电气线路和防雷系统</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、变配电系统：</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）变配电设备设施应符合</w:t>
            </w:r>
            <w:r>
              <w:rPr>
                <w:rFonts w:hint="default" w:ascii="Times New Roman" w:hAnsi="Times New Roman" w:eastAsia="宋体" w:cs="Times New Roman"/>
                <w:i w:val="0"/>
                <w:color w:val="000000"/>
                <w:kern w:val="0"/>
                <w:sz w:val="24"/>
                <w:szCs w:val="24"/>
                <w:u w:val="none"/>
                <w:lang w:val="en-US" w:eastAsia="zh-CN" w:bidi="ar"/>
              </w:rPr>
              <w:t>GB 50053</w:t>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GB 50059</w:t>
            </w:r>
            <w:r>
              <w:rPr>
                <w:rStyle w:val="22"/>
                <w:lang w:val="en-US" w:eastAsia="zh-CN" w:bidi="ar"/>
              </w:rPr>
              <w:t>的要求；</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）及时更新和保存高压供电系统图、高压和低压电力配电图及继电保护控制图；</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）安全用具和防护用品检测周期按</w:t>
            </w:r>
            <w:r>
              <w:rPr>
                <w:rFonts w:hint="default" w:ascii="Times New Roman" w:hAnsi="Times New Roman" w:eastAsia="宋体" w:cs="Times New Roman"/>
                <w:i w:val="0"/>
                <w:color w:val="000000"/>
                <w:kern w:val="0"/>
                <w:sz w:val="24"/>
                <w:szCs w:val="24"/>
                <w:u w:val="none"/>
                <w:lang w:val="en-US" w:eastAsia="zh-CN" w:bidi="ar"/>
              </w:rPr>
              <w:t>GB/T 18269</w:t>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DL/T 1476</w:t>
            </w:r>
            <w:r>
              <w:rPr>
                <w:rStyle w:val="22"/>
                <w:lang w:val="en-US" w:eastAsia="zh-CN" w:bidi="ar"/>
              </w:rPr>
              <w:t>执行；其中绝缘手套、绝缘靴、高压验电器每半年由供电部门或其指定的具有资质的单位进行一次检验，保存记录；</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、固定电气线路：</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）配电线路应符合</w:t>
            </w:r>
            <w:r>
              <w:rPr>
                <w:rFonts w:hint="default" w:ascii="Times New Roman" w:hAnsi="Times New Roman" w:eastAsia="宋体" w:cs="Times New Roman"/>
                <w:i w:val="0"/>
                <w:color w:val="000000"/>
                <w:kern w:val="0"/>
                <w:sz w:val="24"/>
                <w:szCs w:val="24"/>
                <w:u w:val="none"/>
                <w:lang w:val="en-US" w:eastAsia="zh-CN" w:bidi="ar"/>
              </w:rPr>
              <w:t>GB 50052</w:t>
            </w:r>
            <w:r>
              <w:rPr>
                <w:rStyle w:val="22"/>
                <w:lang w:val="en-US" w:eastAsia="zh-CN" w:bidi="ar"/>
              </w:rPr>
              <w:t>和</w:t>
            </w:r>
            <w:r>
              <w:rPr>
                <w:rFonts w:hint="default" w:ascii="Times New Roman" w:hAnsi="Times New Roman" w:eastAsia="宋体" w:cs="Times New Roman"/>
                <w:i w:val="0"/>
                <w:color w:val="000000"/>
                <w:kern w:val="0"/>
                <w:sz w:val="24"/>
                <w:szCs w:val="24"/>
                <w:u w:val="none"/>
                <w:lang w:val="en-US" w:eastAsia="zh-CN" w:bidi="ar"/>
              </w:rPr>
              <w:t>GB 50054</w:t>
            </w:r>
            <w:r>
              <w:rPr>
                <w:rStyle w:val="22"/>
                <w:lang w:val="en-US" w:eastAsia="zh-CN" w:bidi="ar"/>
              </w:rPr>
              <w:t>的要求，电缆桥架安装和桥架内电缆敷设应符合</w:t>
            </w:r>
            <w:r>
              <w:rPr>
                <w:rFonts w:hint="default" w:ascii="Times New Roman" w:hAnsi="Times New Roman" w:eastAsia="宋体" w:cs="Times New Roman"/>
                <w:i w:val="0"/>
                <w:color w:val="000000"/>
                <w:kern w:val="0"/>
                <w:sz w:val="24"/>
                <w:szCs w:val="24"/>
                <w:u w:val="none"/>
                <w:lang w:val="en-US" w:eastAsia="zh-CN" w:bidi="ar"/>
              </w:rPr>
              <w:t>GB 50303</w:t>
            </w:r>
            <w:r>
              <w:rPr>
                <w:rStyle w:val="22"/>
                <w:lang w:val="en-US" w:eastAsia="zh-CN" w:bidi="ar"/>
              </w:rPr>
              <w:t>的要求；</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）设备和照明线路、电网接地系统应符合</w:t>
            </w:r>
            <w:r>
              <w:rPr>
                <w:rFonts w:hint="default" w:ascii="Times New Roman" w:hAnsi="Times New Roman" w:eastAsia="宋体" w:cs="Times New Roman"/>
                <w:i w:val="0"/>
                <w:color w:val="000000"/>
                <w:kern w:val="0"/>
                <w:sz w:val="24"/>
                <w:szCs w:val="24"/>
                <w:u w:val="none"/>
                <w:lang w:val="en-US" w:eastAsia="zh-CN" w:bidi="ar"/>
              </w:rPr>
              <w:t>GB 5226.1</w:t>
            </w:r>
            <w:r>
              <w:rPr>
                <w:rStyle w:val="22"/>
                <w:lang w:val="en-US" w:eastAsia="zh-CN" w:bidi="ar"/>
              </w:rPr>
              <w:t>的要求，照明应符合</w:t>
            </w:r>
            <w:r>
              <w:rPr>
                <w:rFonts w:hint="default" w:ascii="Times New Roman" w:hAnsi="Times New Roman" w:eastAsia="宋体" w:cs="Times New Roman"/>
                <w:i w:val="0"/>
                <w:color w:val="000000"/>
                <w:kern w:val="0"/>
                <w:sz w:val="24"/>
                <w:szCs w:val="24"/>
                <w:u w:val="none"/>
                <w:lang w:val="en-US" w:eastAsia="zh-CN" w:bidi="ar"/>
              </w:rPr>
              <w:t>GB 50033</w:t>
            </w:r>
            <w:r>
              <w:rPr>
                <w:rStyle w:val="22"/>
                <w:lang w:val="en-US" w:eastAsia="zh-CN" w:bidi="ar"/>
              </w:rPr>
              <w:t>和</w:t>
            </w:r>
            <w:r>
              <w:rPr>
                <w:rFonts w:hint="default" w:ascii="Times New Roman" w:hAnsi="Times New Roman" w:eastAsia="宋体" w:cs="Times New Roman"/>
                <w:i w:val="0"/>
                <w:color w:val="000000"/>
                <w:kern w:val="0"/>
                <w:sz w:val="24"/>
                <w:szCs w:val="24"/>
                <w:u w:val="none"/>
                <w:lang w:val="en-US" w:eastAsia="zh-CN" w:bidi="ar"/>
              </w:rPr>
              <w:t>GB 50034</w:t>
            </w:r>
            <w:r>
              <w:rPr>
                <w:rStyle w:val="22"/>
                <w:lang w:val="en-US" w:eastAsia="zh-CN" w:bidi="ar"/>
              </w:rPr>
              <w:t>的要求；</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）定期进行电缆线路的预防性实验记录；</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）电线电缆的识别标志方法应符合</w:t>
            </w:r>
            <w:r>
              <w:rPr>
                <w:rFonts w:hint="default" w:ascii="Times New Roman" w:hAnsi="Times New Roman" w:eastAsia="宋体" w:cs="Times New Roman"/>
                <w:i w:val="0"/>
                <w:color w:val="000000"/>
                <w:kern w:val="0"/>
                <w:sz w:val="24"/>
                <w:szCs w:val="24"/>
                <w:u w:val="none"/>
                <w:lang w:val="en-US" w:eastAsia="zh-CN" w:bidi="ar"/>
              </w:rPr>
              <w:t>GB/T 6995</w:t>
            </w:r>
            <w:r>
              <w:rPr>
                <w:rStyle w:val="22"/>
                <w:lang w:val="en-US" w:eastAsia="zh-CN" w:bidi="ar"/>
              </w:rPr>
              <w:t>的要求；</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、临时低压电气线路：审批手续和监督检查应符合企业临时用电作业相关规定；</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、配电箱（柜、板）：</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）易燃易爆气体的危险作业场所应采用防爆型的配电箱（柜、板），选用的产品应符合</w:t>
            </w:r>
            <w:r>
              <w:rPr>
                <w:rFonts w:hint="default" w:ascii="Times New Roman" w:hAnsi="Times New Roman" w:eastAsia="宋体" w:cs="Times New Roman"/>
                <w:i w:val="0"/>
                <w:color w:val="000000"/>
                <w:kern w:val="0"/>
                <w:sz w:val="24"/>
                <w:szCs w:val="24"/>
                <w:u w:val="none"/>
                <w:lang w:val="en-US" w:eastAsia="zh-CN" w:bidi="ar"/>
              </w:rPr>
              <w:t>GB3836.1</w:t>
            </w:r>
            <w:r>
              <w:rPr>
                <w:rStyle w:val="22"/>
                <w:lang w:val="en-US" w:eastAsia="zh-CN" w:bidi="ar"/>
              </w:rPr>
              <w:t>的要求；</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）粉尘、潮湿或露天、腐蚀性环境中的配电箱（柜、板），其外壳防护等级应符合</w:t>
            </w:r>
            <w:r>
              <w:rPr>
                <w:rFonts w:hint="default" w:ascii="Times New Roman" w:hAnsi="Times New Roman" w:eastAsia="宋体" w:cs="Times New Roman"/>
                <w:i w:val="0"/>
                <w:color w:val="000000"/>
                <w:kern w:val="0"/>
                <w:sz w:val="24"/>
                <w:szCs w:val="24"/>
                <w:u w:val="none"/>
                <w:lang w:val="en-US" w:eastAsia="zh-CN" w:bidi="ar"/>
              </w:rPr>
              <w:t>GB 4208</w:t>
            </w:r>
            <w:r>
              <w:rPr>
                <w:rStyle w:val="22"/>
                <w:lang w:val="en-US" w:eastAsia="zh-CN" w:bidi="ar"/>
              </w:rPr>
              <w:t>的</w:t>
            </w:r>
            <w:r>
              <w:rPr>
                <w:rFonts w:hint="default" w:ascii="Times New Roman" w:hAnsi="Times New Roman" w:eastAsia="宋体" w:cs="Times New Roman"/>
                <w:i w:val="0"/>
                <w:color w:val="000000"/>
                <w:kern w:val="0"/>
                <w:sz w:val="24"/>
                <w:szCs w:val="24"/>
                <w:u w:val="none"/>
                <w:lang w:val="en-US" w:eastAsia="zh-CN" w:bidi="ar"/>
              </w:rPr>
              <w:t>IP</w:t>
            </w:r>
            <w:r>
              <w:rPr>
                <w:rStyle w:val="22"/>
                <w:lang w:val="en-US" w:eastAsia="zh-CN" w:bidi="ar"/>
              </w:rPr>
              <w:t>代码要求；</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）配电柜、箱、板应标识所控对象的名称、编号等，且与实际相符合；配电柜应有、配电箱宜有单线系统图，标明进出线路、电器装置的型号、规格、保护电气装置整定值等；</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5</w:t>
            </w:r>
            <w:r>
              <w:rPr>
                <w:rStyle w:val="22"/>
                <w:lang w:val="en-US" w:eastAsia="zh-CN" w:bidi="ar"/>
              </w:rPr>
              <w:t>、发电机：</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）设置用发电机房。</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）自备发电机不应与供电网联接，并可靠接地；</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）柴油发电机的环境温度及柴油机的运行温度定子不得超过</w:t>
            </w:r>
            <w:r>
              <w:rPr>
                <w:rFonts w:hint="default" w:ascii="Times New Roman" w:hAnsi="Times New Roman" w:eastAsia="宋体" w:cs="Times New Roman"/>
                <w:i w:val="0"/>
                <w:color w:val="000000"/>
                <w:kern w:val="0"/>
                <w:sz w:val="24"/>
                <w:szCs w:val="24"/>
                <w:u w:val="none"/>
                <w:lang w:val="en-US" w:eastAsia="zh-CN" w:bidi="ar"/>
              </w:rPr>
              <w:t>75℃</w:t>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E</w:t>
            </w:r>
            <w:r>
              <w:rPr>
                <w:rStyle w:val="22"/>
                <w:lang w:val="en-US" w:eastAsia="zh-CN" w:bidi="ar"/>
              </w:rPr>
              <w:t>级）、转子不得超过</w:t>
            </w:r>
            <w:r>
              <w:rPr>
                <w:rFonts w:hint="default" w:ascii="Times New Roman" w:hAnsi="Times New Roman" w:eastAsia="宋体" w:cs="Times New Roman"/>
                <w:i w:val="0"/>
                <w:color w:val="000000"/>
                <w:kern w:val="0"/>
                <w:sz w:val="24"/>
                <w:szCs w:val="24"/>
                <w:u w:val="none"/>
                <w:lang w:val="en-US" w:eastAsia="zh-CN" w:bidi="ar"/>
              </w:rPr>
              <w:t>80℃</w:t>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B</w:t>
            </w:r>
            <w:r>
              <w:rPr>
                <w:rStyle w:val="22"/>
                <w:lang w:val="en-US" w:eastAsia="zh-CN" w:bidi="ar"/>
              </w:rPr>
              <w:t>级）；</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6</w:t>
            </w:r>
            <w:r>
              <w:rPr>
                <w:rStyle w:val="22"/>
                <w:lang w:val="en-US" w:eastAsia="zh-CN" w:bidi="ar"/>
              </w:rPr>
              <w:t>、防雷系统：防雷装置的安装、管理、检测应符合</w:t>
            </w:r>
            <w:r>
              <w:rPr>
                <w:rFonts w:hint="default" w:ascii="Times New Roman" w:hAnsi="Times New Roman" w:eastAsia="宋体" w:cs="Times New Roman"/>
                <w:i w:val="0"/>
                <w:color w:val="000000"/>
                <w:kern w:val="0"/>
                <w:sz w:val="24"/>
                <w:szCs w:val="24"/>
                <w:u w:val="none"/>
                <w:lang w:val="en-US" w:eastAsia="zh-CN" w:bidi="ar"/>
              </w:rPr>
              <w:t>GB 50057</w:t>
            </w:r>
            <w:r>
              <w:rPr>
                <w:rStyle w:val="22"/>
                <w:lang w:val="en-US" w:eastAsia="zh-CN" w:bidi="ar"/>
              </w:rPr>
              <w:t>的要求。</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不符合要求的，每处扣1分。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查资料：相关记录。</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172"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二十、危险化学品储存设施</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、危险化学品仓库</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甲类危险化学品仓库应为单层建筑，有爆炸危险的仓库或仓库内有爆炸危险的部位宜采取防爆措施、设置泄压设施。员工宿舍严禁设置在仓库内；办公室、休息室严禁设置在甲、乙类危险化学品仓库内，也不应贴邻；</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）危险化学品仓库应按储存物品的相关危险特性，设置防腐、防泄漏、通风设施、防止液体流散、防止水浸渍、遮光等设施；</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）同一库房内隔离储存的危险化学品应设置明显的标志，危险化学品包装上应有符合国家标准的化学品安全标签；</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）危险化学品仓库的耐火等级、层数、面积、平面布置、安全疏散、泄压设施和防火间距等应当符合《常用化学危险品贮存通则》（</w:t>
            </w:r>
            <w:r>
              <w:rPr>
                <w:rFonts w:hint="default" w:ascii="Times New Roman" w:hAnsi="Times New Roman" w:eastAsia="宋体" w:cs="Times New Roman"/>
                <w:i w:val="0"/>
                <w:color w:val="000000"/>
                <w:kern w:val="0"/>
                <w:sz w:val="24"/>
                <w:szCs w:val="24"/>
                <w:u w:val="none"/>
                <w:lang w:val="en-US" w:eastAsia="zh-CN" w:bidi="ar"/>
              </w:rPr>
              <w:t>GB15603</w:t>
            </w:r>
            <w:r>
              <w:rPr>
                <w:rStyle w:val="22"/>
                <w:lang w:val="en-US" w:eastAsia="zh-CN" w:bidi="ar"/>
              </w:rPr>
              <w:t>）、《建筑防火通用规范》（</w:t>
            </w:r>
            <w:r>
              <w:rPr>
                <w:rFonts w:hint="default" w:ascii="Times New Roman" w:hAnsi="Times New Roman" w:eastAsia="宋体" w:cs="Times New Roman"/>
                <w:i w:val="0"/>
                <w:color w:val="000000"/>
                <w:kern w:val="0"/>
                <w:sz w:val="24"/>
                <w:szCs w:val="24"/>
                <w:u w:val="none"/>
                <w:lang w:val="en-US" w:eastAsia="zh-CN" w:bidi="ar"/>
              </w:rPr>
              <w:t>GB55037</w:t>
            </w:r>
            <w:r>
              <w:rPr>
                <w:rStyle w:val="22"/>
                <w:lang w:val="en-US" w:eastAsia="zh-CN" w:bidi="ar"/>
              </w:rPr>
              <w:t>）、《建筑设计防火规范》（</w:t>
            </w:r>
            <w:r>
              <w:rPr>
                <w:rFonts w:hint="default" w:ascii="Times New Roman" w:hAnsi="Times New Roman" w:eastAsia="宋体" w:cs="Times New Roman"/>
                <w:i w:val="0"/>
                <w:color w:val="000000"/>
                <w:kern w:val="0"/>
                <w:sz w:val="24"/>
                <w:szCs w:val="24"/>
                <w:u w:val="none"/>
                <w:lang w:val="en-US" w:eastAsia="zh-CN" w:bidi="ar"/>
              </w:rPr>
              <w:t>GB50016</w:t>
            </w:r>
            <w:r>
              <w:rPr>
                <w:rStyle w:val="22"/>
                <w:lang w:val="en-US" w:eastAsia="zh-CN" w:bidi="ar"/>
              </w:rPr>
              <w:t>）的规定。</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、中间储存仓库（为满足日常连续生产需要，在厂房内周转存放危险化学品的场所）</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）应按储存物品的相关危险特性，设置防腐、防泄漏、通风设施、防止液体流散、防止水浸渍、遮光等设施；</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）甲、乙、丙类中间储存仓库应当采用防火等级符合要求的防火墙和不燃性楼板与其他部位分隔；</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）厂房内设置中间储存仓库时，甲、乙类中间储存仓库应靠外墙布置，企业应综合考虑储存风险与厂房内生产风险叠加、明确总储量要求。</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、专用储存柜</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专用储存柜应设置在相对固定、独立、通风良好的场地。周边无明火、散发火花地点、表面炽热设备，不应在附近堆放物料。易燃易爆危险化学品储存柜柜体应静电接地良好。专用储存柜内存放的危险化学品包装上应有化学品安全标签；</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具有防爆功能的储存柜还应满足：柜体耐火等级、安全泄压、防腐防渗等要求；监测监控报警系统应具有温（湿）度监测、温（烟）感探测、气体浓度探测、声光报警、监控摄像等功能；控制系统应具有调节温（湿）度、实现机械通风等功能；电气系统应具有配电、灯光照明、应急供电、接地等功能。</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、储罐</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）甲、乙、丙类液体的地上式、半地下式储罐或储罐组应按照《储罐区防火堤设计规范》（</w:t>
            </w:r>
            <w:r>
              <w:rPr>
                <w:rFonts w:hint="default" w:ascii="Times New Roman" w:hAnsi="Times New Roman" w:eastAsia="宋体" w:cs="Times New Roman"/>
                <w:i w:val="0"/>
                <w:color w:val="000000"/>
                <w:kern w:val="0"/>
                <w:sz w:val="24"/>
                <w:szCs w:val="24"/>
                <w:u w:val="none"/>
                <w:lang w:val="en-US" w:eastAsia="zh-CN" w:bidi="ar"/>
              </w:rPr>
              <w:t>GB50351</w:t>
            </w:r>
            <w:r>
              <w:rPr>
                <w:rStyle w:val="22"/>
                <w:lang w:val="en-US" w:eastAsia="zh-CN" w:bidi="ar"/>
              </w:rPr>
              <w:t>）在其四周设置不燃性防火堤。液化石油气储罐组或储罐区应设置实体防护墙、液氧储罐周边不应有可燃物；</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）进出储罐区的管线、电缆应从防火堤顶部跨越或从地面以下穿过，当必须穿过防火堤时，应加套管并采用不燃材料严密封堵；</w:t>
            </w:r>
            <w:r>
              <w:rPr>
                <w:rFonts w:hint="default" w:ascii="Times New Roman" w:hAnsi="Times New Roman" w:eastAsia="宋体" w:cs="Times New Roman"/>
                <w:i w:val="0"/>
                <w:color w:val="000000"/>
                <w:kern w:val="0"/>
                <w:sz w:val="24"/>
                <w:szCs w:val="24"/>
                <w:u w:val="non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）液化天然气（</w:t>
            </w:r>
            <w:r>
              <w:rPr>
                <w:rFonts w:hint="default" w:ascii="Times New Roman" w:hAnsi="Times New Roman" w:eastAsia="宋体" w:cs="Times New Roman"/>
                <w:i w:val="0"/>
                <w:color w:val="000000"/>
                <w:kern w:val="0"/>
                <w:sz w:val="24"/>
                <w:szCs w:val="24"/>
                <w:u w:val="none"/>
                <w:lang w:val="en-US" w:eastAsia="zh-CN" w:bidi="ar"/>
              </w:rPr>
              <w:t>LNG</w:t>
            </w:r>
            <w:r>
              <w:rPr>
                <w:rStyle w:val="22"/>
                <w:lang w:val="en-US" w:eastAsia="zh-CN" w:bidi="ar"/>
              </w:rPr>
              <w:t>）、液化石油气（</w:t>
            </w:r>
            <w:r>
              <w:rPr>
                <w:rFonts w:hint="default" w:ascii="Times New Roman" w:hAnsi="Times New Roman" w:eastAsia="宋体" w:cs="Times New Roman"/>
                <w:i w:val="0"/>
                <w:color w:val="000000"/>
                <w:kern w:val="0"/>
                <w:sz w:val="24"/>
                <w:szCs w:val="24"/>
                <w:u w:val="none"/>
                <w:lang w:val="en-US" w:eastAsia="zh-CN" w:bidi="ar"/>
              </w:rPr>
              <w:t>LPG</w:t>
            </w:r>
            <w:r>
              <w:rPr>
                <w:rStyle w:val="22"/>
                <w:lang w:val="en-US" w:eastAsia="zh-CN" w:bidi="ar"/>
              </w:rPr>
              <w:t>）、液氧、液氮等低温液体储槽外筒体出现大面积结露或结霜时，应立即停用，可靠切断储槽与外部连接的管道后进行查漏；</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）应设置温度、压力、液位等重点参数的监测和显示；</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5</w:t>
            </w:r>
            <w:r>
              <w:rPr>
                <w:rStyle w:val="22"/>
                <w:lang w:val="en-US" w:eastAsia="zh-CN" w:bidi="ar"/>
              </w:rPr>
              <w:t>）厂房内设置丙类液体中间储罐应当设置在单独房间内，应综合考虑储存风险与厂房内生产风险叠加、明确总储量要求。</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不符合要求的，每处扣1分。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查资料：相关记录。</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二十一、库区和堆场：</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、库区物品的储存、堆放和装卸应满足</w:t>
            </w:r>
            <w:r>
              <w:rPr>
                <w:rFonts w:hint="default" w:ascii="Times New Roman" w:hAnsi="Times New Roman" w:eastAsia="宋体" w:cs="Times New Roman"/>
                <w:i w:val="0"/>
                <w:color w:val="000000"/>
                <w:kern w:val="0"/>
                <w:sz w:val="24"/>
                <w:szCs w:val="24"/>
                <w:u w:val="none"/>
                <w:lang w:val="en-US" w:eastAsia="zh-CN" w:bidi="ar"/>
              </w:rPr>
              <w:t>XF 1131</w:t>
            </w:r>
            <w:r>
              <w:rPr>
                <w:rStyle w:val="22"/>
                <w:lang w:val="en-US" w:eastAsia="zh-CN" w:bidi="ar"/>
              </w:rPr>
              <w:t>的要求；</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、在同一堆场内，露天堆垛和罩棚应各自成区布置，不能相互混合布置；总储存量以及与其他建筑物、铁路、道路、架空电力线的防火间距应符合</w:t>
            </w:r>
            <w:r>
              <w:rPr>
                <w:rFonts w:hint="default" w:ascii="Times New Roman" w:hAnsi="Times New Roman" w:eastAsia="宋体" w:cs="Times New Roman"/>
                <w:i w:val="0"/>
                <w:color w:val="000000"/>
                <w:kern w:val="0"/>
                <w:sz w:val="24"/>
                <w:szCs w:val="24"/>
                <w:u w:val="none"/>
                <w:lang w:val="en-US" w:eastAsia="zh-CN" w:bidi="ar"/>
              </w:rPr>
              <w:t>GB 50016</w:t>
            </w:r>
            <w:r>
              <w:rPr>
                <w:rStyle w:val="22"/>
                <w:lang w:val="en-US" w:eastAsia="zh-CN" w:bidi="ar"/>
              </w:rPr>
              <w:t>的要求；</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、库内的办公场所应符合</w:t>
            </w:r>
            <w:r>
              <w:rPr>
                <w:rFonts w:hint="default" w:ascii="Times New Roman" w:hAnsi="Times New Roman" w:eastAsia="宋体" w:cs="Times New Roman"/>
                <w:i w:val="0"/>
                <w:color w:val="000000"/>
                <w:kern w:val="0"/>
                <w:sz w:val="24"/>
                <w:szCs w:val="24"/>
                <w:u w:val="none"/>
                <w:lang w:val="en-US" w:eastAsia="zh-CN" w:bidi="ar"/>
              </w:rPr>
              <w:t>GB 50016</w:t>
            </w:r>
            <w:r>
              <w:rPr>
                <w:rStyle w:val="22"/>
                <w:lang w:val="en-US" w:eastAsia="zh-CN" w:bidi="ar"/>
              </w:rPr>
              <w:t>的要求。</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不符合要求的，每处扣1分。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二十二、油库、油罐</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、应保存下列资料：油罐设计资料、导除静电接地布置图及验收和定期测试记录、防雷设计及定期检测报告；</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、油库布置、油桶堆码、库房（区）防爆、消防设施应符合</w:t>
            </w:r>
            <w:r>
              <w:rPr>
                <w:rFonts w:hint="default" w:ascii="Times New Roman" w:hAnsi="Times New Roman" w:eastAsia="宋体" w:cs="Times New Roman"/>
                <w:i w:val="0"/>
                <w:color w:val="000000"/>
                <w:kern w:val="0"/>
                <w:sz w:val="24"/>
                <w:szCs w:val="24"/>
                <w:u w:val="none"/>
                <w:lang w:val="en-US" w:eastAsia="zh-CN" w:bidi="ar"/>
              </w:rPr>
              <w:t>GB 50074</w:t>
            </w:r>
            <w:r>
              <w:rPr>
                <w:rStyle w:val="22"/>
                <w:lang w:val="en-US" w:eastAsia="zh-CN" w:bidi="ar"/>
              </w:rPr>
              <w:t>的要求；</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、采用卧式罐应有足够的强度，并设有良好的防腐和导除静电措施。</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、油罐的安全防护装置应符合下列要求：</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）油罐设有高液位报警功能的液位计；</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）油罐的通气管管口应高出建筑物顶</w:t>
            </w:r>
            <w:r>
              <w:rPr>
                <w:rFonts w:hint="default" w:ascii="Times New Roman" w:hAnsi="Times New Roman" w:eastAsia="宋体" w:cs="Times New Roman"/>
                <w:i w:val="0"/>
                <w:color w:val="000000"/>
                <w:kern w:val="0"/>
                <w:sz w:val="24"/>
                <w:szCs w:val="24"/>
                <w:u w:val="none"/>
                <w:lang w:val="en-US" w:eastAsia="zh-CN" w:bidi="ar"/>
              </w:rPr>
              <w:t>1500mm</w:t>
            </w:r>
            <w:r>
              <w:rPr>
                <w:rStyle w:val="22"/>
                <w:lang w:val="en-US" w:eastAsia="zh-CN" w:bidi="ar"/>
              </w:rPr>
              <w:t>以上，并安装阻火器，汽油通气管口应设置呼吸阀，连接法兰应安装跨接线。</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5</w:t>
            </w:r>
            <w:r>
              <w:rPr>
                <w:rStyle w:val="22"/>
                <w:lang w:val="en-US" w:eastAsia="zh-CN" w:bidi="ar"/>
              </w:rPr>
              <w:t>、撬装式加油装置应符合</w:t>
            </w:r>
            <w:r>
              <w:rPr>
                <w:rFonts w:hint="default" w:ascii="Times New Roman" w:hAnsi="Times New Roman" w:eastAsia="宋体" w:cs="Times New Roman"/>
                <w:i w:val="0"/>
                <w:color w:val="000000"/>
                <w:kern w:val="0"/>
                <w:sz w:val="24"/>
                <w:szCs w:val="24"/>
                <w:u w:val="none"/>
                <w:lang w:val="en-US" w:eastAsia="zh-CN" w:bidi="ar"/>
              </w:rPr>
              <w:t>AQ/T 3002</w:t>
            </w:r>
            <w:r>
              <w:rPr>
                <w:rStyle w:val="22"/>
                <w:lang w:val="en-US" w:eastAsia="zh-CN" w:bidi="ar"/>
              </w:rPr>
              <w:t>的要求。</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6</w:t>
            </w:r>
            <w:r>
              <w:rPr>
                <w:rStyle w:val="22"/>
                <w:lang w:val="en-US" w:eastAsia="zh-CN" w:bidi="ar"/>
              </w:rPr>
              <w:t>、严禁电动车进入库区。</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不符合要求的，每处扣1分。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查资料：相关记录。</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98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二十三、安全防护罩、网和防护栏</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、安全防护罩、网和防护栏应符合</w:t>
            </w:r>
            <w:r>
              <w:rPr>
                <w:rFonts w:hint="default" w:ascii="Times New Roman" w:hAnsi="Times New Roman" w:eastAsia="宋体" w:cs="Times New Roman"/>
                <w:i w:val="0"/>
                <w:color w:val="000000"/>
                <w:kern w:val="0"/>
                <w:sz w:val="24"/>
                <w:szCs w:val="24"/>
                <w:u w:val="none"/>
                <w:lang w:val="en-US" w:eastAsia="zh-CN" w:bidi="ar"/>
              </w:rPr>
              <w:t>GB/T 8196</w:t>
            </w:r>
            <w:r>
              <w:rPr>
                <w:rStyle w:val="22"/>
                <w:lang w:val="en-US" w:eastAsia="zh-CN" w:bidi="ar"/>
              </w:rPr>
              <w:t>的要求，其中：</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）传动部位应按照如下情况，设置防护罩、盖或栏：</w:t>
            </w:r>
            <w:r>
              <w:rPr>
                <w:rFonts w:hint="default" w:ascii="Times New Roman" w:hAnsi="Times New Roman" w:eastAsia="宋体" w:cs="Times New Roman"/>
                <w:i w:val="0"/>
                <w:color w:val="000000"/>
                <w:kern w:val="0"/>
                <w:sz w:val="24"/>
                <w:szCs w:val="24"/>
                <w:u w:val="non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①以操纵人员站立平面为基准，高度在</w:t>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米以下的外露传动部位；</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②旋转的键、销、楔等突出大于</w:t>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毫米的部位；</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③产生切屑、磨屑、冷却液等飞溅，可能触及人体或造成设备与环境污染的部位；</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④产生射线或弧光的部位；</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⑤伸入通道的超长工件；</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⑥超长设备后端</w:t>
            </w:r>
            <w:r>
              <w:rPr>
                <w:rFonts w:hint="default" w:ascii="Times New Roman" w:hAnsi="Times New Roman" w:eastAsia="宋体" w:cs="Times New Roman"/>
                <w:i w:val="0"/>
                <w:color w:val="000000"/>
                <w:kern w:val="0"/>
                <w:sz w:val="24"/>
                <w:szCs w:val="24"/>
                <w:u w:val="none"/>
                <w:lang w:val="en-US" w:eastAsia="zh-CN" w:bidi="ar"/>
              </w:rPr>
              <w:t>300</w:t>
            </w:r>
            <w:r>
              <w:rPr>
                <w:rStyle w:val="22"/>
                <w:lang w:val="en-US" w:eastAsia="zh-CN" w:bidi="ar"/>
              </w:rPr>
              <w:t>毫米以上的工件；</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⑦容易伤人的设备往复运动部位；</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⑧悬挂输送装置跨越通道的下部；</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⑨高于地面</w:t>
            </w:r>
            <w:r>
              <w:rPr>
                <w:rFonts w:hint="default" w:ascii="Times New Roman" w:hAnsi="Times New Roman" w:eastAsia="宋体" w:cs="Times New Roman"/>
                <w:i w:val="0"/>
                <w:color w:val="000000"/>
                <w:kern w:val="0"/>
                <w:sz w:val="24"/>
                <w:szCs w:val="24"/>
                <w:u w:val="none"/>
                <w:lang w:val="en-US" w:eastAsia="zh-CN" w:bidi="ar"/>
              </w:rPr>
              <w:t>0.7</w:t>
            </w:r>
            <w:r>
              <w:rPr>
                <w:rStyle w:val="22"/>
                <w:lang w:val="en-US" w:eastAsia="zh-CN" w:bidi="ar"/>
              </w:rPr>
              <w:t>米的操作平台。</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）防护网、罩等材质有足够的强度和刚度，无明显的锈蚀或变形；安装应牢固，工作时不应与可动部件有接触或产生摩擦，机械运转时防护装置无振动或松动。</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、钢直梯护笼的笼箍和立杆应满足</w:t>
            </w:r>
            <w:r>
              <w:rPr>
                <w:rFonts w:hint="default" w:ascii="Times New Roman" w:hAnsi="Times New Roman" w:eastAsia="宋体" w:cs="Times New Roman"/>
                <w:i w:val="0"/>
                <w:color w:val="000000"/>
                <w:kern w:val="0"/>
                <w:sz w:val="24"/>
                <w:szCs w:val="24"/>
                <w:u w:val="none"/>
                <w:lang w:val="en-US" w:eastAsia="zh-CN" w:bidi="ar"/>
              </w:rPr>
              <w:t>GB 4053.1</w:t>
            </w:r>
            <w:r>
              <w:rPr>
                <w:rStyle w:val="22"/>
                <w:lang w:val="en-US" w:eastAsia="zh-CN" w:bidi="ar"/>
              </w:rPr>
              <w:t>的要求；</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、钢斜梯扶手应符合</w:t>
            </w:r>
            <w:r>
              <w:rPr>
                <w:rFonts w:hint="default" w:ascii="Times New Roman" w:hAnsi="Times New Roman" w:eastAsia="宋体" w:cs="Times New Roman"/>
                <w:i w:val="0"/>
                <w:color w:val="000000"/>
                <w:kern w:val="0"/>
                <w:sz w:val="24"/>
                <w:szCs w:val="24"/>
                <w:u w:val="none"/>
                <w:lang w:val="en-US" w:eastAsia="zh-CN" w:bidi="ar"/>
              </w:rPr>
              <w:t>GB 4053.2</w:t>
            </w:r>
            <w:r>
              <w:rPr>
                <w:rStyle w:val="22"/>
                <w:lang w:val="en-US" w:eastAsia="zh-CN" w:bidi="ar"/>
              </w:rPr>
              <w:t>的要求；</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、固定式工业防护栏杆、踢脚板应符合</w:t>
            </w:r>
            <w:r>
              <w:rPr>
                <w:rFonts w:hint="default" w:ascii="Times New Roman" w:hAnsi="Times New Roman" w:eastAsia="宋体" w:cs="Times New Roman"/>
                <w:i w:val="0"/>
                <w:color w:val="000000"/>
                <w:kern w:val="0"/>
                <w:sz w:val="24"/>
                <w:szCs w:val="24"/>
                <w:u w:val="none"/>
                <w:lang w:val="en-US" w:eastAsia="zh-CN" w:bidi="ar"/>
              </w:rPr>
              <w:t>GB 4053.3</w:t>
            </w:r>
            <w:r>
              <w:rPr>
                <w:rStyle w:val="22"/>
                <w:lang w:val="en-US" w:eastAsia="zh-CN" w:bidi="ar"/>
              </w:rPr>
              <w:t>的要求。</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不符合要求的，每处扣1分。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二十四、消防设施</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、消防器材应符合下列要求：</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）灭火器的配置应符合</w:t>
            </w:r>
            <w:r>
              <w:rPr>
                <w:rFonts w:hint="default" w:ascii="Times New Roman" w:hAnsi="Times New Roman" w:eastAsia="宋体" w:cs="Times New Roman"/>
                <w:i w:val="0"/>
                <w:color w:val="000000"/>
                <w:kern w:val="0"/>
                <w:sz w:val="24"/>
                <w:szCs w:val="24"/>
                <w:u w:val="none"/>
                <w:lang w:val="en-US" w:eastAsia="zh-CN" w:bidi="ar"/>
              </w:rPr>
              <w:t>GB 50140</w:t>
            </w:r>
            <w:r>
              <w:rPr>
                <w:rStyle w:val="22"/>
                <w:lang w:val="en-US" w:eastAsia="zh-CN" w:bidi="ar"/>
              </w:rPr>
              <w:t>的要求；</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）灭火器材应定置存放，前方不准堆放物品和杂物，用过的灭火器不应放回原处；</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）每月至少对室内外消火栓、灭火器的配置和完好等基本情况进行一次检查，并保存记录；记录应有检查人员签字，实行一处一卡的记录方式；</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、疏散通道、安全出口应保持畅通，严禁占用、堵塞、堆放任何物品；严禁在营业、生产、工作等期间将安全出口上锁、遮挡或者将消防安全疏散指示标志遮挡、覆盖；严禁其他影响安全疏散的行为；</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、民用建筑和厂房的疏散用门应采用平开门，不应采用推拉门、吊门、转门、吊门或者侧拉门，不应安装栅栏、卷帘门；</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、工厂、仓库区的消防车道、消火栓、消防供水系统、消防用电、火灾自动报警系统、自动灭火系统应符合</w:t>
            </w:r>
            <w:r>
              <w:rPr>
                <w:rFonts w:hint="default" w:ascii="Times New Roman" w:hAnsi="Times New Roman" w:eastAsia="宋体" w:cs="Times New Roman"/>
                <w:i w:val="0"/>
                <w:color w:val="000000"/>
                <w:kern w:val="0"/>
                <w:sz w:val="24"/>
                <w:szCs w:val="24"/>
                <w:u w:val="none"/>
                <w:lang w:val="en-US" w:eastAsia="zh-CN" w:bidi="ar"/>
              </w:rPr>
              <w:t>GB 50016</w:t>
            </w:r>
            <w:r>
              <w:rPr>
                <w:rStyle w:val="22"/>
                <w:lang w:val="en-US" w:eastAsia="zh-CN" w:bidi="ar"/>
              </w:rPr>
              <w:t>的要求；火灾自动报警系统功能应符合</w:t>
            </w:r>
            <w:r>
              <w:rPr>
                <w:rFonts w:hint="default" w:ascii="Times New Roman" w:hAnsi="Times New Roman" w:eastAsia="宋体" w:cs="Times New Roman"/>
                <w:i w:val="0"/>
                <w:color w:val="000000"/>
                <w:kern w:val="0"/>
                <w:sz w:val="24"/>
                <w:szCs w:val="24"/>
                <w:u w:val="none"/>
                <w:lang w:val="en-US" w:eastAsia="zh-CN" w:bidi="ar"/>
              </w:rPr>
              <w:t>GB 50166</w:t>
            </w:r>
            <w:r>
              <w:rPr>
                <w:rStyle w:val="22"/>
                <w:lang w:val="en-US" w:eastAsia="zh-CN" w:bidi="ar"/>
              </w:rPr>
              <w:t>的要求；</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5</w:t>
            </w:r>
            <w:r>
              <w:rPr>
                <w:rStyle w:val="22"/>
                <w:lang w:val="en-US" w:eastAsia="zh-CN" w:bidi="ar"/>
              </w:rPr>
              <w:t>、消防控制室应符合</w:t>
            </w:r>
            <w:r>
              <w:rPr>
                <w:rFonts w:hint="default" w:ascii="Times New Roman" w:hAnsi="Times New Roman" w:eastAsia="宋体" w:cs="Times New Roman"/>
                <w:i w:val="0"/>
                <w:color w:val="000000"/>
                <w:kern w:val="0"/>
                <w:sz w:val="24"/>
                <w:szCs w:val="24"/>
                <w:u w:val="none"/>
                <w:lang w:val="en-US" w:eastAsia="zh-CN" w:bidi="ar"/>
              </w:rPr>
              <w:t>GB 25506</w:t>
            </w:r>
            <w:r>
              <w:rPr>
                <w:rStyle w:val="22"/>
                <w:lang w:val="en-US" w:eastAsia="zh-CN" w:bidi="ar"/>
              </w:rPr>
              <w:t>的要求。</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不符合要求的，每处扣1分。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查资料：相关记录。</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二十五、其它设施：</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、使用表压超过</w:t>
            </w:r>
            <w:r>
              <w:rPr>
                <w:rFonts w:hint="default" w:ascii="Times New Roman" w:hAnsi="Times New Roman" w:eastAsia="宋体" w:cs="Times New Roman"/>
                <w:i w:val="0"/>
                <w:color w:val="000000"/>
                <w:kern w:val="0"/>
                <w:sz w:val="24"/>
                <w:szCs w:val="24"/>
                <w:u w:val="none"/>
                <w:lang w:val="en-US" w:eastAsia="zh-CN" w:bidi="ar"/>
              </w:rPr>
              <w:t>0.1MPa</w:t>
            </w:r>
            <w:r>
              <w:rPr>
                <w:rStyle w:val="22"/>
                <w:lang w:val="en-US" w:eastAsia="zh-CN" w:bidi="ar"/>
              </w:rPr>
              <w:t>的油、水、煤气、蒸汽、空气和其他气体的设备和管道系统，应安装压力表、安全阀等安全附件，并定期检验。</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、可燃、有毒有害气体、物质报警系统应定期检定、检测（检验），确保其处于安全状态；</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、急停开关应符合</w:t>
            </w:r>
            <w:r>
              <w:rPr>
                <w:rFonts w:hint="default" w:ascii="Times New Roman" w:hAnsi="Times New Roman" w:eastAsia="宋体" w:cs="Times New Roman"/>
                <w:i w:val="0"/>
                <w:color w:val="000000"/>
                <w:kern w:val="0"/>
                <w:sz w:val="24"/>
                <w:szCs w:val="24"/>
                <w:u w:val="none"/>
                <w:lang w:val="en-US" w:eastAsia="zh-CN" w:bidi="ar"/>
              </w:rPr>
              <w:t>GB/T 16754</w:t>
            </w:r>
            <w:r>
              <w:rPr>
                <w:rStyle w:val="22"/>
                <w:lang w:val="en-US" w:eastAsia="zh-CN" w:bidi="ar"/>
              </w:rPr>
              <w:t>的要求，应保证瞬时动作时能终止设备的一切运动；开关形状应区别于一般控制开关，按钮应突出其他按钮的外平面，按钮头应有醒目的红色标记；周边无障碍物；</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、安全联锁装置应符合</w:t>
            </w:r>
            <w:r>
              <w:rPr>
                <w:rFonts w:hint="default" w:ascii="Times New Roman" w:hAnsi="Times New Roman" w:eastAsia="宋体" w:cs="Times New Roman"/>
                <w:i w:val="0"/>
                <w:color w:val="000000"/>
                <w:kern w:val="0"/>
                <w:sz w:val="24"/>
                <w:szCs w:val="24"/>
                <w:u w:val="none"/>
                <w:lang w:val="en-US" w:eastAsia="zh-CN" w:bidi="ar"/>
              </w:rPr>
              <w:t>GB/T 18831</w:t>
            </w:r>
            <w:r>
              <w:rPr>
                <w:rStyle w:val="22"/>
                <w:lang w:val="en-US" w:eastAsia="zh-CN" w:bidi="ar"/>
              </w:rPr>
              <w:t>的要求，严禁人为变动、破坏或拆卸安全联锁装置。在爆炸危险区内使用的电气设备应符合爆炸危险区等级要求；</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5</w:t>
            </w:r>
            <w:r>
              <w:rPr>
                <w:rStyle w:val="22"/>
                <w:lang w:val="en-US" w:eastAsia="zh-CN" w:bidi="ar"/>
              </w:rPr>
              <w:t>、其他需要检测检定的设备设施按照国家有关规定定期检定、检测（检验）。</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不符合要求的，每处扣1分。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查资料：相关记录。</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4.2.3</w:t>
            </w:r>
            <w:r>
              <w:rPr>
                <w:rStyle w:val="22"/>
                <w:lang w:val="en-US" w:eastAsia="zh-CN" w:bidi="ar"/>
              </w:rPr>
              <w:t>设备设施检维修</w:t>
            </w: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建立设备设施检维修管理制度。</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无该项制度或未正式发布生效的，不得分；制度缺少内容或操作性差的，每处扣1分。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查资料：设备设施检维修管理制度；制度执行记录。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制定综合检维修计划，加强日常检维修和定期检维修管理，落</w:t>
            </w:r>
            <w:r>
              <w:rPr>
                <w:rStyle w:val="22"/>
                <w:rFonts w:hint="eastAsia" w:asciiTheme="minorEastAsia" w:hAnsiTheme="minorEastAsia" w:eastAsiaTheme="minorEastAsia" w:cstheme="minorEastAsia"/>
                <w:lang w:val="en-US" w:eastAsia="zh-CN" w:bidi="ar"/>
              </w:rPr>
              <w:t>实</w:t>
            </w:r>
            <w:r>
              <w:rPr>
                <w:rFonts w:hint="eastAsia" w:asciiTheme="minorEastAsia" w:hAnsiTheme="minorEastAsia" w:eastAsiaTheme="minorEastAsia" w:cstheme="minorEastAsia"/>
                <w:i w:val="0"/>
                <w:color w:val="000000"/>
                <w:kern w:val="0"/>
                <w:sz w:val="24"/>
                <w:szCs w:val="24"/>
                <w:u w:val="none"/>
                <w:lang w:val="en-US" w:eastAsia="zh-CN" w:bidi="ar"/>
              </w:rPr>
              <w:t>“</w:t>
            </w:r>
            <w:r>
              <w:rPr>
                <w:rStyle w:val="22"/>
                <w:rFonts w:hint="eastAsia" w:asciiTheme="minorEastAsia" w:hAnsiTheme="minorEastAsia" w:eastAsiaTheme="minorEastAsia" w:cstheme="minorEastAsia"/>
                <w:lang w:val="en-US" w:eastAsia="zh-CN" w:bidi="ar"/>
              </w:rPr>
              <w:t>五定</w:t>
            </w:r>
            <w:r>
              <w:rPr>
                <w:rFonts w:hint="eastAsia" w:asciiTheme="minorEastAsia" w:hAnsiTheme="minorEastAsia" w:eastAsiaTheme="minorEastAsia" w:cstheme="minorEastAsia"/>
                <w:i w:val="0"/>
                <w:color w:val="000000"/>
                <w:kern w:val="0"/>
                <w:sz w:val="24"/>
                <w:szCs w:val="24"/>
                <w:u w:val="none"/>
                <w:lang w:val="en-US" w:eastAsia="zh-CN" w:bidi="ar"/>
              </w:rPr>
              <w:t>”</w:t>
            </w:r>
            <w:r>
              <w:rPr>
                <w:rStyle w:val="22"/>
                <w:rFonts w:hint="eastAsia" w:asciiTheme="minorEastAsia" w:hAnsiTheme="minorEastAsia" w:eastAsiaTheme="minorEastAsia" w:cstheme="minorEastAsia"/>
                <w:lang w:val="en-US" w:eastAsia="zh-CN" w:bidi="ar"/>
              </w:rPr>
              <w:t>原则，</w:t>
            </w:r>
            <w:r>
              <w:rPr>
                <w:rStyle w:val="22"/>
                <w:lang w:val="en-US" w:eastAsia="zh-CN" w:bidi="ar"/>
              </w:rPr>
              <w:t>即定检维修方案、定检维修人员、定安全措施、定检维修质量、定检维修进度，并做好记录。</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无检维修计划的，不得分；未按计划检维修且无变更记录的，每处扣2分；检维修计划未落实“五定”原则的，每缺少一项扣1分；检维修记录归档不规范、不及时的，每处扣1分。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查资料：检维修计划。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设备设施检维修前应制定方案。检维修方案应包含作业安全风险分析、控制措施、应急处置措施及安全验收标准。</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未制定检维修方案的，不得分；检维修方案内容不全的或作业行为危险性分析与控制措施无针对性的，每处扣2分。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查资料：检维修方案、风险分析记录；</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查现场：检维修方案与生产实际的符合性。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0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检维修作业前应进行作业风险评估并对相关作业人员进行安全交底；检维修过程中应执行安全控制措施，隔离危险能量，并进行监督检查，检维修后应进行安全确认。检维修过程中涉及危险作业的，应按照</w:t>
            </w:r>
            <w:r>
              <w:rPr>
                <w:rFonts w:hint="default" w:ascii="Times New Roman" w:hAnsi="Times New Roman" w:eastAsia="宋体" w:cs="Times New Roman"/>
                <w:i w:val="0"/>
                <w:color w:val="000000"/>
                <w:kern w:val="0"/>
                <w:sz w:val="24"/>
                <w:szCs w:val="24"/>
                <w:u w:val="none"/>
                <w:lang w:val="en-US" w:eastAsia="zh-CN" w:bidi="ar"/>
              </w:rPr>
              <w:t>4.3.1</w:t>
            </w:r>
            <w:r>
              <w:rPr>
                <w:rStyle w:val="22"/>
                <w:lang w:val="en-US" w:eastAsia="zh-CN" w:bidi="ar"/>
              </w:rPr>
              <w:t>执行。</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检维修相应作业票证未办理或办理不符合要求，每处扣2分；检修前未对安全控制措施进行确认或检维修过程中未执行安全控制措施的，每处扣2分；未对检修人员进行安全培训教育，每人扣1分；检维修作业人员未按规定配备或使用劳动保护用品，每人扣1分；安全生产管理人员未对检维修现场进行安全检查，每次扣2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查资料：检维修风险分析记录；检维修记录；作业票据；培训记录。</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查现场：检维修作业人员配备劳动保护用品情况；检维修作业现场的安全管理。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4.2.4</w:t>
            </w:r>
            <w:r>
              <w:rPr>
                <w:rStyle w:val="22"/>
                <w:lang w:val="en-US" w:eastAsia="zh-CN" w:bidi="ar"/>
              </w:rPr>
              <w:t>设备设施拆除、报废</w:t>
            </w: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建立设备设施报废管理制度，明确报废、拆除的审批手续。</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无该项制度的，不得分；制度内容不全或不符合相关规定要求，每处扣1分。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查资料：生产设施拆除和报废管理制度。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安全设施不得随意拆除、挪用或弃置不用；确因检维修拆除的，应采取临时安全措施，检维修完毕后立即复原。</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现场安全设施不全的，每处扣1分；因检维修拆除，未采取临时安全措施的，每处扣1分；检维修完毕后未立即复原的，每处扣1分。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9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设备设施报废、拆除应办理审批手续，制定拆除方案，并在现场设置明显的报废设备设施标志。拆除作业前应对相关作业人员进行培训和安全技术交底，拆除应按方案内容组织落实，拆除涉及许可作业的，按照</w:t>
            </w:r>
            <w:r>
              <w:rPr>
                <w:rFonts w:hint="default" w:ascii="Times New Roman" w:hAnsi="Times New Roman" w:eastAsia="宋体" w:cs="Times New Roman"/>
                <w:i w:val="0"/>
                <w:color w:val="000000"/>
                <w:kern w:val="0"/>
                <w:sz w:val="24"/>
                <w:szCs w:val="24"/>
                <w:u w:val="none"/>
                <w:lang w:val="en-US" w:eastAsia="zh-CN" w:bidi="ar"/>
              </w:rPr>
              <w:t>4.3.1</w:t>
            </w:r>
            <w:r>
              <w:rPr>
                <w:rStyle w:val="22"/>
                <w:lang w:val="en-US" w:eastAsia="zh-CN" w:bidi="ar"/>
              </w:rPr>
              <w:t>执行。</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3870" w:type="dxa"/>
            <w:shd w:val="clear" w:color="auto" w:fill="auto"/>
            <w:tcMar>
              <w:top w:w="8" w:type="dxa"/>
              <w:left w:w="8" w:type="dxa"/>
              <w:right w:w="8" w:type="dxa"/>
            </w:tcMar>
            <w:vAlign w:val="top"/>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未按规定履行审批手续或制定方案的，每次扣1分；涉及到危险物品的生产设备设施的拆除，无危险物品处置方案的，不得分；报废设备未设置明显标志的，每处2分；拆除作业前，未对相关人员进行培训、安全技术交底的，不得分；报废拆除未按方案和许可内容组织落实的，每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查资料：生产设施拆除和报废管理制度；设施拆除和报废审批手续；拆除作业风险分析记录；拆除计划和拆除方案；设施拆除交接手续。</w:t>
            </w:r>
            <w:r>
              <w:rPr>
                <w:rFonts w:hint="default" w:ascii="Times New Roman" w:hAnsi="Times New Roman" w:eastAsia="宋体" w:cs="Times New Roman"/>
                <w:i w:val="0"/>
                <w:color w:val="000000"/>
                <w:kern w:val="0"/>
                <w:sz w:val="24"/>
                <w:szCs w:val="24"/>
                <w:u w:val="non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查现场：拆除作业现场安全管理。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5" w:hRule="atLeast"/>
          <w:jc w:val="center"/>
        </w:trPr>
        <w:tc>
          <w:tcPr>
            <w:tcW w:w="504" w:type="dxa"/>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997" w:type="dxa"/>
            <w:gridSpan w:val="3"/>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小计</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220</w:t>
            </w:r>
          </w:p>
        </w:tc>
        <w:tc>
          <w:tcPr>
            <w:tcW w:w="3870" w:type="dxa"/>
            <w:shd w:val="clear" w:color="auto" w:fill="auto"/>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c>
          <w:tcPr>
            <w:tcW w:w="3045" w:type="dxa"/>
            <w:shd w:val="clear" w:color="auto" w:fill="auto"/>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04"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现场管理</w:t>
            </w:r>
          </w:p>
        </w:tc>
        <w:tc>
          <w:tcPr>
            <w:tcW w:w="645"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w:t>
            </w:r>
            <w:r>
              <w:rPr>
                <w:rStyle w:val="22"/>
                <w:lang w:val="en-US" w:eastAsia="zh-CN" w:bidi="ar"/>
              </w:rPr>
              <w:t>作业安全</w:t>
            </w:r>
          </w:p>
        </w:tc>
        <w:tc>
          <w:tcPr>
            <w:tcW w:w="637"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4.3.1</w:t>
            </w:r>
            <w:r>
              <w:rPr>
                <w:rStyle w:val="22"/>
                <w:lang w:val="en-US" w:eastAsia="zh-CN" w:bidi="ar"/>
              </w:rPr>
              <w:t>作业环境和作业条件</w:t>
            </w: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架空电力线路不得跨越爆炸性气体环境，架空线路与爆炸性气体环境的水平距离不应小于杆塔高度的</w:t>
            </w:r>
            <w:r>
              <w:rPr>
                <w:rFonts w:hint="default" w:ascii="Times New Roman" w:hAnsi="Times New Roman" w:eastAsia="宋体" w:cs="Times New Roman"/>
                <w:i w:val="0"/>
                <w:color w:val="000000"/>
                <w:kern w:val="0"/>
                <w:sz w:val="24"/>
                <w:szCs w:val="24"/>
                <w:u w:val="none"/>
                <w:lang w:val="en-US" w:eastAsia="zh-CN" w:bidi="ar"/>
              </w:rPr>
              <w:t>1.5</w:t>
            </w:r>
            <w:r>
              <w:rPr>
                <w:rStyle w:val="22"/>
                <w:lang w:val="en-US" w:eastAsia="zh-CN" w:bidi="ar"/>
              </w:rPr>
              <w:t>倍。</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架空电线跨越爆炸危险场所的，不得分；架空线路与爆炸性气体环境的水平距离不满足要求的，不得分。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厂内休息室、浴室、更衣室应设在安全区域，易燃、可燃或有毒介质导管不应直接进入仪表操作室或有人值守、休息的房间，应通过变送器把信号引进仪表操作室。</w:t>
            </w:r>
          </w:p>
        </w:tc>
        <w:tc>
          <w:tcPr>
            <w:tcW w:w="608"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3870" w:type="dxa"/>
            <w:vMerge w:val="restart"/>
            <w:shd w:val="clear" w:color="auto" w:fill="B7DEE8"/>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休息室、浴室、更衣室有一个未设在安全区域内的，不得分；各种操作室、值班室设在可能泄漏有毒有害气体的危险区域内的，不得分；存在其他问题（如堆放杂物、乱扯线缆等），每处扣1分。</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b/>
                <w:i w:val="0"/>
                <w:color w:val="FF0000"/>
                <w:kern w:val="0"/>
                <w:sz w:val="24"/>
                <w:szCs w:val="24"/>
                <w:u w:val="none"/>
                <w:lang w:val="en-US" w:eastAsia="zh-CN" w:bidi="ar"/>
              </w:rPr>
              <w:t>《工贸企业重大事故隐患判定标准》（应急管理部令第10号）所列情形中直接关系生产安全的监控、报警、防护等设施、设备、装置，应当保证正常运行、使用，失效或者无效的，为否决项。</w:t>
            </w:r>
          </w:p>
        </w:tc>
        <w:tc>
          <w:tcPr>
            <w:tcW w:w="3045"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9"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对易燃易爆或可能发生急性职业危害的有毒、有害工作场所，应当设置声光报警装置，报警信号应引至</w:t>
            </w:r>
            <w:r>
              <w:rPr>
                <w:rFonts w:hint="default" w:ascii="Times New Roman" w:hAnsi="Times New Roman" w:eastAsia="宋体" w:cs="Times New Roman"/>
                <w:i w:val="0"/>
                <w:color w:val="000000"/>
                <w:kern w:val="0"/>
                <w:sz w:val="24"/>
                <w:szCs w:val="24"/>
                <w:u w:val="none"/>
                <w:lang w:val="en-US" w:eastAsia="zh-CN" w:bidi="ar"/>
              </w:rPr>
              <w:t>24</w:t>
            </w:r>
            <w:r>
              <w:rPr>
                <w:rStyle w:val="22"/>
                <w:lang w:val="en-US" w:eastAsia="zh-CN" w:bidi="ar"/>
              </w:rPr>
              <w:t>小时有人值守的操作控制室。</w:t>
            </w:r>
          </w:p>
        </w:tc>
        <w:tc>
          <w:tcPr>
            <w:tcW w:w="608"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3870" w:type="dxa"/>
            <w:vMerge w:val="continue"/>
            <w:shd w:val="clear" w:color="auto" w:fill="B7DEE8"/>
            <w:tcMar>
              <w:top w:w="8" w:type="dxa"/>
              <w:left w:w="8" w:type="dxa"/>
              <w:right w:w="8" w:type="dxa"/>
            </w:tcMar>
            <w:vAlign w:val="center"/>
          </w:tcPr>
          <w:p>
            <w:pPr>
              <w:spacing w:before="0" w:beforeAutospacing="0" w:after="0" w:afterAutospacing="0"/>
              <w:ind w:left="0" w:right="0"/>
              <w:jc w:val="left"/>
              <w:rPr>
                <w:rFonts w:hint="eastAsia" w:ascii="宋体" w:hAnsi="宋体" w:eastAsia="宋体" w:cs="宋体"/>
                <w:i w:val="0"/>
                <w:color w:val="000000"/>
                <w:sz w:val="24"/>
                <w:szCs w:val="24"/>
                <w:u w:val="none"/>
              </w:rPr>
            </w:pPr>
          </w:p>
        </w:tc>
        <w:tc>
          <w:tcPr>
            <w:tcW w:w="3045" w:type="dxa"/>
            <w:vMerge w:val="continue"/>
            <w:shd w:val="clear" w:color="auto" w:fill="auto"/>
            <w:tcMar>
              <w:top w:w="8" w:type="dxa"/>
              <w:left w:w="8" w:type="dxa"/>
              <w:right w:w="8" w:type="dxa"/>
            </w:tcMar>
            <w:vAlign w:val="center"/>
          </w:tcPr>
          <w:p>
            <w:pPr>
              <w:spacing w:before="0" w:beforeAutospacing="0" w:after="0" w:afterAutospacing="0"/>
              <w:ind w:left="0" w:right="0"/>
              <w:jc w:val="left"/>
              <w:rPr>
                <w:rFonts w:hint="default" w:ascii="Times New Roman" w:hAnsi="Times New Roman" w:eastAsia="宋体"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、主要人流入口应与主要货流入口分开设置，按《厂矿道路设计规范》（</w:t>
            </w:r>
            <w:r>
              <w:rPr>
                <w:rFonts w:hint="default" w:ascii="Times New Roman" w:hAnsi="Times New Roman" w:eastAsia="宋体" w:cs="Times New Roman"/>
                <w:i w:val="0"/>
                <w:color w:val="000000"/>
                <w:kern w:val="0"/>
                <w:sz w:val="24"/>
                <w:szCs w:val="24"/>
                <w:u w:val="none"/>
                <w:lang w:val="en-US" w:eastAsia="zh-CN" w:bidi="ar"/>
              </w:rPr>
              <w:t>GBJ 22</w:t>
            </w:r>
            <w:r>
              <w:rPr>
                <w:rStyle w:val="22"/>
                <w:lang w:val="en-US" w:eastAsia="zh-CN" w:bidi="ar"/>
              </w:rPr>
              <w:t>）要求设置安全通道，并确保安全通道畅通；</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、厂房、梯子的出入口和人行道未设防护装置或悬挂醒目的警告标志时，不得正对车辆、设备运行频繁的地点。</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不符合要求的，每处扣1分。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宋体" w:hAnsi="宋体" w:eastAsia="宋体" w:cs="宋体"/>
                <w:i w:val="0"/>
                <w:color w:val="000000"/>
                <w:kern w:val="0"/>
                <w:sz w:val="24"/>
                <w:szCs w:val="24"/>
                <w:u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安全出入口（疏散门）不应采用侧拉门（库房除外），严禁采用转门。</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不符合要求的，每处扣1分。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宋体" w:hAnsi="宋体" w:eastAsia="宋体" w:cs="宋体"/>
                <w:i w:val="0"/>
                <w:color w:val="000000"/>
                <w:kern w:val="0"/>
                <w:sz w:val="24"/>
                <w:szCs w:val="24"/>
                <w:u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、厂区照明灯布局合理，无照明盲区，厂区主干道和安全通道的照度符合</w:t>
            </w:r>
            <w:r>
              <w:rPr>
                <w:rFonts w:hint="default" w:ascii="Times New Roman" w:hAnsi="Times New Roman" w:eastAsia="宋体" w:cs="Times New Roman"/>
                <w:i w:val="0"/>
                <w:color w:val="000000"/>
                <w:kern w:val="0"/>
                <w:sz w:val="24"/>
                <w:szCs w:val="24"/>
                <w:u w:val="none"/>
                <w:lang w:val="en-US" w:eastAsia="zh-CN" w:bidi="ar"/>
              </w:rPr>
              <w:t>GB 50034</w:t>
            </w:r>
            <w:r>
              <w:rPr>
                <w:rStyle w:val="22"/>
                <w:lang w:val="en-US" w:eastAsia="zh-CN" w:bidi="ar"/>
              </w:rPr>
              <w:t>的要求，能满足行人和车辆的安全要求；</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、企业应在生产现场、办公区域、疏散走道、消防泵房、配电房等场所设置应急照明，正常照明中断时，应急照明应能自动启动；</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、行灯电压不应大于</w:t>
            </w:r>
            <w:r>
              <w:rPr>
                <w:rFonts w:hint="default" w:ascii="Times New Roman" w:hAnsi="Times New Roman" w:eastAsia="宋体" w:cs="Times New Roman"/>
                <w:i w:val="0"/>
                <w:color w:val="000000"/>
                <w:kern w:val="0"/>
                <w:sz w:val="24"/>
                <w:szCs w:val="24"/>
                <w:u w:val="none"/>
                <w:lang w:val="en-US" w:eastAsia="zh-CN" w:bidi="ar"/>
              </w:rPr>
              <w:t>36V</w:t>
            </w:r>
            <w:r>
              <w:rPr>
                <w:rStyle w:val="22"/>
                <w:lang w:val="en-US" w:eastAsia="zh-CN" w:bidi="ar"/>
              </w:rPr>
              <w:t>，在金属容器内或潮湿场所，则电压不应大于</w:t>
            </w:r>
            <w:r>
              <w:rPr>
                <w:rFonts w:hint="default" w:ascii="Times New Roman" w:hAnsi="Times New Roman" w:eastAsia="宋体" w:cs="Times New Roman"/>
                <w:i w:val="0"/>
                <w:color w:val="000000"/>
                <w:kern w:val="0"/>
                <w:sz w:val="24"/>
                <w:szCs w:val="24"/>
                <w:u w:val="none"/>
                <w:lang w:val="en-US" w:eastAsia="zh-CN" w:bidi="ar"/>
              </w:rPr>
              <w:t>12V</w:t>
            </w:r>
            <w:r>
              <w:rPr>
                <w:rStyle w:val="22"/>
                <w:lang w:val="en-US" w:eastAsia="zh-CN" w:bidi="ar"/>
              </w:rPr>
              <w:t>。</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不符合要求的，每处扣1分。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宋体" w:hAnsi="宋体" w:eastAsia="宋体" w:cs="宋体"/>
                <w:i w:val="0"/>
                <w:color w:val="000000"/>
                <w:kern w:val="0"/>
                <w:sz w:val="24"/>
                <w:szCs w:val="24"/>
                <w:u w:val="none"/>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3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、企业应绘制简明扼要，一目了然的生产现场定置管理图。</w:t>
            </w:r>
            <w:r>
              <w:rPr>
                <w:rFonts w:hint="default" w:ascii="Times New Roman" w:hAnsi="Times New Roman" w:eastAsia="宋体" w:cs="Times New Roman"/>
                <w:i w:val="0"/>
                <w:color w:val="000000"/>
                <w:kern w:val="0"/>
                <w:sz w:val="24"/>
                <w:szCs w:val="24"/>
                <w:u w:val="non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、生产现场做到色彩标准管理，设备、工具箱、工位、器具、管道等物品都按规范涂色，同类物品色彩一致。</w:t>
            </w:r>
            <w:r>
              <w:rPr>
                <w:rFonts w:hint="default" w:ascii="Times New Roman" w:hAnsi="Times New Roman" w:eastAsia="宋体" w:cs="Times New Roman"/>
                <w:i w:val="0"/>
                <w:color w:val="000000"/>
                <w:kern w:val="0"/>
                <w:sz w:val="24"/>
                <w:szCs w:val="24"/>
                <w:u w:val="non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、生产现场设立定置标志，应与定置示意图基本一致。工作场所整洁。</w:t>
            </w:r>
            <w:r>
              <w:rPr>
                <w:rFonts w:hint="default" w:ascii="Times New Roman" w:hAnsi="Times New Roman" w:eastAsia="宋体" w:cs="Times New Roman"/>
                <w:i w:val="0"/>
                <w:color w:val="000000"/>
                <w:kern w:val="0"/>
                <w:sz w:val="24"/>
                <w:szCs w:val="24"/>
                <w:u w:val="non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、生产现场通道标识应清楚，通道内除暂时装卸货物外，不得放置任何物品，保持通道畅通。</w:t>
            </w:r>
            <w:r>
              <w:rPr>
                <w:rFonts w:hint="default" w:ascii="Times New Roman" w:hAnsi="Times New Roman" w:eastAsia="宋体" w:cs="Times New Roman"/>
                <w:i w:val="0"/>
                <w:color w:val="000000"/>
                <w:kern w:val="0"/>
                <w:sz w:val="24"/>
                <w:szCs w:val="24"/>
                <w:u w:val="non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5</w:t>
            </w:r>
            <w:r>
              <w:rPr>
                <w:rStyle w:val="22"/>
                <w:lang w:val="en-US" w:eastAsia="zh-CN" w:bidi="ar"/>
              </w:rPr>
              <w:t>、工位器具、工具箱规范化，物品要分类、定置摆放。</w:t>
            </w:r>
            <w:r>
              <w:rPr>
                <w:rFonts w:hint="default" w:ascii="Times New Roman" w:hAnsi="Times New Roman" w:eastAsia="宋体" w:cs="Times New Roman"/>
                <w:i w:val="0"/>
                <w:color w:val="000000"/>
                <w:kern w:val="0"/>
                <w:sz w:val="24"/>
                <w:szCs w:val="24"/>
                <w:u w:val="non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6</w:t>
            </w:r>
            <w:r>
              <w:rPr>
                <w:rStyle w:val="22"/>
                <w:lang w:val="en-US" w:eastAsia="zh-CN" w:bidi="ar"/>
              </w:rPr>
              <w:t>、待处理的废品、料头，分类一定要清楚，且定置存放并加以标识。</w:t>
            </w:r>
            <w:r>
              <w:rPr>
                <w:rFonts w:hint="default" w:ascii="Times New Roman" w:hAnsi="Times New Roman" w:eastAsia="宋体" w:cs="Times New Roman"/>
                <w:i w:val="0"/>
                <w:color w:val="000000"/>
                <w:kern w:val="0"/>
                <w:sz w:val="24"/>
                <w:szCs w:val="24"/>
                <w:u w:val="non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7</w:t>
            </w:r>
            <w:r>
              <w:rPr>
                <w:rStyle w:val="22"/>
                <w:lang w:val="en-US" w:eastAsia="zh-CN" w:bidi="ar"/>
              </w:rPr>
              <w:t>、仓库及各车间仓库内应地面清洁卫生，所有物品定位存放。</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企业未绘制生产现场定置管理图的，扣5分；定置不符合要求的，每处扣1分；生产现场与定置管理图不符的，每处扣1分；作业环境不整洁的，每处扣1分。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查资料：定置管理图。</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4.3.2</w:t>
            </w:r>
            <w:r>
              <w:rPr>
                <w:rStyle w:val="22"/>
                <w:lang w:val="en-US" w:eastAsia="zh-CN" w:bidi="ar"/>
              </w:rPr>
              <w:t>作业行为</w:t>
            </w: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建立对</w:t>
            </w:r>
            <w:r>
              <w:rPr>
                <w:rFonts w:hint="eastAsia" w:asciiTheme="minorEastAsia" w:hAnsiTheme="minorEastAsia" w:eastAsiaTheme="minorEastAsia" w:cstheme="minorEastAsia"/>
                <w:i w:val="0"/>
                <w:color w:val="000000"/>
                <w:kern w:val="0"/>
                <w:sz w:val="24"/>
                <w:szCs w:val="24"/>
                <w:u w:val="none"/>
                <w:lang w:val="en-US" w:eastAsia="zh-CN" w:bidi="ar"/>
              </w:rPr>
              <w:t>“</w:t>
            </w:r>
            <w:r>
              <w:rPr>
                <w:rStyle w:val="22"/>
                <w:rFonts w:hint="eastAsia" w:asciiTheme="minorEastAsia" w:hAnsiTheme="minorEastAsia" w:eastAsiaTheme="minorEastAsia" w:cstheme="minorEastAsia"/>
                <w:lang w:val="en-US" w:eastAsia="zh-CN" w:bidi="ar"/>
              </w:rPr>
              <w:t>三违</w:t>
            </w:r>
            <w:r>
              <w:rPr>
                <w:rFonts w:hint="eastAsia" w:asciiTheme="minorEastAsia" w:hAnsiTheme="minorEastAsia" w:eastAsiaTheme="minorEastAsia" w:cstheme="minorEastAsia"/>
                <w:i w:val="0"/>
                <w:color w:val="000000"/>
                <w:kern w:val="0"/>
                <w:sz w:val="24"/>
                <w:szCs w:val="24"/>
                <w:u w:val="none"/>
                <w:lang w:val="en-US" w:eastAsia="zh-CN" w:bidi="ar"/>
              </w:rPr>
              <w:t>”</w:t>
            </w:r>
            <w:r>
              <w:rPr>
                <w:rStyle w:val="22"/>
                <w:rFonts w:hint="eastAsia" w:asciiTheme="minorEastAsia" w:hAnsiTheme="minorEastAsia" w:eastAsiaTheme="minorEastAsia" w:cstheme="minorEastAsia"/>
                <w:lang w:val="en-US" w:eastAsia="zh-CN" w:bidi="ar"/>
              </w:rPr>
              <w:t>行为</w:t>
            </w:r>
            <w:r>
              <w:rPr>
                <w:rStyle w:val="22"/>
                <w:lang w:val="en-US" w:eastAsia="zh-CN" w:bidi="ar"/>
              </w:rPr>
              <w:t>的管理制度，明确监控的责任、方法、记录、考核等事项。</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rFonts w:hint="default" w:ascii="Times New Roman" w:hAnsi="Times New Roman" w:cs="Times New Roman"/>
                <w:lang w:val="en-US" w:eastAsia="zh-CN" w:bidi="ar"/>
              </w:rPr>
              <w:t>无该制度的，不得分；内容不全的，每缺一环节，扣</w:t>
            </w:r>
            <w:r>
              <w:rPr>
                <w:rFonts w:hint="default" w:ascii="Times New Roman" w:hAnsi="Times New Roman" w:eastAsia="宋体" w:cs="Times New Roman"/>
                <w:i w:val="0"/>
                <w:color w:val="000000"/>
                <w:kern w:val="0"/>
                <w:sz w:val="24"/>
                <w:szCs w:val="24"/>
                <w:u w:val="none"/>
                <w:lang w:val="en-US" w:eastAsia="zh-CN" w:bidi="ar"/>
              </w:rPr>
              <w:t>1</w:t>
            </w:r>
            <w:r>
              <w:rPr>
                <w:rStyle w:val="22"/>
                <w:rFonts w:hint="default" w:ascii="Times New Roman" w:hAnsi="Times New Roman" w:cs="Times New Roman"/>
                <w:lang w:val="en-US" w:eastAsia="zh-CN" w:bidi="ar"/>
              </w:rPr>
              <w:t>分。</w:t>
            </w:r>
          </w:p>
        </w:tc>
        <w:tc>
          <w:tcPr>
            <w:tcW w:w="3045" w:type="dxa"/>
            <w:shd w:val="clear" w:color="auto" w:fill="auto"/>
            <w:noWrap/>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查资料：相关制度文件。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建立爆破、吊装、高处作业、有限空间作业、临近油气输送管道作业、临近高压输电线路作业、建筑物和构筑物拆除、大型检修以及涉及危险物品的场所动火和临时用电等危险作业管理制度，明确责任部门、人员、审批程序等。</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每缺少一项危险作业安全管理规定的，扣1分；内容不全或操作性差的，每处扣1分。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查资料：危险作业管理文件。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应按危险作业管理制度开展危险作业，并遵守下列规定：</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）对作业安全风险进行评估，确认现场作业条件符合安全作业要求；</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）根据安全风险明确安全防范措施和现场应急处置措施；</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）确认作业人员的上岗资格以及劳动防护用品的配备、使用符合安全作业要求；</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）配备相应的安全设施和应急救援器材，设置作业现场的安全区域，确定专人现场统一指挥和监督；</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5</w:t>
            </w:r>
            <w:r>
              <w:rPr>
                <w:rStyle w:val="22"/>
                <w:lang w:val="en-US" w:eastAsia="zh-CN" w:bidi="ar"/>
              </w:rPr>
              <w:t>）在危险作业前向作业人员告知危险因素、作业安全要求和现场应急处置措施，并经双方现场签字确认；</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6</w:t>
            </w:r>
            <w:r>
              <w:rPr>
                <w:rStyle w:val="22"/>
                <w:lang w:val="en-US" w:eastAsia="zh-CN" w:bidi="ar"/>
              </w:rPr>
              <w:t>）发现直接危及人身安全的紧急情况时，按照现场应急处置措施停止作业、撤出人员。</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3870" w:type="dxa"/>
            <w:shd w:val="clear" w:color="auto" w:fill="B7DEE8"/>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危险作业前未对设备能量和危险有害物质进行有效的屏蔽或隔离的，不得分；其他未按照企业定级标准规定开展危险作业的，每处扣</w:t>
            </w:r>
            <w:r>
              <w:rPr>
                <w:rFonts w:hint="default" w:ascii="Times New Roman" w:hAnsi="Times New Roman" w:eastAsia="宋体" w:cs="Times New Roman"/>
                <w:i w:val="0"/>
                <w:color w:val="000000"/>
                <w:kern w:val="0"/>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b/>
                <w:i w:val="0"/>
                <w:color w:val="FF0000"/>
                <w:kern w:val="0"/>
                <w:sz w:val="24"/>
                <w:szCs w:val="24"/>
                <w:u w:val="none"/>
                <w:lang w:val="en-US" w:eastAsia="zh-CN" w:bidi="ar"/>
              </w:rPr>
              <w:t>存在硫化氢、一氧化碳等中毒风险的有限空间作业的工贸企业有下列情形之一的，为否决项：</w:t>
            </w:r>
            <w:r>
              <w:rPr>
                <w:rFonts w:hint="eastAsia" w:ascii="宋体" w:hAnsi="宋体" w:eastAsia="宋体" w:cs="宋体"/>
                <w:b/>
                <w:i w:val="0"/>
                <w:color w:val="FF0000"/>
                <w:kern w:val="0"/>
                <w:sz w:val="24"/>
                <w:szCs w:val="24"/>
                <w:u w:val="none"/>
                <w:lang w:val="en-US" w:eastAsia="zh-CN" w:bidi="ar"/>
              </w:rPr>
              <w:br w:type="textWrapping"/>
            </w:r>
            <w:r>
              <w:rPr>
                <w:rFonts w:hint="eastAsia" w:ascii="宋体" w:hAnsi="宋体" w:eastAsia="宋体" w:cs="宋体"/>
                <w:b/>
                <w:i w:val="0"/>
                <w:color w:val="FF0000"/>
                <w:kern w:val="0"/>
                <w:sz w:val="24"/>
                <w:szCs w:val="24"/>
                <w:u w:val="none"/>
                <w:lang w:val="en-US" w:eastAsia="zh-CN" w:bidi="ar"/>
              </w:rPr>
              <w:t>（1）未对有限空间进行辨识、建立安全管理台账，并且未设置明显的安全警示标志的；</w:t>
            </w:r>
            <w:r>
              <w:rPr>
                <w:rFonts w:hint="eastAsia" w:ascii="宋体" w:hAnsi="宋体" w:eastAsia="宋体" w:cs="宋体"/>
                <w:b/>
                <w:i w:val="0"/>
                <w:color w:val="FF0000"/>
                <w:kern w:val="0"/>
                <w:sz w:val="24"/>
                <w:szCs w:val="24"/>
                <w:u w:val="none"/>
                <w:lang w:val="en-US" w:eastAsia="zh-CN" w:bidi="ar"/>
              </w:rPr>
              <w:br w:type="textWrapping"/>
            </w:r>
            <w:r>
              <w:rPr>
                <w:rFonts w:hint="eastAsia" w:ascii="宋体" w:hAnsi="宋体" w:eastAsia="宋体" w:cs="宋体"/>
                <w:b/>
                <w:i w:val="0"/>
                <w:color w:val="FF0000"/>
                <w:kern w:val="0"/>
                <w:sz w:val="24"/>
                <w:szCs w:val="24"/>
                <w:u w:val="none"/>
                <w:lang w:val="en-US" w:eastAsia="zh-CN" w:bidi="ar"/>
              </w:rPr>
              <w:t>（2）未落实有限空间作业审批，或者未执行“先通风、再检测、后作业”要求，或者作业现场未设置监护人员的。</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、按照《江苏省安全生产条例》规定，从业人员每天工作前，应当进行本岗位安全生产检查，确认安全后方可进行操作。岗位安全生产检查主要包括下列事项：</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）设施设备、工具和原材料的安全状态良好，安全防护装置有效；</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）作业场地以及物品堆放符合安全规范；</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）劳动防护用品、用具齐全完好，并正确佩戴、使用。</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、金属冶炼、涉爆粉尘、涉氨制冷等行业、领域生产经营单位，应当建立并实施安全生产班前会制度，由班组长或者交班人员在班前会上向当班作业人员提示安全风险、讲解岗位安全操作要点等。</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作业前未对作业人员的上岗资格、条件等进行确认的，不得分；现场发现作业人员的上岗资格、条件不符合的不得分；未安排专人进行现场安全管理的，不得分；作业人员不遵守岗位操作规程和落实安全措施的每处扣3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非经允许，禁止与生产无关人员进入生产操作现场。应划出非岗位操作人员行走的安全路线。</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有与生产无关人员进入生产操作现场的，不得分；未划出非岗位操作人员行走的安全路线的，不得分；安全路线设置不合理的，每处扣2分。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在有毒物质的设备、管道和容器内检修时，除符合危险作业管理制度要求，还应符合以下规定：</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）应可靠地切断物料进出口，有毒物质的浓度应小于最高容许浓度，同时含氧量应控制在国家规定范围内；</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）应设有监护人，应备好防毒面具和防护用品，检修人员应熟悉防毒面具的性能和使用方法；</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）设备内照明电压应小于等于</w:t>
            </w:r>
            <w:r>
              <w:rPr>
                <w:rFonts w:hint="default" w:ascii="Times New Roman" w:hAnsi="Times New Roman" w:eastAsia="宋体" w:cs="Times New Roman"/>
                <w:i w:val="0"/>
                <w:color w:val="000000"/>
                <w:kern w:val="0"/>
                <w:sz w:val="24"/>
                <w:szCs w:val="24"/>
                <w:u w:val="none"/>
                <w:lang w:val="en-US" w:eastAsia="zh-CN" w:bidi="ar"/>
              </w:rPr>
              <w:t>36V</w:t>
            </w:r>
            <w:r>
              <w:rPr>
                <w:rStyle w:val="22"/>
                <w:lang w:val="en-US" w:eastAsia="zh-CN" w:bidi="ar"/>
              </w:rPr>
              <w:t>，在潮湿容器、狭小容器内作业应小于等于</w:t>
            </w:r>
            <w:r>
              <w:rPr>
                <w:rFonts w:hint="default" w:ascii="Times New Roman" w:hAnsi="Times New Roman" w:eastAsia="宋体" w:cs="Times New Roman"/>
                <w:i w:val="0"/>
                <w:color w:val="000000"/>
                <w:kern w:val="0"/>
                <w:sz w:val="24"/>
                <w:szCs w:val="24"/>
                <w:u w:val="none"/>
                <w:lang w:val="en-US" w:eastAsia="zh-CN" w:bidi="ar"/>
              </w:rPr>
              <w:t>12V</w:t>
            </w:r>
            <w:r>
              <w:rPr>
                <w:rStyle w:val="22"/>
                <w:lang w:val="en-US" w:eastAsia="zh-CN" w:bidi="ar"/>
              </w:rPr>
              <w:t>。</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不符合要求的，每处扣2分。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对易燃、易爆或易中毒物质的设备动火或进入内部工作时，应设有监护人。安全分析取样时间不应早于工作前半小时，工作中应每两小时分析一次，工作中断半小时以上也应重新分析。</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不符合要求的，每处扣2分。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在全部停电或部分停电的电气设备上作业，应遵守下列规定：</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）拉闸断电，并采取开关箱加锁等措施；</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）验电、放电；</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）各相短路接地；</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）悬挂</w:t>
            </w:r>
            <w:r>
              <w:rPr>
                <w:rFonts w:hint="eastAsia" w:asciiTheme="minorEastAsia" w:hAnsiTheme="minorEastAsia" w:eastAsiaTheme="minorEastAsia" w:cstheme="minorEastAsia"/>
                <w:i w:val="0"/>
                <w:color w:val="000000"/>
                <w:kern w:val="0"/>
                <w:sz w:val="24"/>
                <w:szCs w:val="24"/>
                <w:u w:val="none"/>
                <w:lang w:val="en-US" w:eastAsia="zh-CN" w:bidi="ar"/>
              </w:rPr>
              <w:t>“</w:t>
            </w:r>
            <w:r>
              <w:rPr>
                <w:rStyle w:val="22"/>
                <w:rFonts w:hint="eastAsia" w:asciiTheme="minorEastAsia" w:hAnsiTheme="minorEastAsia" w:eastAsiaTheme="minorEastAsia" w:cstheme="minorEastAsia"/>
                <w:lang w:val="en-US" w:eastAsia="zh-CN" w:bidi="ar"/>
              </w:rPr>
              <w:t>禁止合闸，有人工作</w:t>
            </w:r>
            <w:r>
              <w:rPr>
                <w:rFonts w:hint="eastAsia" w:asciiTheme="minorEastAsia" w:hAnsiTheme="minorEastAsia" w:eastAsiaTheme="minorEastAsia" w:cstheme="minorEastAsia"/>
                <w:i w:val="0"/>
                <w:color w:val="000000"/>
                <w:kern w:val="0"/>
                <w:sz w:val="24"/>
                <w:szCs w:val="24"/>
                <w:u w:val="none"/>
                <w:lang w:val="en-US" w:eastAsia="zh-CN" w:bidi="ar"/>
              </w:rPr>
              <w:t>”</w:t>
            </w:r>
            <w:r>
              <w:rPr>
                <w:rStyle w:val="22"/>
                <w:rFonts w:hint="eastAsia" w:asciiTheme="minorEastAsia" w:hAnsiTheme="minorEastAsia" w:eastAsiaTheme="minorEastAsia" w:cstheme="minorEastAsia"/>
                <w:lang w:val="en-US" w:eastAsia="zh-CN" w:bidi="ar"/>
              </w:rPr>
              <w:t>的</w:t>
            </w:r>
            <w:r>
              <w:rPr>
                <w:rStyle w:val="22"/>
                <w:lang w:val="en-US" w:eastAsia="zh-CN" w:bidi="ar"/>
              </w:rPr>
              <w:t>标示牌和装设遮拦。</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不符合要求的，每处扣1分。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应当为从业人员配备与工作岗位相适应的、符合《个体防护装备配备规范》</w:t>
            </w:r>
            <w:r>
              <w:rPr>
                <w:rFonts w:hint="default" w:ascii="Times New Roman" w:hAnsi="Times New Roman" w:eastAsia="宋体" w:cs="Times New Roman"/>
                <w:i w:val="0"/>
                <w:color w:val="000000"/>
                <w:kern w:val="0"/>
                <w:sz w:val="24"/>
                <w:szCs w:val="24"/>
                <w:u w:val="none"/>
                <w:lang w:val="en-US" w:eastAsia="zh-CN" w:bidi="ar"/>
              </w:rPr>
              <w:t>GB 39800</w:t>
            </w:r>
            <w:r>
              <w:rPr>
                <w:rStyle w:val="22"/>
                <w:lang w:val="en-US" w:eastAsia="zh-CN" w:bidi="ar"/>
              </w:rPr>
              <w:t>要求的个体防护装备，并监督从业人员按照使用规则佩戴、使用。</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个体防护装备不符合产品标准</w:t>
            </w:r>
            <w:r>
              <w:rPr>
                <w:rFonts w:hint="eastAsia" w:ascii="Times New Roman" w:hAnsi="Times New Roman" w:eastAsia="宋体" w:cs="Times New Roman"/>
                <w:i w:val="0"/>
                <w:color w:val="000000"/>
                <w:kern w:val="0"/>
                <w:sz w:val="24"/>
                <w:szCs w:val="24"/>
                <w:u w:val="none"/>
                <w:lang w:val="en-US" w:eastAsia="zh-CN" w:bidi="ar"/>
              </w:rPr>
              <w:t>或</w:t>
            </w:r>
            <w:r>
              <w:rPr>
                <w:rFonts w:hint="default" w:ascii="Times New Roman" w:hAnsi="Times New Roman" w:eastAsia="宋体" w:cs="Times New Roman"/>
                <w:i w:val="0"/>
                <w:color w:val="000000"/>
                <w:kern w:val="0"/>
                <w:sz w:val="24"/>
                <w:szCs w:val="24"/>
                <w:u w:val="none"/>
                <w:lang w:val="en-US" w:eastAsia="zh-CN" w:bidi="ar"/>
              </w:rPr>
              <w:t>无发放标准，不得分；发放标准不符合有关规定的，每项扣2分；员工未正确佩戴和使用的，每人扣2分。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查资料：个体防护装备发放标准。</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查现场：从业人员个体防护装备佩戴、使用情况。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4.3.3</w:t>
            </w:r>
            <w:r>
              <w:rPr>
                <w:rStyle w:val="22"/>
                <w:lang w:val="en-US" w:eastAsia="zh-CN" w:bidi="ar"/>
              </w:rPr>
              <w:t>岗位达标</w:t>
            </w: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建立班组安全活动管理制度，制定岗位达标标准，明确岗位达标的内容和要求，定期开展岗位达标活动。</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rFonts w:hint="default" w:ascii="Times New Roman" w:hAnsi="Times New Roman" w:cs="Times New Roman"/>
                <w:lang w:val="en-US" w:eastAsia="zh-CN" w:bidi="ar"/>
              </w:rPr>
              <w:t>无班组安全活动管理制度或岗位达标标准的</w:t>
            </w:r>
            <w:r>
              <w:rPr>
                <w:rStyle w:val="22"/>
                <w:rFonts w:hint="eastAsia" w:ascii="Times New Roman" w:hAnsi="Times New Roman" w:cs="Times New Roman"/>
                <w:lang w:val="en-US" w:eastAsia="zh-CN" w:bidi="ar"/>
              </w:rPr>
              <w:t>，</w:t>
            </w:r>
            <w:r>
              <w:rPr>
                <w:rStyle w:val="22"/>
                <w:rFonts w:hint="default" w:ascii="Times New Roman" w:hAnsi="Times New Roman" w:cs="Times New Roman"/>
                <w:lang w:val="en-US" w:eastAsia="zh-CN" w:bidi="ar"/>
              </w:rPr>
              <w:t>不得分；每缺少一个岗位达标要求的，扣</w:t>
            </w:r>
            <w:r>
              <w:rPr>
                <w:rFonts w:hint="default" w:ascii="Times New Roman" w:hAnsi="Times New Roman" w:eastAsia="宋体" w:cs="Times New Roman"/>
                <w:i w:val="0"/>
                <w:color w:val="000000"/>
                <w:kern w:val="0"/>
                <w:sz w:val="24"/>
                <w:szCs w:val="24"/>
                <w:u w:val="none"/>
                <w:lang w:val="en-US" w:eastAsia="zh-CN" w:bidi="ar"/>
              </w:rPr>
              <w:t>2</w:t>
            </w:r>
            <w:r>
              <w:rPr>
                <w:rStyle w:val="22"/>
                <w:rFonts w:hint="default" w:ascii="Times New Roman" w:hAnsi="Times New Roman" w:cs="Times New Roman"/>
                <w:lang w:val="en-US" w:eastAsia="zh-CN" w:bidi="ar"/>
              </w:rPr>
              <w:t>分；每缺少一次岗位达标活动记录的扣</w:t>
            </w:r>
            <w:r>
              <w:rPr>
                <w:rFonts w:hint="default" w:ascii="Times New Roman" w:hAnsi="Times New Roman" w:eastAsia="宋体" w:cs="Times New Roman"/>
                <w:i w:val="0"/>
                <w:color w:val="000000"/>
                <w:kern w:val="0"/>
                <w:sz w:val="24"/>
                <w:szCs w:val="24"/>
                <w:u w:val="none"/>
                <w:lang w:val="en-US" w:eastAsia="zh-CN" w:bidi="ar"/>
              </w:rPr>
              <w:t>2</w:t>
            </w:r>
            <w:r>
              <w:rPr>
                <w:rStyle w:val="22"/>
                <w:rFonts w:hint="default" w:ascii="Times New Roman" w:hAnsi="Times New Roman" w:cs="Times New Roman"/>
                <w:lang w:val="en-US" w:eastAsia="zh-CN" w:bidi="ar"/>
              </w:rPr>
              <w:t>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查资料：班组安全活动管理制度和岗位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从业人员应熟练掌握本岗位安全职责、安全生产操作规程、安全风险及管控措施、防护用品使用、自救互救及应急处置措施。</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4"/>
                <w:szCs w:val="24"/>
                <w:u w:val="none"/>
              </w:rPr>
            </w:pPr>
            <w:r>
              <w:rPr>
                <w:rStyle w:val="22"/>
                <w:lang w:val="en-US" w:eastAsia="zh-CN" w:bidi="ar"/>
              </w:rPr>
              <w:t>从业人员不熟悉本岗位安全职责、安全生产操作规程、安全风险及管控措施、防护用品使用、自救互救及应急处置措施的，每处扣</w:t>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分，每人最多扣</w:t>
            </w:r>
            <w:r>
              <w:rPr>
                <w:rFonts w:hint="default" w:ascii="Times New Roman" w:hAnsi="Times New Roman" w:eastAsia="宋体" w:cs="Times New Roman"/>
                <w:i w:val="0"/>
                <w:color w:val="000000"/>
                <w:kern w:val="0"/>
                <w:sz w:val="24"/>
                <w:szCs w:val="24"/>
                <w:u w:val="none"/>
                <w:lang w:val="en-US" w:eastAsia="zh-CN" w:bidi="ar"/>
              </w:rPr>
              <w:t>5</w:t>
            </w:r>
            <w:r>
              <w:rPr>
                <w:rStyle w:val="22"/>
                <w:lang w:val="en-US" w:eastAsia="zh-CN" w:bidi="ar"/>
              </w:rPr>
              <w:t>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询问：从业人员对本岗位安全职责、安全生产操作规程、安全风险及管控措施、防护用品使用、自救互救及应急处置措施的掌握情况。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各班组应按照有关规定开展安全培训、安全操作技能训练、岗位作业危险预知、作业现场隐患排查、事故分析等工作，并做好记录。</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班组未开展安全生产教育培训、安全操作技能训练、岗位作业危险预知、作业现场隐患排查、事故分析的不得分；每班组缺少一项内容扣2分。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查资料：班组活动记录。</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查现场：班组活动与企业实际的符合性。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4" w:type="dxa"/>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997" w:type="dxa"/>
            <w:gridSpan w:val="3"/>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小计</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135</w:t>
            </w:r>
          </w:p>
        </w:tc>
        <w:tc>
          <w:tcPr>
            <w:tcW w:w="3870" w:type="dxa"/>
            <w:shd w:val="clear" w:color="auto" w:fill="auto"/>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c>
          <w:tcPr>
            <w:tcW w:w="3045" w:type="dxa"/>
            <w:shd w:val="clear" w:color="auto" w:fill="auto"/>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0" w:hRule="atLeast"/>
          <w:jc w:val="center"/>
        </w:trPr>
        <w:tc>
          <w:tcPr>
            <w:tcW w:w="504"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现场管理</w:t>
            </w:r>
          </w:p>
        </w:tc>
        <w:tc>
          <w:tcPr>
            <w:tcW w:w="1282" w:type="dxa"/>
            <w:gridSpan w:val="2"/>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w:t>
            </w:r>
            <w:r>
              <w:rPr>
                <w:rStyle w:val="22"/>
                <w:lang w:val="en-US" w:eastAsia="zh-CN" w:bidi="ar"/>
              </w:rPr>
              <w:t>相关方管理</w:t>
            </w: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建立有关承包商、供应商等相关方的管理制度。</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无该项制度的，不得分；未明确双方权责或不符合有关规定的，不得分。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查资料：相关方管理制度。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82" w:type="dxa"/>
            <w:gridSpan w:val="2"/>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对承包商、供应商等相关方的资格预审、选择、服务前准备、作业过程监督、提供的产品、技术服务、表现评估、续用等进行管理，建立相关方的名录和档案。</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以包代管的，不得分；未纳入甲方统一安全管理的，不得分；未将安全绩效与续用挂钩的，不得分；未建立合格承包商、供应商等相关方的名录和档案的，不得分；名录或档案资料不全的，每缺一个扣2分。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查资料：对相关方的资格预审、选择、服务前准备、作业过程监督、提供的产品、技术服务、表现评估、续用等管理记录；相关方的名录和档案。</w:t>
            </w:r>
            <w:r>
              <w:rPr>
                <w:rFonts w:hint="default" w:ascii="Times New Roman" w:hAnsi="Times New Roman" w:eastAsia="宋体" w:cs="Times New Roman"/>
                <w:i w:val="0"/>
                <w:color w:val="000000"/>
                <w:kern w:val="0"/>
                <w:sz w:val="24"/>
                <w:szCs w:val="24"/>
                <w:u w:val="non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查现场：对承包商作业过程监督。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82" w:type="dxa"/>
            <w:gridSpan w:val="2"/>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根据相关方提供的服务作业性质和行为定期识别服务行为风险，采取行之有效的风险控制措施，并对其安全绩效进行监测。</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未定期进行风险评估的，每个扣2分；风险控制措施缺乏针对性、操作性的，每个扣2分；未对其进行安全绩效监测的，每次扣2分；甲方未进行有效统一协调管理交叉作业的，不得分</w:t>
            </w:r>
            <w:r>
              <w:rPr>
                <w:rStyle w:val="24"/>
                <w:rFonts w:hint="default" w:ascii="Times New Roman" w:hAnsi="Times New Roman" w:cs="Times New Roman"/>
                <w:lang w:val="en-US" w:eastAsia="zh-CN" w:bidi="ar"/>
              </w:rPr>
              <w:t>。</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查资料：相关方风险评估表。</w:t>
            </w:r>
            <w:r>
              <w:rPr>
                <w:rFonts w:hint="default" w:ascii="Times New Roman" w:hAnsi="Times New Roman" w:eastAsia="宋体" w:cs="Times New Roman"/>
                <w:i w:val="0"/>
                <w:color w:val="000000"/>
                <w:kern w:val="0"/>
                <w:sz w:val="24"/>
                <w:szCs w:val="24"/>
                <w:u w:val="non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查现场：风险控制措施有效性和落实情况。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8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82" w:type="dxa"/>
            <w:gridSpan w:val="2"/>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、不应将项目委托给不具备相应资质或安全生产条件的承包商、供应商等相关方。</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应与承包商应签订安全生产管理协议。协议内容应至少包括；双方安全生产职责、各自管理的区域范围；作业场所、作业人员、设备设施的安全生产管理责任；双方有关安全生产的权利和义务；生产安全事故报告和应急救援责任。</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3870" w:type="dxa"/>
            <w:shd w:val="clear" w:color="auto" w:fill="FCD5B4"/>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发包给无相应资质的相关方的，不得分；未签订安全生产管理协议的，不得分；安全生产管理协议，或者承包合同、承租合同中免除或者转嫁企业安全生产工作统一协调、管理义务的，不得分；安全协议内容不全或不符合要求的，每发现一处扣3分。</w:t>
            </w:r>
            <w:r>
              <w:rPr>
                <w:rStyle w:val="24"/>
                <w:rFonts w:hint="default" w:ascii="Times New Roman" w:hAnsi="Times New Roman" w:cs="Times New Roman"/>
                <w:lang w:val="en-US" w:eastAsia="zh-CN" w:bidi="ar"/>
              </w:rPr>
              <w:t>本小项不得分，追加扣除20分。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查资料：安全生产管理协议、工程项目发包文件、承包协议等；</w:t>
            </w:r>
            <w:r>
              <w:rPr>
                <w:rFonts w:hint="default" w:ascii="Times New Roman" w:hAnsi="Times New Roman" w:eastAsia="宋体" w:cs="Times New Roman"/>
                <w:i w:val="0"/>
                <w:color w:val="000000"/>
                <w:kern w:val="0"/>
                <w:sz w:val="24"/>
                <w:szCs w:val="24"/>
                <w:u w:val="non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查现场：现场作业区域内的相关方作业活动。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7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82" w:type="dxa"/>
            <w:gridSpan w:val="2"/>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对相关方统一协调管理，对同一作业区域内的多个相关方的交叉作业。两个以上作业队伍在同一作业区域内进行作业活动时，不同作业队伍相互之间应签订管理协议，明确各自的安全生产职责和采取的有效措施，并指定专人进行协调和监督。</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3870" w:type="dxa"/>
            <w:shd w:val="clear" w:color="auto" w:fill="B7DEE8"/>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rFonts w:hint="default" w:ascii="Times New Roman" w:hAnsi="Times New Roman" w:cs="Times New Roman"/>
                <w:lang w:val="en-US" w:eastAsia="zh-CN" w:bidi="ar"/>
              </w:rPr>
              <w:t>不同队伍之间未签订安全生产协议的，每次扣</w:t>
            </w:r>
            <w:r>
              <w:rPr>
                <w:rFonts w:hint="default" w:ascii="Times New Roman" w:hAnsi="Times New Roman" w:eastAsia="宋体" w:cs="Times New Roman"/>
                <w:i w:val="0"/>
                <w:color w:val="000000"/>
                <w:kern w:val="0"/>
                <w:sz w:val="24"/>
                <w:szCs w:val="24"/>
                <w:u w:val="none"/>
                <w:lang w:val="en-US" w:eastAsia="zh-CN" w:bidi="ar"/>
              </w:rPr>
              <w:t>5</w:t>
            </w:r>
            <w:r>
              <w:rPr>
                <w:rStyle w:val="22"/>
                <w:rFonts w:hint="default" w:ascii="Times New Roman" w:hAnsi="Times New Roman" w:cs="Times New Roman"/>
                <w:lang w:val="en-US" w:eastAsia="zh-CN" w:bidi="ar"/>
              </w:rPr>
              <w:t>分；协议内容不全的，每处扣</w:t>
            </w:r>
            <w:r>
              <w:rPr>
                <w:rFonts w:hint="default" w:ascii="Times New Roman" w:hAnsi="Times New Roman" w:eastAsia="宋体" w:cs="Times New Roman"/>
                <w:i w:val="0"/>
                <w:color w:val="000000"/>
                <w:kern w:val="0"/>
                <w:sz w:val="24"/>
                <w:szCs w:val="24"/>
                <w:u w:val="none"/>
                <w:lang w:val="en-US" w:eastAsia="zh-CN" w:bidi="ar"/>
              </w:rPr>
              <w:t>2</w:t>
            </w:r>
            <w:r>
              <w:rPr>
                <w:rStyle w:val="22"/>
                <w:rFonts w:hint="default" w:ascii="Times New Roman" w:hAnsi="Times New Roman" w:cs="Times New Roman"/>
                <w:lang w:val="en-US" w:eastAsia="zh-CN" w:bidi="ar"/>
              </w:rPr>
              <w:t>分。</w:t>
            </w:r>
            <w:r>
              <w:rPr>
                <w:rStyle w:val="24"/>
                <w:rFonts w:hint="default" w:ascii="Times New Roman" w:hAnsi="Times New Roman" w:cs="Times New Roman"/>
                <w:lang w:val="en-US" w:eastAsia="zh-CN" w:bidi="ar"/>
              </w:rPr>
              <w:t>本小项不得分，追加扣除</w:t>
            </w:r>
            <w:r>
              <w:rPr>
                <w:rFonts w:hint="default" w:ascii="Times New Roman" w:hAnsi="Times New Roman" w:eastAsia="宋体" w:cs="Times New Roman"/>
                <w:b/>
                <w:i w:val="0"/>
                <w:color w:val="000000"/>
                <w:kern w:val="0"/>
                <w:sz w:val="24"/>
                <w:szCs w:val="24"/>
                <w:u w:val="none"/>
                <w:lang w:val="en-US" w:eastAsia="zh-CN" w:bidi="ar"/>
              </w:rPr>
              <w:t>20</w:t>
            </w:r>
            <w:r>
              <w:rPr>
                <w:rStyle w:val="24"/>
                <w:rFonts w:hint="default" w:ascii="Times New Roman" w:hAnsi="Times New Roman" w:cs="Times New Roman"/>
                <w:lang w:val="en-US" w:eastAsia="zh-CN" w:bidi="ar"/>
              </w:rPr>
              <w:t>分。</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b/>
                <w:i w:val="0"/>
                <w:color w:val="FF0000"/>
                <w:kern w:val="0"/>
                <w:sz w:val="24"/>
                <w:szCs w:val="24"/>
                <w:u w:val="none"/>
                <w:lang w:val="en-US" w:eastAsia="zh-CN" w:bidi="ar"/>
              </w:rPr>
              <w:t>未对承包单位、承租单位的安全生产工作统一协调、管理，或者未定期进行安全检查的，为否决项。</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查资料：安全生产管理协议、工程项目发包文件、承包协议等；</w:t>
            </w:r>
            <w:r>
              <w:rPr>
                <w:rFonts w:hint="default" w:ascii="Times New Roman" w:hAnsi="Times New Roman" w:eastAsia="宋体" w:cs="Times New Roman"/>
                <w:i w:val="0"/>
                <w:color w:val="000000"/>
                <w:kern w:val="0"/>
                <w:sz w:val="24"/>
                <w:szCs w:val="24"/>
                <w:u w:val="non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查现场：现场作业区域内的多个相关方的交叉作业安全管理情况及检查整改记录。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82" w:type="dxa"/>
            <w:gridSpan w:val="2"/>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要向承包商进行作业现场安全交底，对承包商的安全作业规程、施工方案和应急预案进行审查。</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未进行安全交底的，每次扣4分；未对承包商的安全作业规程、施工方案和应急预案进行审查的，每次扣4分。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查文件：</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现场安全交底、施工方案和应急预案等资料。</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现场检查：</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现场抽查承包商施工人员的安全教育情况。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5" w:hRule="atLeast"/>
          <w:jc w:val="center"/>
        </w:trPr>
        <w:tc>
          <w:tcPr>
            <w:tcW w:w="504" w:type="dxa"/>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997" w:type="dxa"/>
            <w:gridSpan w:val="3"/>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小计</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w:t>
            </w:r>
          </w:p>
        </w:tc>
        <w:tc>
          <w:tcPr>
            <w:tcW w:w="3870" w:type="dxa"/>
            <w:shd w:val="clear" w:color="auto" w:fill="auto"/>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c>
          <w:tcPr>
            <w:tcW w:w="3045" w:type="dxa"/>
            <w:shd w:val="clear" w:color="auto" w:fill="auto"/>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5" w:hRule="atLeast"/>
          <w:jc w:val="center"/>
        </w:trPr>
        <w:tc>
          <w:tcPr>
            <w:tcW w:w="504"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现场管理</w:t>
            </w:r>
          </w:p>
        </w:tc>
        <w:tc>
          <w:tcPr>
            <w:tcW w:w="1282" w:type="dxa"/>
            <w:gridSpan w:val="2"/>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r>
              <w:rPr>
                <w:rStyle w:val="22"/>
                <w:lang w:val="en-US" w:eastAsia="zh-CN" w:bidi="ar"/>
              </w:rPr>
              <w:t>警示标志</w:t>
            </w: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建立警示标志和安全防护的管理制度。</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无该项制度的，不得分。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查资料：相关管理文件；制度执行记录。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82" w:type="dxa"/>
            <w:gridSpan w:val="2"/>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、警示标志的安全色和安全标志应分别符合</w:t>
            </w:r>
            <w:r>
              <w:rPr>
                <w:rFonts w:hint="default" w:ascii="Times New Roman" w:hAnsi="Times New Roman" w:eastAsia="宋体" w:cs="Times New Roman"/>
                <w:i w:val="0"/>
                <w:color w:val="000000"/>
                <w:kern w:val="0"/>
                <w:sz w:val="24"/>
                <w:szCs w:val="24"/>
                <w:u w:val="none"/>
                <w:lang w:val="en-US" w:eastAsia="zh-CN" w:bidi="ar"/>
              </w:rPr>
              <w:t>GB 2893</w:t>
            </w:r>
            <w:r>
              <w:rPr>
                <w:rStyle w:val="22"/>
                <w:lang w:val="en-US" w:eastAsia="zh-CN" w:bidi="ar"/>
              </w:rPr>
              <w:t>和</w:t>
            </w:r>
            <w:r>
              <w:rPr>
                <w:rFonts w:hint="default" w:ascii="Times New Roman" w:hAnsi="Times New Roman" w:eastAsia="宋体" w:cs="Times New Roman"/>
                <w:i w:val="0"/>
                <w:color w:val="000000"/>
                <w:kern w:val="0"/>
                <w:sz w:val="24"/>
                <w:szCs w:val="24"/>
                <w:u w:val="none"/>
                <w:lang w:val="en-US" w:eastAsia="zh-CN" w:bidi="ar"/>
              </w:rPr>
              <w:t>GB 2894</w:t>
            </w:r>
            <w:r>
              <w:rPr>
                <w:rStyle w:val="22"/>
                <w:lang w:val="en-US" w:eastAsia="zh-CN" w:bidi="ar"/>
              </w:rPr>
              <w:t>的规定。</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、道路交通标志和标线应符合</w:t>
            </w:r>
            <w:r>
              <w:rPr>
                <w:rFonts w:hint="default" w:ascii="Times New Roman" w:hAnsi="Times New Roman" w:eastAsia="宋体" w:cs="Times New Roman"/>
                <w:i w:val="0"/>
                <w:color w:val="000000"/>
                <w:kern w:val="0"/>
                <w:sz w:val="24"/>
                <w:szCs w:val="24"/>
                <w:u w:val="none"/>
                <w:lang w:val="en-US" w:eastAsia="zh-CN" w:bidi="ar"/>
              </w:rPr>
              <w:t>GB 4387</w:t>
            </w:r>
            <w:r>
              <w:rPr>
                <w:rStyle w:val="22"/>
                <w:lang w:val="en-US" w:eastAsia="zh-CN" w:bidi="ar"/>
              </w:rPr>
              <w:t>的规定。</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、消防安全标志应符合</w:t>
            </w:r>
            <w:r>
              <w:rPr>
                <w:rFonts w:hint="default" w:ascii="Times New Roman" w:hAnsi="Times New Roman" w:eastAsia="宋体" w:cs="Times New Roman"/>
                <w:i w:val="0"/>
                <w:color w:val="000000"/>
                <w:kern w:val="0"/>
                <w:sz w:val="24"/>
                <w:szCs w:val="24"/>
                <w:u w:val="none"/>
                <w:lang w:val="en-US" w:eastAsia="zh-CN" w:bidi="ar"/>
              </w:rPr>
              <w:t>GB 13495.1</w:t>
            </w:r>
            <w:r>
              <w:rPr>
                <w:rStyle w:val="22"/>
                <w:lang w:val="en-US" w:eastAsia="zh-CN" w:bidi="ar"/>
              </w:rPr>
              <w:t>的规定。</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不符合要求的，每处扣1分。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82" w:type="dxa"/>
            <w:gridSpan w:val="2"/>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有重大危险源、较大危险因素的工作场所，设置明显的、符合有关规定要求的安全警示标志，进行危险提示、警示，告知危险的种类、后果及应急措施等。</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不符合要求的，每处扣2分。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82" w:type="dxa"/>
            <w:gridSpan w:val="2"/>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、危险化学品专用仓库、特种设备、产生严重职业危害的作业岗位，应遵照有关规定设置标识及警示标志。</w:t>
            </w:r>
            <w:r>
              <w:rPr>
                <w:rFonts w:hint="default" w:ascii="Times New Roman" w:hAnsi="Times New Roman" w:eastAsia="宋体" w:cs="Times New Roman"/>
                <w:i w:val="0"/>
                <w:color w:val="000000"/>
                <w:kern w:val="0"/>
                <w:sz w:val="24"/>
                <w:szCs w:val="24"/>
                <w:u w:val="non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、在设备设施检维修、施工、吊装等作业现场设置警戒区域和警示标志，在检维修现场的坑、井、洼、沟、陡坡等场所设置围栏和警示标志。</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、设备裸露的运转部分，应设有防护罩、防护栏杆或防护挡板。</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、吊装孔应设置防护盖板或栏杆，并应设警示标志。</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5</w:t>
            </w:r>
            <w:r>
              <w:rPr>
                <w:rStyle w:val="22"/>
                <w:lang w:val="en-US" w:eastAsia="zh-CN" w:bidi="ar"/>
              </w:rPr>
              <w:t>、煤气容易泄露和积聚的场所，应设醒目的警示标志和固定式监测报警装置，报警信号应引入有人值守的操作控制室。</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不符合要求的，每处扣2分。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82" w:type="dxa"/>
            <w:gridSpan w:val="2"/>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定期对警示标志进行检査维护，确保其完好有效。</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不符合要求的，每处扣1分。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查资料：检查维护记录。</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5" w:hRule="atLeast"/>
          <w:jc w:val="center"/>
        </w:trPr>
        <w:tc>
          <w:tcPr>
            <w:tcW w:w="504" w:type="dxa"/>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997" w:type="dxa"/>
            <w:gridSpan w:val="3"/>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小计</w:t>
            </w:r>
          </w:p>
        </w:tc>
        <w:tc>
          <w:tcPr>
            <w:tcW w:w="608" w:type="dxa"/>
            <w:shd w:val="clear" w:color="auto" w:fill="auto"/>
            <w:noWrap/>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3870" w:type="dxa"/>
            <w:shd w:val="clear" w:color="auto" w:fill="auto"/>
            <w:noWrap/>
            <w:tcMar>
              <w:top w:w="8" w:type="dxa"/>
              <w:left w:w="8" w:type="dxa"/>
              <w:right w:w="8" w:type="dxa"/>
            </w:tcMar>
            <w:vAlign w:val="center"/>
          </w:tcPr>
          <w:p>
            <w:pPr>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3045" w:type="dxa"/>
            <w:shd w:val="clear" w:color="auto" w:fill="auto"/>
            <w:noWrap/>
            <w:tcMar>
              <w:top w:w="8" w:type="dxa"/>
              <w:left w:w="8" w:type="dxa"/>
              <w:right w:w="8" w:type="dxa"/>
            </w:tcMar>
            <w:vAlign w:val="center"/>
          </w:tcPr>
          <w:p>
            <w:pPr>
              <w:spacing w:before="0" w:beforeAutospacing="0" w:after="0" w:afterAutospacing="0"/>
              <w:ind w:left="0" w:right="0"/>
              <w:rPr>
                <w:rFonts w:hint="default" w:ascii="Times New Roman" w:hAnsi="Times New Roman" w:eastAsia="宋体"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5" w:hRule="atLeast"/>
          <w:jc w:val="center"/>
        </w:trPr>
        <w:tc>
          <w:tcPr>
            <w:tcW w:w="7501" w:type="dxa"/>
            <w:gridSpan w:val="4"/>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合计</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450</w:t>
            </w:r>
          </w:p>
        </w:tc>
        <w:tc>
          <w:tcPr>
            <w:tcW w:w="3870" w:type="dxa"/>
            <w:shd w:val="clear" w:color="auto" w:fill="auto"/>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c>
          <w:tcPr>
            <w:tcW w:w="3045" w:type="dxa"/>
            <w:shd w:val="clear" w:color="auto" w:fill="auto"/>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04"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5 </w:t>
            </w:r>
            <w:r>
              <w:rPr>
                <w:rStyle w:val="22"/>
                <w:lang w:val="en-US" w:eastAsia="zh-CN" w:bidi="ar"/>
              </w:rPr>
              <w:t>安全风险管控及隐患排查治理</w:t>
            </w:r>
          </w:p>
        </w:tc>
        <w:tc>
          <w:tcPr>
            <w:tcW w:w="645"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w:t>
            </w:r>
            <w:r>
              <w:rPr>
                <w:rStyle w:val="22"/>
                <w:lang w:val="en-US" w:eastAsia="zh-CN" w:bidi="ar"/>
              </w:rPr>
              <w:t>安全风险管理</w:t>
            </w:r>
          </w:p>
        </w:tc>
        <w:tc>
          <w:tcPr>
            <w:tcW w:w="637"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5.1.1</w:t>
            </w:r>
            <w:r>
              <w:rPr>
                <w:rStyle w:val="22"/>
                <w:lang w:val="en-US" w:eastAsia="zh-CN" w:bidi="ar"/>
              </w:rPr>
              <w:t>安全风险辨识</w:t>
            </w: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建立安全风险辨识管理制度，制度应包含：风险辨识、风险评估、分级管控相关内容，明确职责分工及其责任制考核奖惩办法。</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rFonts w:hint="default" w:ascii="Times New Roman" w:hAnsi="Times New Roman" w:cs="Times New Roman"/>
                <w:lang w:val="en-US" w:eastAsia="zh-CN" w:bidi="ar"/>
              </w:rPr>
              <w:t>未建立安全风险辨识管理制度的，不得分；内容不全的，每缺少一项扣</w:t>
            </w:r>
            <w:r>
              <w:rPr>
                <w:rFonts w:hint="default" w:ascii="Times New Roman" w:hAnsi="Times New Roman" w:eastAsia="宋体" w:cs="Times New Roman"/>
                <w:i w:val="0"/>
                <w:color w:val="000000"/>
                <w:kern w:val="0"/>
                <w:sz w:val="24"/>
                <w:szCs w:val="24"/>
                <w:u w:val="none"/>
                <w:lang w:val="en-US" w:eastAsia="zh-CN" w:bidi="ar"/>
              </w:rPr>
              <w:t>1</w:t>
            </w:r>
            <w:r>
              <w:rPr>
                <w:rStyle w:val="22"/>
                <w:rFonts w:hint="default" w:ascii="Times New Roman" w:hAnsi="Times New Roman" w:cs="Times New Roman"/>
                <w:lang w:val="en-US" w:eastAsia="zh-CN" w:bidi="ar"/>
              </w:rPr>
              <w:t>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查资料：安全风险辨识管理制度文件；制度执行记录。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、安全风险辨识应考虑正常、异常和紧急三种状态及过去、现在和将来三种时态；</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、安全风险辨识应覆盖企业生产经营过程中各类作业活动或工艺操作、各类设备设施、所有管理岗位；</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、按照《江苏省工业企业安全生产风险报告规定》（江苏省政府令第</w:t>
            </w:r>
            <w:r>
              <w:rPr>
                <w:rFonts w:hint="default" w:ascii="Times New Roman" w:hAnsi="Times New Roman" w:eastAsia="宋体" w:cs="Times New Roman"/>
                <w:i w:val="0"/>
                <w:color w:val="000000"/>
                <w:kern w:val="0"/>
                <w:sz w:val="24"/>
                <w:szCs w:val="24"/>
                <w:u w:val="none"/>
                <w:lang w:val="en-US" w:eastAsia="zh-CN" w:bidi="ar"/>
              </w:rPr>
              <w:t xml:space="preserve">140 </w:t>
            </w:r>
            <w:r>
              <w:rPr>
                <w:rStyle w:val="22"/>
                <w:lang w:val="en-US" w:eastAsia="zh-CN" w:bidi="ar"/>
              </w:rPr>
              <w:t>号）的要求，以下方面重点进行风险辨识：（</w:t>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）生产工艺流程；（</w:t>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）主要设备设施及其安全防护；（</w:t>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）涉及易燃易爆、有毒有害危险因素的作业场所；（</w:t>
            </w: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）有限空间以及有限空间作业；（</w:t>
            </w:r>
            <w:r>
              <w:rPr>
                <w:rFonts w:hint="default" w:ascii="Times New Roman" w:hAnsi="Times New Roman" w:eastAsia="宋体" w:cs="Times New Roman"/>
                <w:i w:val="0"/>
                <w:color w:val="000000"/>
                <w:kern w:val="0"/>
                <w:sz w:val="24"/>
                <w:szCs w:val="24"/>
                <w:u w:val="none"/>
                <w:lang w:val="en-US" w:eastAsia="zh-CN" w:bidi="ar"/>
              </w:rPr>
              <w:t>5</w:t>
            </w:r>
            <w:r>
              <w:rPr>
                <w:rStyle w:val="22"/>
                <w:lang w:val="en-US" w:eastAsia="zh-CN" w:bidi="ar"/>
              </w:rPr>
              <w:t>）爆破、吊装、危险场所动火作业、大型检维修等危险作业；（</w:t>
            </w:r>
            <w:r>
              <w:rPr>
                <w:rFonts w:hint="default" w:ascii="Times New Roman" w:hAnsi="Times New Roman" w:eastAsia="宋体" w:cs="Times New Roman"/>
                <w:i w:val="0"/>
                <w:color w:val="000000"/>
                <w:kern w:val="0"/>
                <w:sz w:val="24"/>
                <w:szCs w:val="24"/>
                <w:u w:val="none"/>
                <w:lang w:val="en-US" w:eastAsia="zh-CN" w:bidi="ar"/>
              </w:rPr>
              <w:t>6</w:t>
            </w:r>
            <w:r>
              <w:rPr>
                <w:rStyle w:val="22"/>
                <w:lang w:val="en-US" w:eastAsia="zh-CN" w:bidi="ar"/>
              </w:rPr>
              <w:t>）其他容易发生生产安全事故的风险点。</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、每年至少进行一次安全风险辨识。</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安全风险辨识未考虑三种状态、三种时态的，扣3分；风险辨识遗漏，或存在管理交叉、责任不明的，每处扣5分；安全风险辨识频次不符合要求的，扣4分。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查资料：安全风险辨识记录；安全风险档案；各岗位安全职责分工。</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查现场：安全风险清单与生产实际是否符合；是否遗漏；是否管理责任不清；主要风险信息是否准确。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安全风险辨识内容与现场实际相符。</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较大及以上风险辨识内容与现场不符的，每处扣3分。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查资料：安全风险辨识记录；安全风险档案。</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查现场：安全风险清单与生产实际的符合性。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8"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风险辨识资料必须进行统计、分析、整理并归档。</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rFonts w:hint="default" w:ascii="Times New Roman" w:hAnsi="Times New Roman" w:cs="Times New Roman"/>
                <w:lang w:val="en-US" w:eastAsia="zh-CN" w:bidi="ar"/>
              </w:rPr>
              <w:t>无风险辨识档案的不得分；未进行统计、分析和分类整理，每缺少一项扣</w:t>
            </w:r>
            <w:r>
              <w:rPr>
                <w:rFonts w:hint="default" w:ascii="Times New Roman" w:hAnsi="Times New Roman" w:eastAsia="宋体" w:cs="Times New Roman"/>
                <w:i w:val="0"/>
                <w:color w:val="000000"/>
                <w:kern w:val="0"/>
                <w:sz w:val="24"/>
                <w:szCs w:val="24"/>
                <w:u w:val="none"/>
                <w:lang w:val="en-US" w:eastAsia="zh-CN" w:bidi="ar"/>
              </w:rPr>
              <w:t>2</w:t>
            </w:r>
            <w:r>
              <w:rPr>
                <w:rStyle w:val="22"/>
                <w:rFonts w:hint="default" w:ascii="Times New Roman" w:hAnsi="Times New Roman" w:cs="Times New Roman"/>
                <w:lang w:val="en-US" w:eastAsia="zh-CN" w:bidi="ar"/>
              </w:rPr>
              <w:t>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查资料：安全风险辨识记录；安全风险档案。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5.1.2</w:t>
            </w:r>
            <w:r>
              <w:rPr>
                <w:rStyle w:val="22"/>
                <w:lang w:val="en-US" w:eastAsia="zh-CN" w:bidi="ar"/>
              </w:rPr>
              <w:t>安全风险评估</w:t>
            </w: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建立安全风险评估管理制度，明确安全风险评估的目的、范围、频次、准则和工作程序等。</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未建立安全风险评估管理制度的，不得分；内容不全的，每缺少一项扣1分。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查资料：安全风险评估管理制度。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7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应选择适宜的评估方法开展安全风险评估工作，评估方法有：（</w:t>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）工作危害分析（</w:t>
            </w:r>
            <w:r>
              <w:rPr>
                <w:rFonts w:hint="default" w:ascii="Times New Roman" w:hAnsi="Times New Roman" w:eastAsia="宋体" w:cs="Times New Roman"/>
                <w:i w:val="0"/>
                <w:color w:val="000000"/>
                <w:kern w:val="0"/>
                <w:sz w:val="24"/>
                <w:szCs w:val="24"/>
                <w:u w:val="none"/>
                <w:lang w:val="en-US" w:eastAsia="zh-CN" w:bidi="ar"/>
              </w:rPr>
              <w:t>JHA</w:t>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）安全检查表分析（</w:t>
            </w:r>
            <w:r>
              <w:rPr>
                <w:rFonts w:hint="default" w:ascii="Times New Roman" w:hAnsi="Times New Roman" w:eastAsia="宋体" w:cs="Times New Roman"/>
                <w:i w:val="0"/>
                <w:color w:val="000000"/>
                <w:kern w:val="0"/>
                <w:sz w:val="24"/>
                <w:szCs w:val="24"/>
                <w:u w:val="none"/>
                <w:lang w:val="en-US" w:eastAsia="zh-CN" w:bidi="ar"/>
              </w:rPr>
              <w:t>SCL</w:t>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）预危险性分析（</w:t>
            </w:r>
            <w:r>
              <w:rPr>
                <w:rFonts w:hint="default" w:ascii="Times New Roman" w:hAnsi="Times New Roman" w:eastAsia="宋体" w:cs="Times New Roman"/>
                <w:i w:val="0"/>
                <w:color w:val="000000"/>
                <w:kern w:val="0"/>
                <w:sz w:val="24"/>
                <w:szCs w:val="24"/>
                <w:u w:val="none"/>
                <w:lang w:val="en-US" w:eastAsia="zh-CN" w:bidi="ar"/>
              </w:rPr>
              <w:t>PHA</w:t>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）危险与可操作性分析（</w:t>
            </w:r>
            <w:r>
              <w:rPr>
                <w:rFonts w:hint="default" w:ascii="Times New Roman" w:hAnsi="Times New Roman" w:eastAsia="宋体" w:cs="Times New Roman"/>
                <w:i w:val="0"/>
                <w:color w:val="000000"/>
                <w:kern w:val="0"/>
                <w:sz w:val="24"/>
                <w:szCs w:val="24"/>
                <w:u w:val="none"/>
                <w:lang w:val="en-US" w:eastAsia="zh-CN" w:bidi="ar"/>
              </w:rPr>
              <w:t>HAZOP</w:t>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5</w:t>
            </w:r>
            <w:r>
              <w:rPr>
                <w:rStyle w:val="22"/>
                <w:lang w:val="en-US" w:eastAsia="zh-CN" w:bidi="ar"/>
              </w:rPr>
              <w:t>）失效模式与影响分析（</w:t>
            </w:r>
            <w:r>
              <w:rPr>
                <w:rFonts w:hint="default" w:ascii="Times New Roman" w:hAnsi="Times New Roman" w:eastAsia="宋体" w:cs="Times New Roman"/>
                <w:i w:val="0"/>
                <w:color w:val="000000"/>
                <w:kern w:val="0"/>
                <w:sz w:val="24"/>
                <w:szCs w:val="24"/>
                <w:u w:val="none"/>
                <w:lang w:val="en-US" w:eastAsia="zh-CN" w:bidi="ar"/>
              </w:rPr>
              <w:t>FMEA</w:t>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6</w:t>
            </w:r>
            <w:r>
              <w:rPr>
                <w:rStyle w:val="22"/>
                <w:lang w:val="en-US" w:eastAsia="zh-CN" w:bidi="ar"/>
              </w:rPr>
              <w:t>）故障树分析（</w:t>
            </w:r>
            <w:r>
              <w:rPr>
                <w:rFonts w:hint="default" w:ascii="Times New Roman" w:hAnsi="Times New Roman" w:eastAsia="宋体" w:cs="Times New Roman"/>
                <w:i w:val="0"/>
                <w:color w:val="000000"/>
                <w:kern w:val="0"/>
                <w:sz w:val="24"/>
                <w:szCs w:val="24"/>
                <w:u w:val="none"/>
                <w:lang w:val="en-US" w:eastAsia="zh-CN" w:bidi="ar"/>
              </w:rPr>
              <w:t>FTA</w:t>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7</w:t>
            </w:r>
            <w:r>
              <w:rPr>
                <w:rStyle w:val="22"/>
                <w:lang w:val="en-US" w:eastAsia="zh-CN" w:bidi="ar"/>
              </w:rPr>
              <w:t>）事件树分析（</w:t>
            </w:r>
            <w:r>
              <w:rPr>
                <w:rFonts w:hint="default" w:ascii="Times New Roman" w:hAnsi="Times New Roman" w:eastAsia="宋体" w:cs="Times New Roman"/>
                <w:i w:val="0"/>
                <w:color w:val="000000"/>
                <w:kern w:val="0"/>
                <w:sz w:val="24"/>
                <w:szCs w:val="24"/>
                <w:u w:val="none"/>
                <w:lang w:val="en-US" w:eastAsia="zh-CN" w:bidi="ar"/>
              </w:rPr>
              <w:t>ETA</w:t>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8</w:t>
            </w:r>
            <w:r>
              <w:rPr>
                <w:rStyle w:val="22"/>
                <w:lang w:val="en-US" w:eastAsia="zh-CN" w:bidi="ar"/>
              </w:rPr>
              <w:t>）作业条件危险性分析（</w:t>
            </w:r>
            <w:r>
              <w:rPr>
                <w:rFonts w:hint="default" w:ascii="Times New Roman" w:hAnsi="Times New Roman" w:eastAsia="宋体" w:cs="Times New Roman"/>
                <w:i w:val="0"/>
                <w:color w:val="000000"/>
                <w:kern w:val="0"/>
                <w:sz w:val="24"/>
                <w:szCs w:val="24"/>
                <w:u w:val="none"/>
                <w:lang w:val="en-US" w:eastAsia="zh-CN" w:bidi="ar"/>
              </w:rPr>
              <w:t>LEC</w:t>
            </w:r>
            <w:r>
              <w:rPr>
                <w:rStyle w:val="22"/>
                <w:lang w:val="en-US" w:eastAsia="zh-CN" w:bidi="ar"/>
              </w:rPr>
              <w:t>）等。</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未评估的，不得分；评估范围和分析内容不全的，每缺少一项扣2分；选用方法不适宜的，扣2分。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查资料：风险分析评价记录表及风险分级管控清单。</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查现场：安全风险评估结果与生产实际的符合性。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0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、安全风险评估时，至少应从影响人、财产和环境三个方面的可能性和严重程度进行分析。</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、根据安全风险评估结果确定相应的安全风险等级。</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、符合《江苏省工业企业较大以上安全生产风险目录》所列情形的，应确定为较大以上安全风险。</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、一、二级重大危险源或者发生火灾、爆炸等事故可能造成十人以上人员死亡的较大以上安全风险，确定为重大安全风险。</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未明确安全风险等级的，每处扣3分；风险评估等级与相关法律法规、标准规范要求或企业实际明显不符合，每处扣3分。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查资料：风险分析评价记录表及风险分级管控清单。</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查现场：安全风险评估结果与生产实际的符合性。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33"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5.1.3</w:t>
            </w:r>
            <w:r>
              <w:rPr>
                <w:rStyle w:val="22"/>
                <w:lang w:val="en-US" w:eastAsia="zh-CN" w:bidi="ar"/>
              </w:rPr>
              <w:t>安全风险控制</w:t>
            </w: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、根据安全风险特点，从组织、技术、管理、应急等方面逐项制定安全风险管控措施，按照不同安全风险等级实施并落实分级管控，将安全风险管控责任逐一落实到企业、车间、班组和岗位。</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、存在较大以上安全风险的生产系统、作业场所、设备设施、危险岗位，通过隔离安全风险源、采取技术手段、实施个体防护、设置监控预警设备等针对性措施加强管控，回避、降低和监测安全风险。</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管控层级不符合企业实际或未落实各层级责任人的，每处扣2分；管控措施不合理或无针对性的，每处扣1分；较大以上安全风险未采取有效的、针对性措施加强管控，回避、降低和监测安全风险的，不得分。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查资料：安全风险清单（管控清单）；安全风险档案。</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询问：部分领导层、部门、车间和操作岗位人员掌握控制措施情况。</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查现场：管控措施的有效性；管控措施的落实情况；管控要求与企业实际的符合性。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建立安全风险管控清单。安全风险管控清单应当列明安全风险名称、所处位置（场所、部位、环节）、可能导致的事故类型及其后果、主要管控措施、管控责任部门和责任人。</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rFonts w:hint="default" w:ascii="Times New Roman" w:hAnsi="Times New Roman" w:cs="Times New Roman"/>
                <w:lang w:val="en-US" w:eastAsia="zh-CN" w:bidi="ar"/>
              </w:rPr>
              <w:t>无风险管控清单的，不得分；内容不全的，每处扣</w:t>
            </w:r>
            <w:r>
              <w:rPr>
                <w:rFonts w:hint="default" w:ascii="Times New Roman" w:hAnsi="Times New Roman" w:eastAsia="宋体" w:cs="Times New Roman"/>
                <w:i w:val="0"/>
                <w:color w:val="000000"/>
                <w:kern w:val="0"/>
                <w:sz w:val="24"/>
                <w:szCs w:val="24"/>
                <w:u w:val="none"/>
                <w:lang w:val="en-US" w:eastAsia="zh-CN" w:bidi="ar"/>
              </w:rPr>
              <w:t>1</w:t>
            </w:r>
            <w:r>
              <w:rPr>
                <w:rStyle w:val="22"/>
                <w:rFonts w:hint="default" w:ascii="Times New Roman" w:hAnsi="Times New Roman" w:cs="Times New Roman"/>
                <w:lang w:val="en-US" w:eastAsia="zh-CN" w:bidi="ar"/>
              </w:rPr>
              <w:t>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查资料：安全风险清单（管控清单）；安全风险档案。</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查现场：管控措施的有效性。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每年至少进行一次风险信息更新。有下列情形之一的，企业应当及时组织开展针对性的安全风险辨识，确定或者调整安全风险等级，更新安全风险管控清单</w:t>
            </w:r>
            <w:r>
              <w:rPr>
                <w:rFonts w:hint="default"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）生产工艺流程、主要设备设施、主要生产物料发生改变的。</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）有新建、改建、扩建项目的。</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）行业领域内发生较大以上生产安全事故或者典型生产安全事故，对安全风险有新认知的。</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）本企业发生生产安全事故的。</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5</w:t>
            </w:r>
            <w:r>
              <w:rPr>
                <w:rStyle w:val="22"/>
                <w:lang w:val="en-US" w:eastAsia="zh-CN" w:bidi="ar"/>
              </w:rPr>
              <w:t>）安全风险目录修订调整涉及本企业的。</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6</w:t>
            </w:r>
            <w:r>
              <w:rPr>
                <w:rStyle w:val="22"/>
                <w:lang w:val="en-US" w:eastAsia="zh-CN" w:bidi="ar"/>
              </w:rPr>
              <w:t>）法律、法规、规章和国家标准、行业标准、地方标准对安全风险辨识管控有新要求的。</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未及时更新的，不得分；辨识不全的，每处扣2分。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查资料：安全风险清单（管控清单）；安全风险档案；变更管理制度文件。</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查现场：管控措施的有效性。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安全风险辨识管控应纳入年度安全培训计划并组织实施，定期开展安全风险辨识管控知识教育和技能培训。</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未纳入年度安全培训计划或未开展培训的，不得分；从业人员不了解本岗位安全风险基本情况、不熟悉安全风险管控措施、不掌握事故应急处置要点的，每人扣2分。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查资料：安全培训计划；培训记录；培训档案。</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询问：相关从业人员对本岗位安全风险、管控措施、应急处置措施的掌握情况。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3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、较大以上安全风险应公示或者设置重大安全风险警示牌。</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、重大安全风险区域安全风险警示牌应标明重大安全风险名称、可能导致的事故类型及其后果、主要管控措施、应急措施、报告方式、管控责任部门和责任人等内容。</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、有安全风险的工作岗位设置安全告知卡，告知从业人员本企业、本岗位主要危险有害因素、后果、事故预防及应急措施、报告电话等内容。</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、较大以上安全风险公示栏应包括风险名称、所处位置、可能导致的事故类型及其后果、管控责任部门和监督举报电话等基本情况。</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5.</w:t>
            </w:r>
            <w:r>
              <w:rPr>
                <w:rStyle w:val="22"/>
                <w:lang w:val="en-US" w:eastAsia="zh-CN" w:bidi="ar"/>
              </w:rPr>
              <w:t>厂区显著位置应设置安全风险四色图。</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不符合要求的，每处扣1分。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编制安全风险报告，较大以上安全风险信息和变更内容，应当由主要负责人审核、确认。</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无安全风险报告的，不得分；审核、确认不符合要求的，扣2分。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查资料：安全风险报告；编制流程相关记录。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、按照《江苏省工业企业安全生产风险报告规定》（江苏省政府令第</w:t>
            </w:r>
            <w:r>
              <w:rPr>
                <w:rFonts w:hint="default" w:ascii="Times New Roman" w:hAnsi="Times New Roman" w:eastAsia="宋体" w:cs="Times New Roman"/>
                <w:i w:val="0"/>
                <w:color w:val="000000"/>
                <w:kern w:val="0"/>
                <w:sz w:val="24"/>
                <w:szCs w:val="24"/>
                <w:u w:val="none"/>
                <w:lang w:val="en-US" w:eastAsia="zh-CN" w:bidi="ar"/>
              </w:rPr>
              <w:t xml:space="preserve">140 </w:t>
            </w:r>
            <w:r>
              <w:rPr>
                <w:rStyle w:val="22"/>
                <w:lang w:val="en-US" w:eastAsia="zh-CN" w:bidi="ar"/>
              </w:rPr>
              <w:t>号）的要求，通过全省统一的安全风险网上报告系统定期报告较大以上安全风险；没有较大以上安全风险的，也应当登录安全风险网上报告系统进行确认。</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、有新的较大以上安全风险的或原报告的较大以上安全风险等级发生变化的，应当在确定或者调整安全风险等级后十五日内进行变更报告。</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、企业名称、主要负责人等基本信息发生变化的，应当在发生变化后十五日内进行变更报告。</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3870" w:type="dxa"/>
            <w:shd w:val="clear" w:color="auto" w:fill="FCD5B4"/>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rFonts w:hint="default" w:ascii="Times New Roman" w:hAnsi="Times New Roman" w:cs="Times New Roman"/>
                <w:lang w:val="en-US" w:eastAsia="zh-CN" w:bidi="ar"/>
              </w:rPr>
              <w:t>没有较大以上安全风险的，未登录安全风险网上报告系统进行确认的，扣</w:t>
            </w:r>
            <w:r>
              <w:rPr>
                <w:rFonts w:hint="default" w:ascii="Times New Roman" w:hAnsi="Times New Roman" w:eastAsia="宋体" w:cs="Times New Roman"/>
                <w:i w:val="0"/>
                <w:color w:val="000000"/>
                <w:kern w:val="0"/>
                <w:sz w:val="24"/>
                <w:szCs w:val="24"/>
                <w:u w:val="none"/>
                <w:lang w:val="en-US" w:eastAsia="zh-CN" w:bidi="ar"/>
              </w:rPr>
              <w:t>3</w:t>
            </w:r>
            <w:r>
              <w:rPr>
                <w:rStyle w:val="22"/>
                <w:rFonts w:hint="default" w:ascii="Times New Roman" w:hAnsi="Times New Roman" w:cs="Times New Roman"/>
                <w:lang w:val="en-US" w:eastAsia="zh-CN" w:bidi="ar"/>
              </w:rPr>
              <w:t>分；漏报的，每项扣</w:t>
            </w:r>
            <w:r>
              <w:rPr>
                <w:rFonts w:hint="default" w:ascii="Times New Roman" w:hAnsi="Times New Roman" w:eastAsia="宋体" w:cs="Times New Roman"/>
                <w:i w:val="0"/>
                <w:color w:val="000000"/>
                <w:kern w:val="0"/>
                <w:sz w:val="24"/>
                <w:szCs w:val="24"/>
                <w:u w:val="none"/>
                <w:lang w:val="en-US" w:eastAsia="zh-CN" w:bidi="ar"/>
              </w:rPr>
              <w:t>5</w:t>
            </w:r>
            <w:r>
              <w:rPr>
                <w:rStyle w:val="22"/>
                <w:rFonts w:hint="default" w:ascii="Times New Roman" w:hAnsi="Times New Roman" w:cs="Times New Roman"/>
                <w:lang w:val="en-US" w:eastAsia="zh-CN" w:bidi="ar"/>
              </w:rPr>
              <w:t>分；发生变更未及时上报的，不得分。</w:t>
            </w:r>
            <w:r>
              <w:rPr>
                <w:rStyle w:val="24"/>
                <w:rFonts w:hint="default" w:ascii="Times New Roman" w:hAnsi="Times New Roman" w:cs="Times New Roman"/>
                <w:lang w:val="en-US" w:eastAsia="zh-CN" w:bidi="ar"/>
              </w:rPr>
              <w:t>较大以上安全风险未上报的</w:t>
            </w:r>
            <w:r>
              <w:rPr>
                <w:rStyle w:val="24"/>
                <w:rFonts w:hint="eastAsia" w:ascii="Times New Roman" w:hAnsi="Times New Roman" w:cs="Times New Roman"/>
                <w:lang w:val="en-US" w:eastAsia="zh-CN" w:bidi="ar"/>
              </w:rPr>
              <w:t>，</w:t>
            </w:r>
            <w:r>
              <w:rPr>
                <w:rStyle w:val="24"/>
                <w:rFonts w:hint="eastAsia" w:ascii="Times New Roman" w:hAnsi="Times New Roman" w:eastAsia="宋体" w:cs="Times New Roman"/>
                <w:lang w:val="en-US" w:eastAsia="zh-CN" w:bidi="ar"/>
              </w:rPr>
              <w:t>不得分，</w:t>
            </w:r>
            <w:r>
              <w:rPr>
                <w:rStyle w:val="24"/>
                <w:rFonts w:hint="default" w:ascii="Times New Roman" w:hAnsi="Times New Roman" w:cs="Times New Roman"/>
                <w:lang w:val="en-US" w:eastAsia="zh-CN" w:bidi="ar"/>
              </w:rPr>
              <w:t>追加扣除</w:t>
            </w:r>
            <w:r>
              <w:rPr>
                <w:rFonts w:hint="default" w:ascii="Times New Roman" w:hAnsi="Times New Roman" w:eastAsia="宋体" w:cs="Times New Roman"/>
                <w:b/>
                <w:i w:val="0"/>
                <w:color w:val="000000"/>
                <w:kern w:val="0"/>
                <w:sz w:val="24"/>
                <w:szCs w:val="24"/>
                <w:u w:val="none"/>
                <w:lang w:val="en-US" w:eastAsia="zh-CN" w:bidi="ar"/>
              </w:rPr>
              <w:t>20</w:t>
            </w:r>
            <w:r>
              <w:rPr>
                <w:rStyle w:val="24"/>
                <w:rFonts w:hint="default" w:ascii="Times New Roman" w:hAnsi="Times New Roman" w:cs="Times New Roman"/>
                <w:lang w:val="en-US" w:eastAsia="zh-CN" w:bidi="ar"/>
              </w:rPr>
              <w:t>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查资料：安全风险网上报告系统。</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应当建立安全风险档案。安全风险档案包括安全风险管理制度、管控清单、分布图、变更情况、报告确认材料等内容。其中，较大以上安全风险资料应当单独立卷，内容包括安全风险名称、等级、所处位置、管控措施和变更情况等。</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rFonts w:hint="default" w:ascii="Times New Roman" w:hAnsi="Times New Roman" w:cs="Times New Roman"/>
                <w:lang w:val="en-US" w:eastAsia="zh-CN" w:bidi="ar"/>
              </w:rPr>
              <w:t>未建立档案的，不得分；档案内容不全的，每处扣</w:t>
            </w:r>
            <w:r>
              <w:rPr>
                <w:rFonts w:hint="default" w:ascii="Times New Roman" w:hAnsi="Times New Roman" w:eastAsia="宋体" w:cs="Times New Roman"/>
                <w:i w:val="0"/>
                <w:color w:val="000000"/>
                <w:kern w:val="0"/>
                <w:sz w:val="24"/>
                <w:szCs w:val="24"/>
                <w:u w:val="none"/>
                <w:lang w:val="en-US" w:eastAsia="zh-CN" w:bidi="ar"/>
              </w:rPr>
              <w:t>2</w:t>
            </w:r>
            <w:r>
              <w:rPr>
                <w:rStyle w:val="22"/>
                <w:rFonts w:hint="default" w:ascii="Times New Roman" w:hAnsi="Times New Roman" w:cs="Times New Roman"/>
                <w:lang w:val="en-US" w:eastAsia="zh-CN" w:bidi="ar"/>
              </w:rPr>
              <w:t>分；档案管理不符合要求的，每处扣</w:t>
            </w:r>
            <w:r>
              <w:rPr>
                <w:rFonts w:hint="default" w:ascii="Times New Roman" w:hAnsi="Times New Roman" w:eastAsia="宋体" w:cs="Times New Roman"/>
                <w:i w:val="0"/>
                <w:color w:val="000000"/>
                <w:kern w:val="0"/>
                <w:sz w:val="24"/>
                <w:szCs w:val="24"/>
                <w:u w:val="none"/>
                <w:lang w:val="en-US" w:eastAsia="zh-CN" w:bidi="ar"/>
              </w:rPr>
              <w:t>2</w:t>
            </w:r>
            <w:r>
              <w:rPr>
                <w:rStyle w:val="22"/>
                <w:rFonts w:hint="default" w:ascii="Times New Roman" w:hAnsi="Times New Roman" w:cs="Times New Roman"/>
                <w:lang w:val="en-US" w:eastAsia="zh-CN" w:bidi="ar"/>
              </w:rPr>
              <w:t>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查资料：安全风险档案。</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5" w:hRule="atLeast"/>
          <w:jc w:val="center"/>
        </w:trPr>
        <w:tc>
          <w:tcPr>
            <w:tcW w:w="504" w:type="dxa"/>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997" w:type="dxa"/>
            <w:gridSpan w:val="3"/>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小计</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3870" w:type="dxa"/>
            <w:shd w:val="clear" w:color="auto" w:fill="auto"/>
            <w:tcMar>
              <w:top w:w="8" w:type="dxa"/>
              <w:left w:w="8" w:type="dxa"/>
              <w:right w:w="8" w:type="dxa"/>
            </w:tcMar>
            <w:vAlign w:val="center"/>
          </w:tcPr>
          <w:p>
            <w:pPr>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3045" w:type="dxa"/>
            <w:shd w:val="clear" w:color="auto" w:fill="auto"/>
            <w:tcMar>
              <w:top w:w="8" w:type="dxa"/>
              <w:left w:w="8" w:type="dxa"/>
              <w:right w:w="8" w:type="dxa"/>
            </w:tcMar>
            <w:vAlign w:val="center"/>
          </w:tcPr>
          <w:p>
            <w:pPr>
              <w:spacing w:before="0" w:beforeAutospacing="0" w:after="0" w:afterAutospacing="0"/>
              <w:ind w:left="0" w:right="0"/>
              <w:rPr>
                <w:rFonts w:hint="default" w:ascii="Times New Roman" w:hAnsi="Times New Roman" w:eastAsia="宋体"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04" w:type="dxa"/>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82" w:type="dxa"/>
            <w:gridSpan w:val="2"/>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w:t>
            </w:r>
            <w:r>
              <w:rPr>
                <w:rStyle w:val="23"/>
                <w:lang w:val="en-US" w:eastAsia="zh-CN" w:bidi="ar"/>
              </w:rPr>
              <w:t>变更管理</w:t>
            </w: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3"/>
                <w:lang w:val="en-US" w:eastAsia="zh-CN" w:bidi="ar"/>
              </w:rPr>
              <w:t>建立有关人员、机构、工艺、技术、设施、作业过程及环境变更的管理制度，并制定实施计划。</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无管理制度的，扣2</w:t>
            </w:r>
            <w:r>
              <w:rPr>
                <w:rStyle w:val="22"/>
                <w:rFonts w:hint="default" w:ascii="Times New Roman" w:hAnsi="Times New Roman" w:cs="Times New Roman"/>
                <w:lang w:val="en-US" w:eastAsia="zh-CN" w:bidi="ar"/>
              </w:rPr>
              <w:t>分；制度与实际不符的，扣</w:t>
            </w:r>
            <w:r>
              <w:rPr>
                <w:rFonts w:hint="default" w:ascii="Times New Roman" w:hAnsi="Times New Roman" w:eastAsia="宋体" w:cs="Times New Roman"/>
                <w:i w:val="0"/>
                <w:color w:val="000000"/>
                <w:kern w:val="0"/>
                <w:sz w:val="24"/>
                <w:szCs w:val="24"/>
                <w:u w:val="none"/>
                <w:lang w:val="en-US" w:eastAsia="zh-CN" w:bidi="ar"/>
              </w:rPr>
              <w:t>1</w:t>
            </w:r>
            <w:r>
              <w:rPr>
                <w:rStyle w:val="22"/>
                <w:rFonts w:hint="default" w:ascii="Times New Roman" w:hAnsi="Times New Roman" w:cs="Times New Roman"/>
                <w:lang w:val="en-US" w:eastAsia="zh-CN" w:bidi="ar"/>
              </w:rPr>
              <w:t>分；无实施计划的，不得分；未按计划实施的，每项扣</w:t>
            </w:r>
            <w:r>
              <w:rPr>
                <w:rFonts w:hint="default" w:ascii="Times New Roman" w:hAnsi="Times New Roman" w:eastAsia="宋体" w:cs="Times New Roman"/>
                <w:i w:val="0"/>
                <w:color w:val="000000"/>
                <w:kern w:val="0"/>
                <w:sz w:val="24"/>
                <w:szCs w:val="24"/>
                <w:u w:val="none"/>
                <w:lang w:val="en-US" w:eastAsia="zh-CN" w:bidi="ar"/>
              </w:rPr>
              <w:t>1</w:t>
            </w:r>
            <w:r>
              <w:rPr>
                <w:rStyle w:val="22"/>
                <w:rFonts w:hint="default" w:ascii="Times New Roman" w:hAnsi="Times New Roman" w:cs="Times New Roman"/>
                <w:lang w:val="en-US" w:eastAsia="zh-CN" w:bidi="ar"/>
              </w:rPr>
              <w:t>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查资料：变更管理制度。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04" w:type="dxa"/>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82" w:type="dxa"/>
            <w:gridSpan w:val="2"/>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3"/>
                <w:lang w:val="en-US" w:eastAsia="zh-CN" w:bidi="ar"/>
              </w:rPr>
              <w:t>变更安全设施，在建设阶段应经设计单位书面同意，在投用后应经安全管理部门书面同意。重大变更的，还应报安全生产监督管理部门备案。</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简" w:cs="Times New Roman"/>
                <w:i w:val="0"/>
                <w:color w:val="000000"/>
                <w:sz w:val="24"/>
                <w:szCs w:val="24"/>
                <w:u w:val="none"/>
              </w:rPr>
            </w:pPr>
            <w:r>
              <w:rPr>
                <w:rFonts w:hint="default" w:ascii="Times New Roman" w:hAnsi="Times New Roman" w:eastAsia="宋体-简" w:cs="Times New Roman"/>
                <w:i w:val="0"/>
                <w:color w:val="000000"/>
                <w:kern w:val="0"/>
                <w:sz w:val="24"/>
                <w:szCs w:val="24"/>
                <w:u w:val="none"/>
                <w:lang w:val="en-US" w:eastAsia="zh-CN" w:bidi="ar"/>
              </w:rPr>
              <w:t>未经书面同意就变更的，每处扣2分；未及时备案的，每次扣2分。</w:t>
            </w:r>
          </w:p>
        </w:tc>
        <w:tc>
          <w:tcPr>
            <w:tcW w:w="3045" w:type="dxa"/>
            <w:shd w:val="clear" w:color="auto" w:fill="auto"/>
            <w:tcMar>
              <w:top w:w="8" w:type="dxa"/>
              <w:left w:w="8" w:type="dxa"/>
              <w:right w:w="8" w:type="dxa"/>
            </w:tcMar>
            <w:vAlign w:val="center"/>
          </w:tcPr>
          <w:p>
            <w:pPr>
              <w:spacing w:before="0" w:beforeAutospacing="0" w:after="0" w:afterAutospacing="0"/>
              <w:ind w:left="0" w:right="0"/>
              <w:rPr>
                <w:rFonts w:hint="default" w:ascii="Times New Roman" w:hAnsi="Times New Roman" w:eastAsia="宋体"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0" w:hRule="atLeast"/>
          <w:jc w:val="center"/>
        </w:trPr>
        <w:tc>
          <w:tcPr>
            <w:tcW w:w="504" w:type="dxa"/>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82" w:type="dxa"/>
            <w:gridSpan w:val="2"/>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当人员、机构、生产工艺、设备设施等发生变更时，严格执行变更管理制度，并对变更过程及变更后所产生的风险和隐患进行辨识、评估和控制，履行下列变更程序：</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 xml:space="preserve"> </w:t>
            </w:r>
            <w:r>
              <w:rPr>
                <w:rStyle w:val="22"/>
                <w:lang w:val="en-US" w:eastAsia="zh-CN" w:bidi="ar"/>
              </w:rPr>
              <w:t>变更申请：按要求填写变更申请表，由专人进行管理；</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 xml:space="preserve"> </w:t>
            </w:r>
            <w:r>
              <w:rPr>
                <w:rStyle w:val="22"/>
                <w:lang w:val="en-US" w:eastAsia="zh-CN" w:bidi="ar"/>
              </w:rPr>
              <w:t>变更审批：变更申请表应逐级上报主管部门，并按管理权限报主管领导审批；</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 xml:space="preserve"> </w:t>
            </w:r>
            <w:r>
              <w:rPr>
                <w:rStyle w:val="22"/>
                <w:lang w:val="en-US" w:eastAsia="zh-CN" w:bidi="ar"/>
              </w:rPr>
              <w:t>变更实施：变更批准后，由主管部门负责实施。不经审查和批准，任何临时性的变更都不得超过原批准范围和期限；</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 xml:space="preserve"> </w:t>
            </w:r>
            <w:r>
              <w:rPr>
                <w:rStyle w:val="22"/>
                <w:lang w:val="en-US" w:eastAsia="zh-CN" w:bidi="ar"/>
              </w:rPr>
              <w:t>变更验收：变更实施结束后，变更主管部门应对变更的实施情况进行验收，形成报告，并及时将变更结果通知相关部门和有关人员。</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无审批和验收报告的，不得分；未按规定执行变更程序的，每处扣2</w:t>
            </w:r>
            <w:r>
              <w:rPr>
                <w:rStyle w:val="22"/>
                <w:rFonts w:hint="default" w:ascii="Times New Roman" w:hAnsi="Times New Roman" w:cs="Times New Roman"/>
                <w:lang w:val="en-US" w:eastAsia="zh-CN" w:bidi="ar"/>
              </w:rPr>
              <w:t>分；未对变更导致新的风险或隐患进行辨识、评估和控制的，每项扣</w:t>
            </w:r>
            <w:r>
              <w:rPr>
                <w:rFonts w:hint="default" w:ascii="Times New Roman" w:hAnsi="Times New Roman" w:eastAsia="宋体" w:cs="Times New Roman"/>
                <w:i w:val="0"/>
                <w:color w:val="000000"/>
                <w:kern w:val="0"/>
                <w:sz w:val="24"/>
                <w:szCs w:val="24"/>
                <w:u w:val="none"/>
                <w:lang w:val="en-US" w:eastAsia="zh-CN" w:bidi="ar"/>
              </w:rPr>
              <w:t>2</w:t>
            </w:r>
            <w:r>
              <w:rPr>
                <w:rStyle w:val="22"/>
                <w:rFonts w:hint="default" w:ascii="Times New Roman" w:hAnsi="Times New Roman" w:cs="Times New Roman"/>
                <w:lang w:val="en-US" w:eastAsia="zh-CN" w:bidi="ar"/>
              </w:rPr>
              <w:t>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查资料：变更记录。</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5" w:hRule="atLeast"/>
          <w:jc w:val="center"/>
        </w:trPr>
        <w:tc>
          <w:tcPr>
            <w:tcW w:w="504" w:type="dxa"/>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997" w:type="dxa"/>
            <w:gridSpan w:val="3"/>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3"/>
                <w:lang w:val="en-US" w:eastAsia="zh-CN" w:bidi="ar"/>
              </w:rPr>
              <w:t>小计</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3870" w:type="dxa"/>
            <w:shd w:val="clear" w:color="auto" w:fill="auto"/>
            <w:tcMar>
              <w:top w:w="8" w:type="dxa"/>
              <w:left w:w="8" w:type="dxa"/>
              <w:right w:w="8" w:type="dxa"/>
            </w:tcMar>
            <w:vAlign w:val="center"/>
          </w:tcPr>
          <w:p>
            <w:pPr>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3045" w:type="dxa"/>
            <w:shd w:val="clear" w:color="auto" w:fill="auto"/>
            <w:tcMar>
              <w:top w:w="8" w:type="dxa"/>
              <w:left w:w="8" w:type="dxa"/>
              <w:right w:w="8" w:type="dxa"/>
            </w:tcMar>
            <w:vAlign w:val="center"/>
          </w:tcPr>
          <w:p>
            <w:pPr>
              <w:spacing w:before="0" w:beforeAutospacing="0" w:after="0" w:afterAutospacing="0"/>
              <w:ind w:left="0" w:right="0"/>
              <w:rPr>
                <w:rFonts w:hint="default" w:ascii="Times New Roman" w:hAnsi="Times New Roman" w:eastAsia="宋体"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04"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5 </w:t>
            </w:r>
            <w:r>
              <w:rPr>
                <w:rStyle w:val="22"/>
                <w:lang w:val="en-US" w:eastAsia="zh-CN" w:bidi="ar"/>
              </w:rPr>
              <w:t>安全风险管控及隐患排查治理</w:t>
            </w:r>
          </w:p>
        </w:tc>
        <w:tc>
          <w:tcPr>
            <w:tcW w:w="1282" w:type="dxa"/>
            <w:gridSpan w:val="2"/>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w:t>
            </w:r>
            <w:r>
              <w:rPr>
                <w:rStyle w:val="22"/>
                <w:lang w:val="en-US" w:eastAsia="zh-CN" w:bidi="ar"/>
              </w:rPr>
              <w:t>重大危险源辨识和管理</w:t>
            </w: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建立重大危险源管理制度，明确辨识与评估的职责、方法、范围、流程、控制原则、回顾、持续改进等。</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rFonts w:hint="default" w:ascii="Times New Roman" w:hAnsi="Times New Roman" w:cs="Times New Roman"/>
                <w:lang w:val="en-US" w:eastAsia="zh-CN" w:bidi="ar"/>
              </w:rPr>
              <w:t>无重大危险源管理制度的，不得分；制度内容不全的，每缺一项扣</w:t>
            </w:r>
            <w:r>
              <w:rPr>
                <w:rFonts w:hint="default" w:ascii="Times New Roman" w:hAnsi="Times New Roman" w:eastAsia="宋体" w:cs="Times New Roman"/>
                <w:i w:val="0"/>
                <w:color w:val="000000"/>
                <w:kern w:val="0"/>
                <w:sz w:val="24"/>
                <w:szCs w:val="24"/>
                <w:u w:val="none"/>
                <w:lang w:val="en-US" w:eastAsia="zh-CN" w:bidi="ar"/>
              </w:rPr>
              <w:t>1</w:t>
            </w:r>
            <w:r>
              <w:rPr>
                <w:rStyle w:val="22"/>
                <w:rFonts w:hint="default" w:ascii="Times New Roman" w:hAnsi="Times New Roman" w:cs="Times New Roman"/>
                <w:lang w:val="en-US" w:eastAsia="zh-CN" w:bidi="ar"/>
              </w:rPr>
              <w:t>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查资料：危险源（重大危险源）管理制度文件；制度执行记录。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82" w:type="dxa"/>
            <w:gridSpan w:val="2"/>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、涉及危险化学品的企业应按照</w:t>
            </w:r>
            <w:r>
              <w:rPr>
                <w:rFonts w:hint="default" w:ascii="Times New Roman" w:hAnsi="Times New Roman" w:eastAsia="宋体" w:cs="Times New Roman"/>
                <w:i w:val="0"/>
                <w:color w:val="000000"/>
                <w:kern w:val="0"/>
                <w:sz w:val="24"/>
                <w:szCs w:val="24"/>
                <w:u w:val="none"/>
                <w:lang w:val="en-US" w:eastAsia="zh-CN" w:bidi="ar"/>
              </w:rPr>
              <w:t>GB 18218</w:t>
            </w:r>
            <w:r>
              <w:rPr>
                <w:rStyle w:val="22"/>
                <w:lang w:val="en-US" w:eastAsia="zh-CN" w:bidi="ar"/>
              </w:rPr>
              <w:t>的规定，全面辨识重大危险源；</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、对确定的重大危险源，进行安全评估并确定重大危险源等级。制定安全管理技术措施和应急预案；</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、重大危险源安全监控系统符合</w:t>
            </w:r>
            <w:r>
              <w:rPr>
                <w:rFonts w:hint="default" w:ascii="Times New Roman" w:hAnsi="Times New Roman" w:eastAsia="宋体" w:cs="Times New Roman"/>
                <w:i w:val="0"/>
                <w:color w:val="000000"/>
                <w:kern w:val="0"/>
                <w:sz w:val="24"/>
                <w:szCs w:val="24"/>
                <w:u w:val="none"/>
                <w:lang w:val="en-US" w:eastAsia="zh-CN" w:bidi="ar"/>
              </w:rPr>
              <w:t>AQ 3035</w:t>
            </w:r>
            <w:r>
              <w:rPr>
                <w:rStyle w:val="22"/>
                <w:lang w:val="en-US" w:eastAsia="zh-CN" w:bidi="ar"/>
              </w:rPr>
              <w:t>的技术规定，监控中心（室）视频监控资料、数据监控系统状态数据和监控数据与有关监管部门监管系统联网。</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3870" w:type="dxa"/>
            <w:shd w:val="clear" w:color="auto" w:fill="FCD5B4"/>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rFonts w:hint="default" w:ascii="Times New Roman" w:hAnsi="Times New Roman" w:cs="Times New Roman"/>
                <w:lang w:val="en-US" w:eastAsia="zh-CN" w:bidi="ar"/>
              </w:rPr>
              <w:t>重大危险源辨识遗漏的</w:t>
            </w:r>
            <w:r>
              <w:rPr>
                <w:rStyle w:val="22"/>
                <w:rFonts w:hint="eastAsia" w:ascii="Times New Roman" w:hAnsi="Times New Roman" w:cs="Times New Roman"/>
                <w:lang w:val="en-US" w:eastAsia="zh-CN" w:bidi="ar"/>
              </w:rPr>
              <w:t>或</w:t>
            </w:r>
            <w:r>
              <w:rPr>
                <w:rStyle w:val="22"/>
                <w:rFonts w:hint="default" w:ascii="Times New Roman" w:hAnsi="Times New Roman" w:cs="Times New Roman"/>
                <w:lang w:val="en-US" w:eastAsia="zh-CN" w:bidi="ar"/>
              </w:rPr>
              <w:t>辨识、评估、等级确定与实际不符的，不得分；未制定相应的安全管理技术措施或管控措施没有针对性的，不得分；岗位人员不清楚本岗位重大危险源、管控措施等安全知识的，每人扣</w:t>
            </w:r>
            <w:r>
              <w:rPr>
                <w:rFonts w:hint="default" w:ascii="Times New Roman" w:hAnsi="Times New Roman" w:eastAsia="宋体" w:cs="Times New Roman"/>
                <w:i w:val="0"/>
                <w:color w:val="000000"/>
                <w:kern w:val="0"/>
                <w:sz w:val="24"/>
                <w:szCs w:val="24"/>
                <w:u w:val="none"/>
                <w:lang w:val="en-US" w:eastAsia="zh-CN" w:bidi="ar"/>
              </w:rPr>
              <w:t>1</w:t>
            </w:r>
            <w:r>
              <w:rPr>
                <w:rStyle w:val="22"/>
                <w:rFonts w:hint="default" w:ascii="Times New Roman" w:hAnsi="Times New Roman" w:cs="Times New Roman"/>
                <w:lang w:val="en-US" w:eastAsia="zh-CN" w:bidi="ar"/>
              </w:rPr>
              <w:t>分；重大危险源安全监控系统不符合规定的，每处扣</w:t>
            </w:r>
            <w:r>
              <w:rPr>
                <w:rFonts w:hint="default" w:ascii="Times New Roman" w:hAnsi="Times New Roman" w:eastAsia="宋体" w:cs="Times New Roman"/>
                <w:i w:val="0"/>
                <w:color w:val="000000"/>
                <w:kern w:val="0"/>
                <w:sz w:val="24"/>
                <w:szCs w:val="24"/>
                <w:u w:val="none"/>
                <w:lang w:val="en-US" w:eastAsia="zh-CN" w:bidi="ar"/>
              </w:rPr>
              <w:t>1</w:t>
            </w:r>
            <w:r>
              <w:rPr>
                <w:rStyle w:val="22"/>
                <w:rFonts w:hint="default" w:ascii="Times New Roman" w:hAnsi="Times New Roman" w:cs="Times New Roman"/>
                <w:lang w:val="en-US" w:eastAsia="zh-CN" w:bidi="ar"/>
              </w:rPr>
              <w:t>分；联网数据每缺少一项的，扣</w:t>
            </w:r>
            <w:r>
              <w:rPr>
                <w:rFonts w:hint="default" w:ascii="Times New Roman" w:hAnsi="Times New Roman" w:eastAsia="宋体" w:cs="Times New Roman"/>
                <w:i w:val="0"/>
                <w:color w:val="000000"/>
                <w:kern w:val="0"/>
                <w:sz w:val="24"/>
                <w:szCs w:val="24"/>
                <w:u w:val="none"/>
                <w:lang w:val="en-US" w:eastAsia="zh-CN" w:bidi="ar"/>
              </w:rPr>
              <w:t>1</w:t>
            </w:r>
            <w:r>
              <w:rPr>
                <w:rStyle w:val="22"/>
                <w:rFonts w:hint="default" w:ascii="Times New Roman" w:hAnsi="Times New Roman" w:cs="Times New Roman"/>
                <w:lang w:val="en-US" w:eastAsia="zh-CN" w:bidi="ar"/>
              </w:rPr>
              <w:t>分。</w:t>
            </w:r>
            <w:r>
              <w:rPr>
                <w:rStyle w:val="24"/>
                <w:rFonts w:hint="default" w:ascii="Times New Roman" w:hAnsi="Times New Roman" w:cs="Times New Roman"/>
                <w:lang w:val="en-US" w:eastAsia="zh-CN" w:bidi="ar"/>
              </w:rPr>
              <w:t>本项不得分的，追加扣除</w:t>
            </w:r>
            <w:r>
              <w:rPr>
                <w:rFonts w:hint="default" w:ascii="Times New Roman" w:hAnsi="Times New Roman" w:eastAsia="宋体" w:cs="Times New Roman"/>
                <w:b/>
                <w:i w:val="0"/>
                <w:color w:val="000000"/>
                <w:kern w:val="0"/>
                <w:sz w:val="24"/>
                <w:szCs w:val="24"/>
                <w:u w:val="none"/>
                <w:lang w:val="en-US" w:eastAsia="zh-CN" w:bidi="ar"/>
              </w:rPr>
              <w:t>12</w:t>
            </w:r>
            <w:r>
              <w:rPr>
                <w:rStyle w:val="24"/>
                <w:rFonts w:hint="default" w:ascii="Times New Roman" w:hAnsi="Times New Roman" w:cs="Times New Roman"/>
                <w:lang w:val="en-US" w:eastAsia="zh-CN" w:bidi="ar"/>
              </w:rPr>
              <w:t>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查资料：重大危险源档案（安全现状评价报告）。</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询问：岗位人员是否掌握本岗位存在的或者管控的危险源、可能导致的事故类型及现有管控措施。</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查现场：识别的重大危险源与企业实际的符合性，是否遗漏；管控措施的有效性和落实情况；操作控制系统联锁、报警是否完善等、运维控制是否符合规程。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82" w:type="dxa"/>
            <w:gridSpan w:val="2"/>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重大危险源应及时登记建档。</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rFonts w:hint="default" w:ascii="Times New Roman" w:hAnsi="Times New Roman" w:cs="Times New Roman"/>
                <w:lang w:val="en-US" w:eastAsia="zh-CN" w:bidi="ar"/>
              </w:rPr>
              <w:t>存在重大危险源而未建立档案的，不得分；档案不全的，每缺一项扣</w:t>
            </w:r>
            <w:r>
              <w:rPr>
                <w:rFonts w:hint="default" w:ascii="Times New Roman" w:hAnsi="Times New Roman" w:eastAsia="宋体" w:cs="Times New Roman"/>
                <w:i w:val="0"/>
                <w:color w:val="000000"/>
                <w:kern w:val="0"/>
                <w:sz w:val="24"/>
                <w:szCs w:val="24"/>
                <w:u w:val="none"/>
                <w:lang w:val="en-US" w:eastAsia="zh-CN" w:bidi="ar"/>
              </w:rPr>
              <w:t>1</w:t>
            </w:r>
            <w:r>
              <w:rPr>
                <w:rStyle w:val="22"/>
                <w:rFonts w:hint="default" w:ascii="Times New Roman" w:hAnsi="Times New Roman" w:cs="Times New Roman"/>
                <w:lang w:val="en-US" w:eastAsia="zh-CN" w:bidi="ar"/>
              </w:rPr>
              <w:t>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查现场：重大危险源档案。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82" w:type="dxa"/>
            <w:gridSpan w:val="2"/>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相关人员应按规定对重大危险源进行检查，并在检查记录本上签字。</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rFonts w:hint="default" w:ascii="Times New Roman" w:hAnsi="Times New Roman" w:cs="Times New Roman"/>
                <w:lang w:val="en-US" w:eastAsia="zh-CN" w:bidi="ar"/>
              </w:rPr>
              <w:t>未按规定进行检查的，不得分；检查未签字的，每次扣</w:t>
            </w:r>
            <w:r>
              <w:rPr>
                <w:rFonts w:hint="default" w:ascii="Times New Roman" w:hAnsi="Times New Roman" w:eastAsia="宋体" w:cs="Times New Roman"/>
                <w:i w:val="0"/>
                <w:color w:val="000000"/>
                <w:kern w:val="0"/>
                <w:sz w:val="24"/>
                <w:szCs w:val="24"/>
                <w:u w:val="none"/>
                <w:lang w:val="en-US" w:eastAsia="zh-CN" w:bidi="ar"/>
              </w:rPr>
              <w:t>2</w:t>
            </w:r>
            <w:r>
              <w:rPr>
                <w:rStyle w:val="22"/>
                <w:rFonts w:hint="default" w:ascii="Times New Roman" w:hAnsi="Times New Roman" w:cs="Times New Roman"/>
                <w:lang w:val="en-US" w:eastAsia="zh-CN" w:bidi="ar"/>
              </w:rPr>
              <w:t>分；检查结果与实际状态不符的，不得分。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查资料：检查记录。</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查现场：核实重大危险源安全管控情况。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82" w:type="dxa"/>
            <w:gridSpan w:val="2"/>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按照有关规定向将重大危险源向所在地应急管理部门备案。</w:t>
            </w:r>
          </w:p>
        </w:tc>
        <w:tc>
          <w:tcPr>
            <w:tcW w:w="608" w:type="dxa"/>
            <w:shd w:val="clear" w:color="auto" w:fill="auto"/>
            <w:noWrap/>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rFonts w:hint="default" w:ascii="Times New Roman" w:hAnsi="Times New Roman" w:cs="Times New Roman"/>
                <w:lang w:val="en-US" w:eastAsia="zh-CN" w:bidi="ar"/>
              </w:rPr>
              <w:t>未备案的，不得分；备案资料不全的，每缺一个扣</w:t>
            </w:r>
            <w:r>
              <w:rPr>
                <w:rFonts w:hint="default" w:ascii="Times New Roman" w:hAnsi="Times New Roman" w:eastAsia="宋体" w:cs="Times New Roman"/>
                <w:i w:val="0"/>
                <w:color w:val="000000"/>
                <w:kern w:val="0"/>
                <w:sz w:val="24"/>
                <w:szCs w:val="24"/>
                <w:u w:val="none"/>
                <w:lang w:val="en-US" w:eastAsia="zh-CN" w:bidi="ar"/>
              </w:rPr>
              <w:t>1</w:t>
            </w:r>
            <w:r>
              <w:rPr>
                <w:rStyle w:val="22"/>
                <w:rFonts w:hint="default" w:ascii="Times New Roman" w:hAnsi="Times New Roman" w:cs="Times New Roman"/>
                <w:lang w:val="en-US" w:eastAsia="zh-CN" w:bidi="ar"/>
              </w:rPr>
              <w:t>分；未落实包保责任制的，不得分；不符合规定的，每项扣</w:t>
            </w:r>
            <w:r>
              <w:rPr>
                <w:rFonts w:hint="default" w:ascii="Times New Roman" w:hAnsi="Times New Roman" w:eastAsia="宋体" w:cs="Times New Roman"/>
                <w:i w:val="0"/>
                <w:color w:val="000000"/>
                <w:kern w:val="0"/>
                <w:sz w:val="24"/>
                <w:szCs w:val="24"/>
                <w:u w:val="none"/>
                <w:lang w:val="en-US" w:eastAsia="zh-CN" w:bidi="ar"/>
              </w:rPr>
              <w:t>1</w:t>
            </w:r>
            <w:r>
              <w:rPr>
                <w:rStyle w:val="22"/>
                <w:rFonts w:hint="default" w:ascii="Times New Roman" w:hAnsi="Times New Roman" w:cs="Times New Roman"/>
                <w:lang w:val="en-US" w:eastAsia="zh-CN" w:bidi="ar"/>
              </w:rPr>
              <w:t>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查资料：重大危险源备案申请、回执；包保责任制等。</w:t>
            </w:r>
            <w:r>
              <w:rPr>
                <w:rFonts w:hint="default" w:ascii="Times New Roman" w:hAnsi="Times New Roman" w:eastAsia="宋体" w:cs="Times New Roman"/>
                <w:i w:val="0"/>
                <w:color w:val="000000"/>
                <w:kern w:val="0"/>
                <w:sz w:val="24"/>
                <w:szCs w:val="24"/>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4" w:type="dxa"/>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997" w:type="dxa"/>
            <w:gridSpan w:val="3"/>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3"/>
                <w:lang w:val="en-US" w:eastAsia="zh-CN" w:bidi="ar"/>
              </w:rPr>
              <w:t>小计</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3870" w:type="dxa"/>
            <w:shd w:val="clear" w:color="auto" w:fill="auto"/>
            <w:tcMar>
              <w:top w:w="8" w:type="dxa"/>
              <w:left w:w="8" w:type="dxa"/>
              <w:right w:w="8" w:type="dxa"/>
            </w:tcMar>
            <w:vAlign w:val="center"/>
          </w:tcPr>
          <w:p>
            <w:pPr>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3045" w:type="dxa"/>
            <w:shd w:val="clear" w:color="auto" w:fill="auto"/>
            <w:tcMar>
              <w:top w:w="8" w:type="dxa"/>
              <w:left w:w="8" w:type="dxa"/>
              <w:right w:w="8" w:type="dxa"/>
            </w:tcMar>
            <w:vAlign w:val="center"/>
          </w:tcPr>
          <w:p>
            <w:pPr>
              <w:spacing w:before="0" w:beforeAutospacing="0" w:after="0" w:afterAutospacing="0"/>
              <w:ind w:left="0" w:right="0"/>
              <w:rPr>
                <w:rFonts w:hint="default" w:ascii="Times New Roman" w:hAnsi="Times New Roman" w:eastAsia="宋体"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04"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 安全风险管控及隐患排查治理</w:t>
            </w:r>
          </w:p>
        </w:tc>
        <w:tc>
          <w:tcPr>
            <w:tcW w:w="645"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w:t>
            </w:r>
            <w:r>
              <w:rPr>
                <w:rStyle w:val="22"/>
                <w:lang w:val="en-US" w:eastAsia="zh-CN" w:bidi="ar"/>
              </w:rPr>
              <w:t>隐患排查治理</w:t>
            </w:r>
          </w:p>
        </w:tc>
        <w:tc>
          <w:tcPr>
            <w:tcW w:w="637"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5.4.1</w:t>
            </w:r>
            <w:r>
              <w:rPr>
                <w:rStyle w:val="22"/>
                <w:lang w:val="en-US" w:eastAsia="zh-CN" w:bidi="ar"/>
              </w:rPr>
              <w:t>隐患排查</w:t>
            </w: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建立隐患排查治理制度，明确责任部门、人员、方法、隐患排查的时限、范围、内容和要求。</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rFonts w:hint="default" w:ascii="Times New Roman" w:hAnsi="Times New Roman" w:cs="Times New Roman"/>
                <w:lang w:val="en-US" w:eastAsia="zh-CN" w:bidi="ar"/>
              </w:rPr>
              <w:t>无该项制度的，不得分；内容不全的，每缺一项扣</w:t>
            </w:r>
            <w:r>
              <w:rPr>
                <w:rFonts w:hint="default" w:ascii="Times New Roman" w:hAnsi="Times New Roman" w:eastAsia="宋体" w:cs="Times New Roman"/>
                <w:i w:val="0"/>
                <w:color w:val="000000"/>
                <w:kern w:val="0"/>
                <w:sz w:val="24"/>
                <w:szCs w:val="24"/>
                <w:u w:val="none"/>
                <w:lang w:val="en-US" w:eastAsia="zh-CN" w:bidi="ar"/>
              </w:rPr>
              <w:t>1</w:t>
            </w:r>
            <w:r>
              <w:rPr>
                <w:rStyle w:val="22"/>
                <w:rFonts w:hint="default" w:ascii="Times New Roman" w:hAnsi="Times New Roman" w:cs="Times New Roman"/>
                <w:lang w:val="en-US" w:eastAsia="zh-CN" w:bidi="ar"/>
              </w:rPr>
              <w:t>分；责任不到位、措施不全的，每处扣</w:t>
            </w:r>
            <w:r>
              <w:rPr>
                <w:rFonts w:hint="default" w:ascii="Times New Roman" w:hAnsi="Times New Roman" w:eastAsia="宋体" w:cs="Times New Roman"/>
                <w:i w:val="0"/>
                <w:color w:val="000000"/>
                <w:kern w:val="0"/>
                <w:sz w:val="24"/>
                <w:szCs w:val="24"/>
                <w:u w:val="none"/>
                <w:lang w:val="en-US" w:eastAsia="zh-CN" w:bidi="ar"/>
              </w:rPr>
              <w:t>1</w:t>
            </w:r>
            <w:r>
              <w:rPr>
                <w:rStyle w:val="22"/>
                <w:rFonts w:hint="default" w:ascii="Times New Roman" w:hAnsi="Times New Roman" w:cs="Times New Roman"/>
                <w:lang w:val="en-US" w:eastAsia="zh-CN" w:bidi="ar"/>
              </w:rPr>
              <w:t>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查资料：隐患排查治理的管理制度。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对隐患进行分析评估，确定隐患等级，登记建档。</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rFonts w:hint="default" w:ascii="Times New Roman" w:hAnsi="Times New Roman" w:cs="Times New Roman"/>
                <w:lang w:val="en-US" w:eastAsia="zh-CN" w:bidi="ar"/>
              </w:rPr>
              <w:t>无隐患汇总登记台账的，不得分；无隐患评估分级的，不得分；隐患登记档案资料不全的，每处扣</w:t>
            </w:r>
            <w:r>
              <w:rPr>
                <w:rFonts w:hint="default" w:ascii="Times New Roman" w:hAnsi="Times New Roman" w:eastAsia="宋体" w:cs="Times New Roman"/>
                <w:i w:val="0"/>
                <w:color w:val="000000"/>
                <w:kern w:val="0"/>
                <w:sz w:val="24"/>
                <w:szCs w:val="24"/>
                <w:u w:val="none"/>
                <w:lang w:val="en-US" w:eastAsia="zh-CN" w:bidi="ar"/>
              </w:rPr>
              <w:t>2</w:t>
            </w:r>
            <w:r>
              <w:rPr>
                <w:rStyle w:val="22"/>
                <w:rFonts w:hint="default" w:ascii="Times New Roman" w:hAnsi="Times New Roman" w:cs="Times New Roman"/>
                <w:lang w:val="en-US" w:eastAsia="zh-CN" w:bidi="ar"/>
              </w:rPr>
              <w:t>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查资料：隐患台账。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制定隐患排查工作方案，明确隐患排查的目的、范围、方法、要求、责任人、时间等，且与日常巡检等计划性内容相融合。</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rFonts w:hint="default" w:ascii="Times New Roman" w:hAnsi="Times New Roman" w:cs="Times New Roman"/>
                <w:lang w:val="en-US" w:eastAsia="zh-CN" w:bidi="ar"/>
              </w:rPr>
              <w:t>无该方案的，不得分；方案依据缺少或不正确的，每项扣</w:t>
            </w:r>
            <w:r>
              <w:rPr>
                <w:rFonts w:hint="default" w:ascii="Times New Roman" w:hAnsi="Times New Roman" w:eastAsia="宋体" w:cs="Times New Roman"/>
                <w:i w:val="0"/>
                <w:color w:val="000000"/>
                <w:kern w:val="0"/>
                <w:sz w:val="24"/>
                <w:szCs w:val="24"/>
                <w:u w:val="none"/>
                <w:lang w:val="en-US" w:eastAsia="zh-CN" w:bidi="ar"/>
              </w:rPr>
              <w:t>2</w:t>
            </w:r>
            <w:r>
              <w:rPr>
                <w:rStyle w:val="22"/>
                <w:rFonts w:hint="default" w:ascii="Times New Roman" w:hAnsi="Times New Roman" w:cs="Times New Roman"/>
                <w:lang w:val="en-US" w:eastAsia="zh-CN" w:bidi="ar"/>
              </w:rPr>
              <w:t>分；方案内容缺项的，每项扣</w:t>
            </w:r>
            <w:r>
              <w:rPr>
                <w:rFonts w:hint="default" w:ascii="Times New Roman" w:hAnsi="Times New Roman" w:eastAsia="宋体" w:cs="Times New Roman"/>
                <w:i w:val="0"/>
                <w:color w:val="000000"/>
                <w:kern w:val="0"/>
                <w:sz w:val="24"/>
                <w:szCs w:val="24"/>
                <w:u w:val="none"/>
                <w:lang w:val="en-US" w:eastAsia="zh-CN" w:bidi="ar"/>
              </w:rPr>
              <w:t>2</w:t>
            </w:r>
            <w:r>
              <w:rPr>
                <w:rStyle w:val="22"/>
                <w:rFonts w:hint="default" w:ascii="Times New Roman" w:hAnsi="Times New Roman" w:cs="Times New Roman"/>
                <w:lang w:val="en-US" w:eastAsia="zh-CN" w:bidi="ar"/>
              </w:rPr>
              <w:t>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查资料：隐患排查工作方案或年度隐患排查治理计划；隐患排查治理制度文件。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81"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遵照方案进行隐患排查工作，按期开展隐患排查，确保管控措施落实，防止安全风险管控措施失效、弱化：</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、隐患排查范围应包括所有与生产经营场所、环境、人员、设备设施和活动。将安全风险管控措施作为隐患排查的重点；</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、采用综合检查、专业检查、季节性检查、节假日检查、日常检查等方式进行隐患排查工作。</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3870" w:type="dxa"/>
            <w:shd w:val="clear" w:color="auto" w:fill="B7DEE8"/>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rFonts w:hint="default" w:ascii="Times New Roman" w:hAnsi="Times New Roman" w:cs="Times New Roman"/>
                <w:lang w:val="en-US" w:eastAsia="zh-CN" w:bidi="ar"/>
              </w:rPr>
              <w:t>未按隐患排查方案或计划组织隐患排查，每处扣</w:t>
            </w:r>
            <w:r>
              <w:rPr>
                <w:rFonts w:hint="default" w:ascii="Times New Roman" w:hAnsi="Times New Roman" w:eastAsia="宋体" w:cs="Times New Roman"/>
                <w:i w:val="0"/>
                <w:color w:val="000000"/>
                <w:kern w:val="0"/>
                <w:sz w:val="24"/>
                <w:szCs w:val="24"/>
                <w:u w:val="none"/>
                <w:lang w:val="en-US" w:eastAsia="zh-CN" w:bidi="ar"/>
              </w:rPr>
              <w:t>5</w:t>
            </w:r>
            <w:r>
              <w:rPr>
                <w:rStyle w:val="22"/>
                <w:rFonts w:hint="default" w:ascii="Times New Roman" w:hAnsi="Times New Roman" w:cs="Times New Roman"/>
                <w:lang w:val="en-US" w:eastAsia="zh-CN" w:bidi="ar"/>
              </w:rPr>
              <w:t>分；隐患排查范围不全的，每缺少一类，扣</w:t>
            </w:r>
            <w:r>
              <w:rPr>
                <w:rFonts w:hint="default" w:ascii="Times New Roman" w:hAnsi="Times New Roman" w:eastAsia="宋体" w:cs="Times New Roman"/>
                <w:i w:val="0"/>
                <w:color w:val="000000"/>
                <w:kern w:val="0"/>
                <w:sz w:val="24"/>
                <w:szCs w:val="24"/>
                <w:u w:val="none"/>
                <w:lang w:val="en-US" w:eastAsia="zh-CN" w:bidi="ar"/>
              </w:rPr>
              <w:t>3</w:t>
            </w:r>
            <w:r>
              <w:rPr>
                <w:rStyle w:val="22"/>
                <w:rFonts w:hint="default" w:ascii="Times New Roman" w:hAnsi="Times New Roman" w:cs="Times New Roman"/>
                <w:lang w:val="en-US" w:eastAsia="zh-CN" w:bidi="ar"/>
              </w:rPr>
              <w:t>分；隐患排查范围每缺少一类，扣</w:t>
            </w:r>
            <w:r>
              <w:rPr>
                <w:rFonts w:hint="default" w:ascii="Times New Roman" w:hAnsi="Times New Roman" w:eastAsia="宋体" w:cs="Times New Roman"/>
                <w:i w:val="0"/>
                <w:color w:val="000000"/>
                <w:kern w:val="0"/>
                <w:sz w:val="24"/>
                <w:szCs w:val="24"/>
                <w:u w:val="none"/>
                <w:lang w:val="en-US" w:eastAsia="zh-CN" w:bidi="ar"/>
              </w:rPr>
              <w:t>3</w:t>
            </w:r>
            <w:r>
              <w:rPr>
                <w:rStyle w:val="22"/>
                <w:rFonts w:hint="default" w:ascii="Times New Roman" w:hAnsi="Times New Roman" w:cs="Times New Roman"/>
                <w:lang w:val="en-US" w:eastAsia="zh-CN" w:bidi="ar"/>
              </w:rPr>
              <w:t>分；未将安全风险管控措施纳入隐患排查的，每处扣</w:t>
            </w:r>
            <w:r>
              <w:rPr>
                <w:rFonts w:hint="default" w:ascii="Times New Roman" w:hAnsi="Times New Roman" w:eastAsia="宋体" w:cs="Times New Roman"/>
                <w:i w:val="0"/>
                <w:color w:val="000000"/>
                <w:kern w:val="0"/>
                <w:sz w:val="24"/>
                <w:szCs w:val="24"/>
                <w:u w:val="none"/>
                <w:lang w:val="en-US" w:eastAsia="zh-CN" w:bidi="ar"/>
              </w:rPr>
              <w:t>3</w:t>
            </w:r>
            <w:r>
              <w:rPr>
                <w:rStyle w:val="22"/>
                <w:rFonts w:hint="default" w:ascii="Times New Roman" w:hAnsi="Times New Roman" w:cs="Times New Roman"/>
                <w:lang w:val="en-US" w:eastAsia="zh-CN" w:bidi="ar"/>
              </w:rPr>
              <w:t>分；各类检查缺少一次的，扣</w:t>
            </w:r>
            <w:r>
              <w:rPr>
                <w:rFonts w:hint="default" w:ascii="Times New Roman" w:hAnsi="Times New Roman" w:eastAsia="宋体" w:cs="Times New Roman"/>
                <w:i w:val="0"/>
                <w:color w:val="000000"/>
                <w:kern w:val="0"/>
                <w:sz w:val="24"/>
                <w:szCs w:val="24"/>
                <w:u w:val="none"/>
                <w:lang w:val="en-US" w:eastAsia="zh-CN" w:bidi="ar"/>
              </w:rPr>
              <w:t>3</w:t>
            </w:r>
            <w:r>
              <w:rPr>
                <w:rStyle w:val="22"/>
                <w:rFonts w:hint="default" w:ascii="Times New Roman" w:hAnsi="Times New Roman" w:cs="Times New Roman"/>
                <w:lang w:val="en-US" w:eastAsia="zh-CN" w:bidi="ar"/>
              </w:rPr>
              <w:t>分；缺少一类检查表的，扣</w:t>
            </w:r>
            <w:r>
              <w:rPr>
                <w:rFonts w:hint="default" w:ascii="Times New Roman" w:hAnsi="Times New Roman" w:eastAsia="宋体" w:cs="Times New Roman"/>
                <w:i w:val="0"/>
                <w:color w:val="000000"/>
                <w:kern w:val="0"/>
                <w:sz w:val="24"/>
                <w:szCs w:val="24"/>
                <w:u w:val="none"/>
                <w:lang w:val="en-US" w:eastAsia="zh-CN" w:bidi="ar"/>
              </w:rPr>
              <w:t>3</w:t>
            </w:r>
            <w:r>
              <w:rPr>
                <w:rStyle w:val="22"/>
                <w:rFonts w:hint="default" w:ascii="Times New Roman" w:hAnsi="Times New Roman" w:cs="Times New Roman"/>
                <w:lang w:val="en-US" w:eastAsia="zh-CN" w:bidi="ar"/>
              </w:rPr>
              <w:t>分；检查表针对性不强的，每一个扣</w:t>
            </w:r>
            <w:r>
              <w:rPr>
                <w:rFonts w:hint="default" w:ascii="Times New Roman" w:hAnsi="Times New Roman" w:eastAsia="宋体" w:cs="Times New Roman"/>
                <w:i w:val="0"/>
                <w:color w:val="000000"/>
                <w:kern w:val="0"/>
                <w:sz w:val="24"/>
                <w:szCs w:val="24"/>
                <w:u w:val="none"/>
                <w:lang w:val="en-US" w:eastAsia="zh-CN" w:bidi="ar"/>
              </w:rPr>
              <w:t>3</w:t>
            </w:r>
            <w:r>
              <w:rPr>
                <w:rStyle w:val="22"/>
                <w:rFonts w:hint="default" w:ascii="Times New Roman" w:hAnsi="Times New Roman" w:cs="Times New Roman"/>
                <w:lang w:val="en-US" w:eastAsia="zh-CN" w:bidi="ar"/>
              </w:rPr>
              <w:t>分；检查表无人签字或签字不全的，每次扣</w:t>
            </w:r>
            <w:r>
              <w:rPr>
                <w:rFonts w:hint="default" w:ascii="Times New Roman" w:hAnsi="Times New Roman" w:eastAsia="宋体" w:cs="Times New Roman"/>
                <w:i w:val="0"/>
                <w:color w:val="000000"/>
                <w:kern w:val="0"/>
                <w:sz w:val="24"/>
                <w:szCs w:val="24"/>
                <w:u w:val="none"/>
                <w:lang w:val="en-US" w:eastAsia="zh-CN" w:bidi="ar"/>
              </w:rPr>
              <w:t>3</w:t>
            </w:r>
            <w:r>
              <w:rPr>
                <w:rStyle w:val="22"/>
                <w:rFonts w:hint="default" w:ascii="Times New Roman" w:hAnsi="Times New Roman" w:cs="Times New Roman"/>
                <w:lang w:val="en-US" w:eastAsia="zh-CN" w:bidi="ar"/>
              </w:rPr>
              <w:t>分；排查结果与实际不符合的，每处扣</w:t>
            </w:r>
            <w:r>
              <w:rPr>
                <w:rFonts w:hint="default" w:ascii="Times New Roman" w:hAnsi="Times New Roman" w:eastAsia="宋体" w:cs="Times New Roman"/>
                <w:i w:val="0"/>
                <w:color w:val="000000"/>
                <w:kern w:val="0"/>
                <w:sz w:val="24"/>
                <w:szCs w:val="24"/>
                <w:u w:val="none"/>
                <w:lang w:val="en-US" w:eastAsia="zh-CN" w:bidi="ar"/>
              </w:rPr>
              <w:t>3</w:t>
            </w:r>
            <w:r>
              <w:rPr>
                <w:rStyle w:val="22"/>
                <w:rFonts w:hint="default" w:ascii="Times New Roman" w:hAnsi="Times New Roman" w:cs="Times New Roman"/>
                <w:lang w:val="en-US" w:eastAsia="zh-CN" w:bidi="ar"/>
              </w:rPr>
              <w:t>分。</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b/>
                <w:i w:val="0"/>
                <w:color w:val="FF0000"/>
                <w:kern w:val="0"/>
                <w:sz w:val="24"/>
                <w:szCs w:val="24"/>
                <w:u w:val="none"/>
                <w:lang w:val="en-US" w:eastAsia="zh-CN" w:bidi="ar"/>
              </w:rPr>
              <w:t>现场检查发现，企业生产现场存在《工贸企业重大事故隐患判定标准》（应急管理部令第</w:t>
            </w:r>
            <w:r>
              <w:rPr>
                <w:rStyle w:val="26"/>
                <w:rFonts w:hint="default" w:ascii="Times New Roman" w:hAnsi="Times New Roman" w:eastAsia="宋体" w:cs="Times New Roman"/>
                <w:lang w:val="en-US" w:eastAsia="zh-CN" w:bidi="ar"/>
              </w:rPr>
              <w:t>10</w:t>
            </w:r>
            <w:r>
              <w:rPr>
                <w:rFonts w:hint="default" w:ascii="Times New Roman" w:hAnsi="Times New Roman" w:eastAsia="宋体" w:cs="Times New Roman"/>
                <w:b/>
                <w:i w:val="0"/>
                <w:color w:val="FF0000"/>
                <w:kern w:val="0"/>
                <w:sz w:val="24"/>
                <w:szCs w:val="24"/>
                <w:u w:val="none"/>
                <w:lang w:val="en-US" w:eastAsia="zh-CN" w:bidi="ar"/>
              </w:rPr>
              <w:t>号）所列重大隐患的，为否决项。</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查资料：综合排查表、专业排查表、季节性排查表、节假日排查表、日常排查表等。</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查现场：隐患排查记录表中的检查内容和状态是否与实际相符。</w:t>
            </w:r>
            <w:r>
              <w:rPr>
                <w:rFonts w:hint="default" w:ascii="Times New Roman" w:hAnsi="Times New Roman" w:eastAsia="宋体" w:cs="Times New Roman"/>
                <w:i w:val="0"/>
                <w:color w:val="000000"/>
                <w:kern w:val="0"/>
                <w:sz w:val="24"/>
                <w:szCs w:val="24"/>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、相关方排查出的隐患统一纳入本企业隐患管理；</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、排查结果与责任制挂钩；</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、组织开展隐患排查相应的培训。</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rFonts w:hint="default" w:ascii="Times New Roman" w:hAnsi="Times New Roman" w:cs="Times New Roman"/>
                <w:lang w:val="en-US" w:eastAsia="zh-CN" w:bidi="ar"/>
              </w:rPr>
              <w:t>相关方排查出的隐患未纳入本企业进行统一管理的，扣</w:t>
            </w:r>
            <w:r>
              <w:rPr>
                <w:rFonts w:hint="default" w:ascii="Times New Roman" w:hAnsi="Times New Roman" w:eastAsia="宋体" w:cs="Times New Roman"/>
                <w:i w:val="0"/>
                <w:color w:val="000000"/>
                <w:kern w:val="0"/>
                <w:sz w:val="24"/>
                <w:szCs w:val="24"/>
                <w:u w:val="none"/>
                <w:lang w:val="en-US" w:eastAsia="zh-CN" w:bidi="ar"/>
              </w:rPr>
              <w:t>5</w:t>
            </w:r>
            <w:r>
              <w:rPr>
                <w:rStyle w:val="22"/>
                <w:rFonts w:hint="default" w:ascii="Times New Roman" w:hAnsi="Times New Roman" w:cs="Times New Roman"/>
                <w:lang w:val="en-US" w:eastAsia="zh-CN" w:bidi="ar"/>
              </w:rPr>
              <w:t>分；隐患排查和治理未纳入责任考核的，扣</w:t>
            </w:r>
            <w:r>
              <w:rPr>
                <w:rFonts w:hint="default" w:ascii="Times New Roman" w:hAnsi="Times New Roman" w:eastAsia="宋体" w:cs="Times New Roman"/>
                <w:i w:val="0"/>
                <w:color w:val="000000"/>
                <w:kern w:val="0"/>
                <w:sz w:val="24"/>
                <w:szCs w:val="24"/>
                <w:u w:val="none"/>
                <w:lang w:val="en-US" w:eastAsia="zh-CN" w:bidi="ar"/>
              </w:rPr>
              <w:t>3</w:t>
            </w:r>
            <w:r>
              <w:rPr>
                <w:rStyle w:val="22"/>
                <w:rFonts w:hint="default" w:ascii="Times New Roman" w:hAnsi="Times New Roman" w:cs="Times New Roman"/>
                <w:lang w:val="en-US" w:eastAsia="zh-CN" w:bidi="ar"/>
              </w:rPr>
              <w:t>分；相关人员不熟悉隐患排查方式方法的，每人扣</w:t>
            </w:r>
            <w:r>
              <w:rPr>
                <w:rFonts w:hint="default" w:ascii="Times New Roman" w:hAnsi="Times New Roman" w:eastAsia="宋体" w:cs="Times New Roman"/>
                <w:i w:val="0"/>
                <w:color w:val="000000"/>
                <w:kern w:val="0"/>
                <w:sz w:val="24"/>
                <w:szCs w:val="24"/>
                <w:u w:val="none"/>
                <w:lang w:val="en-US" w:eastAsia="zh-CN" w:bidi="ar"/>
              </w:rPr>
              <w:t>1</w:t>
            </w:r>
            <w:r>
              <w:rPr>
                <w:rStyle w:val="22"/>
                <w:rFonts w:hint="default" w:ascii="Times New Roman" w:hAnsi="Times New Roman" w:cs="Times New Roman"/>
                <w:lang w:val="en-US" w:eastAsia="zh-CN" w:bidi="ar"/>
              </w:rPr>
              <w:t>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查资料：隐患档案；隐患排查治理管理制度文件；安全培训记录。</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询问：相关人员对隐患排查的掌握情况。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5.4.2</w:t>
            </w:r>
            <w:r>
              <w:rPr>
                <w:rStyle w:val="22"/>
                <w:lang w:val="en-US" w:eastAsia="zh-CN" w:bidi="ar"/>
              </w:rPr>
              <w:t>隐患治理</w:t>
            </w: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、对排查出的一般事故隐患能立即整改的隐患必须立即整改，无法立即整改的隐患，下达隐患治理通知，立即组织整改；</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、对于重大事故隐患，企业应由主要负责人组织制定并实施治理方案，严格落实整改期间安全防范措施，根据需要停用相关设施设备或者停产停业；</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、隐患治理过程中，采取相应的监控防范措施。隐患排除前或排除过程中无法保证安全的，应从危险区域内撤出作业人员，疏散可能危及的人员，设置警戒标志，暂时停产停业或停止使用相关设备、设施。</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rFonts w:hint="default" w:ascii="Times New Roman" w:hAnsi="Times New Roman" w:cs="Times New Roman"/>
                <w:lang w:val="en-US" w:eastAsia="zh-CN" w:bidi="ar"/>
              </w:rPr>
              <w:t>无事故隐患治理台账的，不得分；主要负责人未组织制定并实施重大隐患治理方案，不得分；重大隐患治理方案内容不全的，每处扣</w:t>
            </w:r>
            <w:r>
              <w:rPr>
                <w:rFonts w:hint="default" w:ascii="Times New Roman" w:hAnsi="Times New Roman" w:eastAsia="宋体" w:cs="Times New Roman"/>
                <w:i w:val="0"/>
                <w:color w:val="000000"/>
                <w:kern w:val="0"/>
                <w:sz w:val="24"/>
                <w:szCs w:val="24"/>
                <w:u w:val="none"/>
                <w:lang w:val="en-US" w:eastAsia="zh-CN" w:bidi="ar"/>
              </w:rPr>
              <w:t>1</w:t>
            </w:r>
            <w:r>
              <w:rPr>
                <w:rStyle w:val="22"/>
                <w:rFonts w:hint="default" w:ascii="Times New Roman" w:hAnsi="Times New Roman" w:cs="Times New Roman"/>
                <w:lang w:val="en-US" w:eastAsia="zh-CN" w:bidi="ar"/>
              </w:rPr>
              <w:t>分；事故隐患排查治理情况未向从业人员通报的，扣</w:t>
            </w:r>
            <w:r>
              <w:rPr>
                <w:rFonts w:hint="default" w:ascii="Times New Roman" w:hAnsi="Times New Roman" w:eastAsia="宋体" w:cs="Times New Roman"/>
                <w:i w:val="0"/>
                <w:color w:val="000000"/>
                <w:kern w:val="0"/>
                <w:sz w:val="24"/>
                <w:szCs w:val="24"/>
                <w:u w:val="none"/>
                <w:lang w:val="en-US" w:eastAsia="zh-CN" w:bidi="ar"/>
              </w:rPr>
              <w:t>3</w:t>
            </w:r>
            <w:r>
              <w:rPr>
                <w:rStyle w:val="22"/>
                <w:rFonts w:hint="default" w:ascii="Times New Roman" w:hAnsi="Times New Roman" w:cs="Times New Roman"/>
                <w:lang w:val="en-US" w:eastAsia="zh-CN" w:bidi="ar"/>
              </w:rPr>
              <w:t>分；隐患治理过程中未采取监控防范措施的，不得分。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查资料：隐患排查治理台账。</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查现场：隐患整改情况。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、隐患治理完成后要组织对隐患治理效果进行验收，完成隐患闭环管理。</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、重大隐患治理完成后，组织安全管理人员和有关技术人员进行验收或委托依法设立的为安全生产提供技术、管理服务的机构进行评估。</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、企业重大事故隐患排查治理情况按照有关规定及时向负有安全生产监督管理职责的部门报告。</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rFonts w:hint="default" w:ascii="Times New Roman" w:hAnsi="Times New Roman" w:cs="Times New Roman"/>
                <w:lang w:val="en-US" w:eastAsia="zh-CN" w:bidi="ar"/>
              </w:rPr>
              <w:t>未对隐患治理效果进行验收的，每发现一处扣</w:t>
            </w:r>
            <w:r>
              <w:rPr>
                <w:rFonts w:hint="default" w:ascii="Times New Roman" w:hAnsi="Times New Roman" w:eastAsia="宋体" w:cs="Times New Roman"/>
                <w:i w:val="0"/>
                <w:color w:val="000000"/>
                <w:kern w:val="0"/>
                <w:sz w:val="24"/>
                <w:szCs w:val="24"/>
                <w:u w:val="none"/>
                <w:lang w:val="en-US" w:eastAsia="zh-CN" w:bidi="ar"/>
              </w:rPr>
              <w:t>2</w:t>
            </w:r>
            <w:r>
              <w:rPr>
                <w:rStyle w:val="22"/>
                <w:rFonts w:hint="default" w:ascii="Times New Roman" w:hAnsi="Times New Roman" w:cs="Times New Roman"/>
                <w:lang w:val="en-US" w:eastAsia="zh-CN" w:bidi="ar"/>
              </w:rPr>
              <w:t>分；重大事故隐患治理完成后未进行评估的，不得分；未按照有关规定及时向负有安全生产监督管理职责的部门报告的扣</w:t>
            </w:r>
            <w:r>
              <w:rPr>
                <w:rFonts w:hint="default" w:ascii="Times New Roman" w:hAnsi="Times New Roman" w:eastAsia="宋体" w:cs="Times New Roman"/>
                <w:i w:val="0"/>
                <w:color w:val="000000"/>
                <w:kern w:val="0"/>
                <w:sz w:val="24"/>
                <w:szCs w:val="24"/>
                <w:u w:val="none"/>
                <w:lang w:val="en-US" w:eastAsia="zh-CN" w:bidi="ar"/>
              </w:rPr>
              <w:t>3</w:t>
            </w:r>
            <w:r>
              <w:rPr>
                <w:rStyle w:val="22"/>
                <w:rFonts w:hint="default" w:ascii="Times New Roman" w:hAnsi="Times New Roman" w:cs="Times New Roman"/>
                <w:lang w:val="en-US" w:eastAsia="zh-CN" w:bidi="ar"/>
              </w:rPr>
              <w:t>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查资料：隐患排查治理台账。</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查现场：隐患整改情况。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5.4.3</w:t>
            </w:r>
            <w:r>
              <w:rPr>
                <w:rStyle w:val="22"/>
                <w:lang w:val="en-US" w:eastAsia="zh-CN" w:bidi="ar"/>
              </w:rPr>
              <w:t>信息记录、通报和报送</w:t>
            </w: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、事故隐患排查治理情况应当如实记录，并通过职工大会或者职工代表大会、信息公示栏等方式向从业人员通报。</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、至少每月对隐患排查和治理情况进行统计分析并向从业人员通报统计分析内容。</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rFonts w:hint="default" w:ascii="Times New Roman" w:hAnsi="Times New Roman" w:cs="Times New Roman"/>
                <w:lang w:val="en-US" w:eastAsia="zh-CN" w:bidi="ar"/>
              </w:rPr>
              <w:t>无统计溯源分析的，不得分；未向从业人员通报事故隐患排查治理情况内容，不得分。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查资料：隐患溯源分析报告，根据分析结果制定的提升方案及实施情况；查职代会报告和其他隐患整改通报和公示证明材料。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建立事故隐患报告奖励制度，公开本单位有关负责人和安全生产管理机构的联系方式，受理从业人员报告的安全生产问题，对报告事故隐患的从业人员给予表扬、奖励。</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rFonts w:hint="default" w:ascii="Times New Roman" w:hAnsi="Times New Roman" w:cs="Times New Roman"/>
                <w:lang w:val="en-US" w:eastAsia="zh-CN" w:bidi="ar"/>
              </w:rPr>
              <w:t>未兑现事故隐患报告奖励、表扬的，每次扣</w:t>
            </w:r>
            <w:r>
              <w:rPr>
                <w:rFonts w:hint="default" w:ascii="Times New Roman" w:hAnsi="Times New Roman" w:eastAsia="宋体" w:cs="Times New Roman"/>
                <w:i w:val="0"/>
                <w:color w:val="000000"/>
                <w:kern w:val="0"/>
                <w:sz w:val="24"/>
                <w:szCs w:val="24"/>
                <w:u w:val="none"/>
                <w:lang w:val="en-US" w:eastAsia="zh-CN" w:bidi="ar"/>
              </w:rPr>
              <w:t>1</w:t>
            </w:r>
            <w:r>
              <w:rPr>
                <w:rStyle w:val="22"/>
                <w:rFonts w:hint="default" w:ascii="Times New Roman" w:hAnsi="Times New Roman" w:cs="Times New Roman"/>
                <w:lang w:val="en-US" w:eastAsia="zh-CN" w:bidi="ar"/>
              </w:rPr>
              <w:t>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查资料：隐患报告奖励兑现证明材料。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、运用隐患自查、自改、自报信息系统，通过信息系统对隐患排査、报告、治理、销账等过程进行电子化管理和统计分析。</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、按照当地应急管理部门和有关部门的要求，定期或实时报送隐患排查治理情况。</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无隐患自查、自改、自报信息系统的，不得分；对隐患排査、报告、治理、销账等过程未实现电子化管理和统计分析，每缺少一项扣1分。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查现场：查信息系统统计分析及报备情况。</w:t>
            </w:r>
            <w:r>
              <w:rPr>
                <w:rFonts w:hint="default" w:ascii="Times New Roman" w:hAnsi="Times New Roman" w:eastAsia="宋体" w:cs="Times New Roman"/>
                <w:i w:val="0"/>
                <w:color w:val="000000"/>
                <w:kern w:val="0"/>
                <w:sz w:val="24"/>
                <w:szCs w:val="24"/>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9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5.4.4</w:t>
            </w:r>
            <w:r>
              <w:rPr>
                <w:rStyle w:val="22"/>
                <w:lang w:val="en-US" w:eastAsia="zh-CN" w:bidi="ar"/>
              </w:rPr>
              <w:t>预测预警</w:t>
            </w: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根据生产经营状况、安全风险管理及隐患排查治理、事故等情况，运用定量或定性的安全生产预测预警技术，建立体现企业安全生产状况及发展趋势的安全生产预测预警体系，每月进行一次安全生产风险分析。</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rFonts w:hint="default" w:ascii="Times New Roman" w:hAnsi="Times New Roman" w:cs="Times New Roman"/>
                <w:lang w:val="en-US" w:eastAsia="zh-CN" w:bidi="ar"/>
              </w:rPr>
              <w:t>无安全预警指数系统的，不得分；未对相关数据进行分析、测算，实现对安全生产状况及发展趋势进行预报的，扣</w:t>
            </w:r>
            <w:r>
              <w:rPr>
                <w:rFonts w:hint="default" w:ascii="Times New Roman" w:hAnsi="Times New Roman" w:eastAsia="宋体" w:cs="Times New Roman"/>
                <w:i w:val="0"/>
                <w:color w:val="000000"/>
                <w:kern w:val="0"/>
                <w:sz w:val="24"/>
                <w:szCs w:val="24"/>
                <w:u w:val="none"/>
                <w:lang w:val="en-US" w:eastAsia="zh-CN" w:bidi="ar"/>
              </w:rPr>
              <w:t>2</w:t>
            </w:r>
            <w:r>
              <w:rPr>
                <w:rStyle w:val="22"/>
                <w:rFonts w:hint="default" w:ascii="Times New Roman" w:hAnsi="Times New Roman" w:cs="Times New Roman"/>
                <w:lang w:val="en-US" w:eastAsia="zh-CN" w:bidi="ar"/>
              </w:rPr>
              <w:t>分；未将隐患排查治理情况纳入安全预警系统的，扣</w:t>
            </w:r>
            <w:r>
              <w:rPr>
                <w:rFonts w:hint="default" w:ascii="Times New Roman" w:hAnsi="Times New Roman" w:eastAsia="宋体" w:cs="Times New Roman"/>
                <w:i w:val="0"/>
                <w:color w:val="000000"/>
                <w:kern w:val="0"/>
                <w:sz w:val="24"/>
                <w:szCs w:val="24"/>
                <w:u w:val="none"/>
                <w:lang w:val="en-US" w:eastAsia="zh-CN" w:bidi="ar"/>
              </w:rPr>
              <w:t>2</w:t>
            </w:r>
            <w:r>
              <w:rPr>
                <w:rStyle w:val="22"/>
                <w:rFonts w:hint="default" w:ascii="Times New Roman" w:hAnsi="Times New Roman" w:cs="Times New Roman"/>
                <w:lang w:val="en-US" w:eastAsia="zh-CN" w:bidi="ar"/>
              </w:rPr>
              <w:t>分；未对预警系统所反映的问题，及时采取针对性措施的，扣</w:t>
            </w:r>
            <w:r>
              <w:rPr>
                <w:rFonts w:hint="default" w:ascii="Times New Roman" w:hAnsi="Times New Roman" w:eastAsia="宋体" w:cs="Times New Roman"/>
                <w:i w:val="0"/>
                <w:color w:val="000000"/>
                <w:kern w:val="0"/>
                <w:sz w:val="24"/>
                <w:szCs w:val="24"/>
                <w:u w:val="none"/>
                <w:lang w:val="en-US" w:eastAsia="zh-CN" w:bidi="ar"/>
              </w:rPr>
              <w:t>2</w:t>
            </w:r>
            <w:r>
              <w:rPr>
                <w:rStyle w:val="22"/>
                <w:rFonts w:hint="default" w:ascii="Times New Roman" w:hAnsi="Times New Roman" w:cs="Times New Roman"/>
                <w:lang w:val="en-US" w:eastAsia="zh-CN" w:bidi="ar"/>
              </w:rPr>
              <w:t>分；未每月进行风险分析的，扣</w:t>
            </w:r>
            <w:r>
              <w:rPr>
                <w:rFonts w:hint="default" w:ascii="Times New Roman" w:hAnsi="Times New Roman" w:eastAsia="宋体" w:cs="Times New Roman"/>
                <w:i w:val="0"/>
                <w:color w:val="000000"/>
                <w:kern w:val="0"/>
                <w:sz w:val="24"/>
                <w:szCs w:val="24"/>
                <w:u w:val="none"/>
                <w:lang w:val="en-US" w:eastAsia="zh-CN" w:bidi="ar"/>
              </w:rPr>
              <w:t>2</w:t>
            </w:r>
            <w:r>
              <w:rPr>
                <w:rStyle w:val="22"/>
                <w:rFonts w:hint="default" w:ascii="Times New Roman" w:hAnsi="Times New Roman" w:cs="Times New Roman"/>
                <w:lang w:val="en-US" w:eastAsia="zh-CN" w:bidi="ar"/>
              </w:rPr>
              <w:t>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查现场：登录相关系统（包括企业自建系统）对企业填报系统信息情况进行检查。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4" w:type="dxa"/>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997" w:type="dxa"/>
            <w:gridSpan w:val="3"/>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3"/>
                <w:lang w:val="en-US" w:eastAsia="zh-CN" w:bidi="ar"/>
              </w:rPr>
              <w:t>小计</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75</w:t>
            </w:r>
          </w:p>
        </w:tc>
        <w:tc>
          <w:tcPr>
            <w:tcW w:w="3870" w:type="dxa"/>
            <w:shd w:val="clear" w:color="auto" w:fill="auto"/>
            <w:tcMar>
              <w:top w:w="8" w:type="dxa"/>
              <w:left w:w="8" w:type="dxa"/>
              <w:right w:w="8" w:type="dxa"/>
            </w:tcMar>
            <w:vAlign w:val="center"/>
          </w:tcPr>
          <w:p>
            <w:pPr>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3045" w:type="dxa"/>
            <w:shd w:val="clear" w:color="auto" w:fill="auto"/>
            <w:tcMar>
              <w:top w:w="8" w:type="dxa"/>
              <w:left w:w="8" w:type="dxa"/>
              <w:right w:w="8" w:type="dxa"/>
            </w:tcMar>
            <w:vAlign w:val="center"/>
          </w:tcPr>
          <w:p>
            <w:pPr>
              <w:spacing w:before="0" w:beforeAutospacing="0" w:after="0" w:afterAutospacing="0"/>
              <w:ind w:left="0" w:right="0"/>
              <w:rPr>
                <w:rFonts w:hint="default" w:ascii="Times New Roman" w:hAnsi="Times New Roman" w:eastAsia="宋体"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7501" w:type="dxa"/>
            <w:gridSpan w:val="4"/>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3"/>
                <w:lang w:val="en-US" w:eastAsia="zh-CN" w:bidi="ar"/>
              </w:rPr>
              <w:t>合计</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220</w:t>
            </w:r>
          </w:p>
        </w:tc>
        <w:tc>
          <w:tcPr>
            <w:tcW w:w="3870" w:type="dxa"/>
            <w:shd w:val="clear" w:color="auto" w:fill="auto"/>
            <w:tcMar>
              <w:top w:w="8" w:type="dxa"/>
              <w:left w:w="8" w:type="dxa"/>
              <w:right w:w="8" w:type="dxa"/>
            </w:tcMar>
            <w:vAlign w:val="center"/>
          </w:tcPr>
          <w:p>
            <w:pPr>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3045" w:type="dxa"/>
            <w:shd w:val="clear" w:color="auto" w:fill="auto"/>
            <w:tcMar>
              <w:top w:w="8" w:type="dxa"/>
              <w:left w:w="8" w:type="dxa"/>
              <w:right w:w="8" w:type="dxa"/>
            </w:tcMar>
            <w:vAlign w:val="center"/>
          </w:tcPr>
          <w:p>
            <w:pPr>
              <w:spacing w:before="0" w:beforeAutospacing="0" w:after="0" w:afterAutospacing="0"/>
              <w:ind w:left="0" w:right="0"/>
              <w:rPr>
                <w:rFonts w:hint="default" w:ascii="Times New Roman" w:hAnsi="Times New Roman" w:eastAsia="宋体"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04"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r>
              <w:rPr>
                <w:rStyle w:val="22"/>
                <w:lang w:val="en-US" w:eastAsia="zh-CN" w:bidi="ar"/>
              </w:rPr>
              <w:t>应急管理</w:t>
            </w:r>
          </w:p>
        </w:tc>
        <w:tc>
          <w:tcPr>
            <w:tcW w:w="645"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6.1 </w:t>
            </w:r>
            <w:r>
              <w:rPr>
                <w:rStyle w:val="22"/>
                <w:lang w:val="en-US" w:eastAsia="zh-CN" w:bidi="ar"/>
              </w:rPr>
              <w:t>应急准备</w:t>
            </w:r>
          </w:p>
        </w:tc>
        <w:tc>
          <w:tcPr>
            <w:tcW w:w="637"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6.1.1</w:t>
            </w:r>
            <w:r>
              <w:rPr>
                <w:rStyle w:val="22"/>
                <w:lang w:val="en-US" w:eastAsia="zh-CN" w:bidi="ar"/>
              </w:rPr>
              <w:t>应急救援组织</w:t>
            </w: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建立事故应急救援制度，应明确应急救援体系或组织机构（机构内部各成员的分工、职责以及事故应急救援队中的其他事项）、应急队伍的建立与训练、应急预案的编制、评审与发布、事故应急处置与救援，应急装备与保障措施等内容。</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无该项制度的，不得分；制度内容不全或针对性不强的，扣1分。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查资料：事故应急救援制度。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按相关规定建立安全生产应急管理机构或指定专人负责安全生产应急管理工作。赋予生产现场带班人员、班组长和调度人员在遇到险情时第一时间下达停产撤人命令的决策权和指挥权。</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rFonts w:hint="default" w:ascii="Times New Roman" w:hAnsi="Times New Roman" w:cs="Times New Roman"/>
                <w:lang w:val="en-US" w:eastAsia="zh-CN" w:bidi="ar"/>
              </w:rPr>
              <w:t>没有建立机构或指定专人负责的，不得分；专人能力不能满足要求的，扣</w:t>
            </w:r>
            <w:r>
              <w:rPr>
                <w:rFonts w:hint="default" w:ascii="Times New Roman" w:hAnsi="Times New Roman" w:eastAsia="宋体" w:cs="Times New Roman"/>
                <w:i w:val="0"/>
                <w:color w:val="000000"/>
                <w:kern w:val="0"/>
                <w:sz w:val="24"/>
                <w:szCs w:val="24"/>
                <w:u w:val="none"/>
                <w:lang w:val="en-US" w:eastAsia="zh-CN" w:bidi="ar"/>
              </w:rPr>
              <w:t>1</w:t>
            </w:r>
            <w:r>
              <w:rPr>
                <w:rStyle w:val="22"/>
                <w:rFonts w:hint="default" w:ascii="Times New Roman" w:hAnsi="Times New Roman" w:cs="Times New Roman"/>
                <w:lang w:val="en-US" w:eastAsia="zh-CN" w:bidi="ar"/>
              </w:rPr>
              <w:t>分；机构不明确和职责不完善的，扣2分；未对相关人员赋权的，扣1 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查资料：相关文件、综合应急预案职责和分工等。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、金属冶炼、宾馆、商场、娱乐场所、旅游景区等人员密集场所经营单位，应当依法建立应急救援队伍。</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、小型、微型企业等规模较小的生产经营单位可以不建立应急救援队伍，但应当指定兼职的应急救援人员，并且可以与邻近的应急救援队伍签订应急救援协议。</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、开发区、工业园区等产业聚集区域内的生产经营单位可以联合建立应急救援队伍。</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3870" w:type="dxa"/>
            <w:shd w:val="clear" w:color="auto" w:fill="auto"/>
            <w:noWrap/>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rFonts w:hint="default" w:ascii="Times New Roman" w:hAnsi="Times New Roman" w:cs="Times New Roman"/>
                <w:lang w:val="en-US" w:eastAsia="zh-CN" w:bidi="ar"/>
              </w:rPr>
              <w:t>未建立队伍或指定专兼职人员的，不得分；队伍或人员不能满足要求的，不得分；询问相关人员不知情的，每人扣1分；</w:t>
            </w:r>
            <w:r>
              <w:rPr>
                <w:rFonts w:hint="default" w:ascii="Times New Roman" w:hAnsi="Times New Roman" w:eastAsia="宋体" w:cs="Times New Roman"/>
                <w:i w:val="0"/>
                <w:color w:val="000000"/>
                <w:kern w:val="0"/>
                <w:sz w:val="24"/>
                <w:szCs w:val="24"/>
                <w:u w:val="none"/>
                <w:lang w:val="en-US" w:eastAsia="zh-CN" w:bidi="ar"/>
              </w:rPr>
              <w:t>未与邻近专业应急救援队伍签订应急救援服务协议的，不得分，协议内容不符合要求的，每项扣1分。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查资料：相关文件及人员名单。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定期组织专兼职应急救援队伍和人员进行训练。</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无训练计划和记录的，不得分；未定期训练的，不得分；未按计划训练的，每次扣1分；训练科目不全的，每项扣1分；救援人员不清楚职能或不熟悉救援装备使用的，每人次扣1分。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查资料：训练计划、记录。</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查现场：应急救援人员对应急设备的使用熟练情况。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6.1.2</w:t>
            </w:r>
            <w:r>
              <w:rPr>
                <w:rStyle w:val="22"/>
                <w:lang w:val="en-US" w:eastAsia="zh-CN" w:bidi="ar"/>
              </w:rPr>
              <w:t>应急预案</w:t>
            </w: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、按照《生产安全事故应急预案管理办法》（应急部</w:t>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号令）的要求，建立生产安全事故应急预案体系，结合企业实际制定符合《生产经营单位生产安全事故应急预案编制导则》（</w:t>
            </w:r>
            <w:r>
              <w:rPr>
                <w:rFonts w:hint="default" w:ascii="Times New Roman" w:hAnsi="Times New Roman" w:eastAsia="宋体" w:cs="Times New Roman"/>
                <w:i w:val="0"/>
                <w:color w:val="000000"/>
                <w:kern w:val="0"/>
                <w:sz w:val="24"/>
                <w:szCs w:val="24"/>
                <w:u w:val="none"/>
                <w:lang w:val="en-US" w:eastAsia="zh-CN" w:bidi="ar"/>
              </w:rPr>
              <w:t>GB/T29639</w:t>
            </w:r>
            <w:r>
              <w:rPr>
                <w:rStyle w:val="22"/>
                <w:lang w:val="en-US" w:eastAsia="zh-CN" w:bidi="ar"/>
              </w:rPr>
              <w:t>）规定的生产安全事故应急预案，包括综合预案、专项应急预案和处置方案。</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、各类应急预案之间应当相互衔接，并与相关人民政府及其部门、应急救援队伍和涉及的其他单位的应急预案相衔接。</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、金属冶炼等企业应根据《江苏省生产安全事故应急预案管理办法实施细则》（苏应急</w:t>
            </w:r>
            <w:r>
              <w:rPr>
                <w:rFonts w:hint="default" w:ascii="Times New Roman" w:hAnsi="Times New Roman" w:eastAsia="宋体" w:cs="Times New Roman"/>
                <w:i w:val="0"/>
                <w:color w:val="000000"/>
                <w:kern w:val="0"/>
                <w:sz w:val="24"/>
                <w:szCs w:val="24"/>
                <w:u w:val="none"/>
                <w:lang w:val="en-US" w:eastAsia="zh-CN" w:bidi="ar"/>
              </w:rPr>
              <w:t>[2020]24</w:t>
            </w:r>
            <w:r>
              <w:rPr>
                <w:rStyle w:val="22"/>
                <w:lang w:val="en-US" w:eastAsia="zh-CN" w:bidi="ar"/>
              </w:rPr>
              <w:t>号）将应急预案报当地主管部门备案，并通报有关应急协作单位。</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3870" w:type="dxa"/>
            <w:shd w:val="clear" w:color="auto" w:fill="FCD5B4"/>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应急预案的格式和内容不符合规定的，每处扣1</w:t>
            </w:r>
            <w:r>
              <w:rPr>
                <w:rStyle w:val="22"/>
                <w:rFonts w:hint="default" w:ascii="Times New Roman" w:hAnsi="Times New Roman" w:cs="Times New Roman"/>
                <w:lang w:val="en-US" w:eastAsia="zh-CN" w:bidi="ar"/>
              </w:rPr>
              <w:t>分；无生产安全事故风险评估报告或不全面、不符合实际的，扣</w:t>
            </w:r>
            <w:r>
              <w:rPr>
                <w:rFonts w:hint="default" w:ascii="Times New Roman" w:hAnsi="Times New Roman" w:eastAsia="宋体" w:cs="Times New Roman"/>
                <w:i w:val="0"/>
                <w:color w:val="000000"/>
                <w:kern w:val="0"/>
                <w:sz w:val="24"/>
                <w:szCs w:val="24"/>
                <w:u w:val="none"/>
                <w:lang w:val="en-US" w:eastAsia="zh-CN" w:bidi="ar"/>
              </w:rPr>
              <w:t>2</w:t>
            </w:r>
            <w:r>
              <w:rPr>
                <w:rStyle w:val="22"/>
                <w:rFonts w:hint="default" w:ascii="Times New Roman" w:hAnsi="Times New Roman" w:cs="Times New Roman"/>
                <w:lang w:val="en-US" w:eastAsia="zh-CN" w:bidi="ar"/>
              </w:rPr>
              <w:t>分；无应急资源调查报告或不全面、不符合实际的的，扣</w:t>
            </w:r>
            <w:r>
              <w:rPr>
                <w:rFonts w:hint="default" w:ascii="Times New Roman" w:hAnsi="Times New Roman" w:eastAsia="宋体" w:cs="Times New Roman"/>
                <w:i w:val="0"/>
                <w:color w:val="000000"/>
                <w:kern w:val="0"/>
                <w:sz w:val="24"/>
                <w:szCs w:val="24"/>
                <w:u w:val="none"/>
                <w:lang w:val="en-US" w:eastAsia="zh-CN" w:bidi="ar"/>
              </w:rPr>
              <w:t>2</w:t>
            </w:r>
            <w:r>
              <w:rPr>
                <w:rStyle w:val="22"/>
                <w:rFonts w:hint="default" w:ascii="Times New Roman" w:hAnsi="Times New Roman" w:cs="Times New Roman"/>
                <w:lang w:val="en-US" w:eastAsia="zh-CN" w:bidi="ar"/>
              </w:rPr>
              <w:t>分；与相关预案不能保持衔接的，扣</w:t>
            </w:r>
            <w:r>
              <w:rPr>
                <w:rFonts w:hint="default" w:ascii="Times New Roman" w:hAnsi="Times New Roman" w:eastAsia="宋体" w:cs="Times New Roman"/>
                <w:i w:val="0"/>
                <w:color w:val="000000"/>
                <w:kern w:val="0"/>
                <w:sz w:val="24"/>
                <w:szCs w:val="24"/>
                <w:u w:val="none"/>
                <w:lang w:val="en-US" w:eastAsia="zh-CN" w:bidi="ar"/>
              </w:rPr>
              <w:t>2</w:t>
            </w:r>
            <w:r>
              <w:rPr>
                <w:rStyle w:val="22"/>
                <w:rFonts w:hint="default" w:ascii="Times New Roman" w:hAnsi="Times New Roman" w:cs="Times New Roman"/>
                <w:lang w:val="en-US" w:eastAsia="zh-CN" w:bidi="ar"/>
              </w:rPr>
              <w:t>分；有关人员不熟悉应急预案和应急处置方案或措施的，每人扣</w:t>
            </w:r>
            <w:r>
              <w:rPr>
                <w:rFonts w:hint="default" w:ascii="Times New Roman" w:hAnsi="Times New Roman" w:eastAsia="宋体" w:cs="Times New Roman"/>
                <w:i w:val="0"/>
                <w:color w:val="000000"/>
                <w:kern w:val="0"/>
                <w:sz w:val="24"/>
                <w:szCs w:val="24"/>
                <w:u w:val="none"/>
                <w:lang w:val="en-US" w:eastAsia="zh-CN" w:bidi="ar"/>
              </w:rPr>
              <w:t>2</w:t>
            </w:r>
            <w:r>
              <w:rPr>
                <w:rStyle w:val="22"/>
                <w:rFonts w:hint="default" w:ascii="Times New Roman" w:hAnsi="Times New Roman" w:cs="Times New Roman"/>
                <w:lang w:val="en-US" w:eastAsia="zh-CN" w:bidi="ar"/>
              </w:rPr>
              <w:t>分；未按有关规定进行备案的，扣</w:t>
            </w:r>
            <w:r>
              <w:rPr>
                <w:rFonts w:hint="default" w:ascii="Times New Roman" w:hAnsi="Times New Roman" w:eastAsia="宋体" w:cs="Times New Roman"/>
                <w:i w:val="0"/>
                <w:color w:val="000000"/>
                <w:kern w:val="0"/>
                <w:sz w:val="24"/>
                <w:szCs w:val="24"/>
                <w:u w:val="none"/>
                <w:lang w:val="en-US" w:eastAsia="zh-CN" w:bidi="ar"/>
              </w:rPr>
              <w:t>3</w:t>
            </w:r>
            <w:r>
              <w:rPr>
                <w:rStyle w:val="22"/>
                <w:rFonts w:hint="default" w:ascii="Times New Roman" w:hAnsi="Times New Roman" w:cs="Times New Roman"/>
                <w:lang w:val="en-US" w:eastAsia="zh-CN" w:bidi="ar"/>
              </w:rPr>
              <w:t>分；未通报有关应急协作单位的，每个扣</w:t>
            </w:r>
            <w:r>
              <w:rPr>
                <w:rFonts w:hint="default" w:ascii="Times New Roman" w:hAnsi="Times New Roman" w:eastAsia="宋体" w:cs="Times New Roman"/>
                <w:i w:val="0"/>
                <w:color w:val="000000"/>
                <w:kern w:val="0"/>
                <w:sz w:val="24"/>
                <w:szCs w:val="24"/>
                <w:u w:val="none"/>
                <w:lang w:val="en-US" w:eastAsia="zh-CN" w:bidi="ar"/>
              </w:rPr>
              <w:t>1</w:t>
            </w:r>
            <w:r>
              <w:rPr>
                <w:rStyle w:val="22"/>
                <w:rFonts w:hint="default" w:ascii="Times New Roman" w:hAnsi="Times New Roman" w:cs="Times New Roman"/>
                <w:lang w:val="en-US" w:eastAsia="zh-CN" w:bidi="ar"/>
              </w:rPr>
              <w:t>分。</w:t>
            </w:r>
            <w:r>
              <w:rPr>
                <w:rStyle w:val="24"/>
                <w:rFonts w:hint="default" w:ascii="Times New Roman" w:hAnsi="Times New Roman" w:cs="Times New Roman"/>
                <w:lang w:val="en-US" w:eastAsia="zh-CN" w:bidi="ar"/>
              </w:rPr>
              <w:t>无生产安全事故应急预案的，不得分，追加扣除20分。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查资料：综合预案、专项预案、处置方案、备案资料及回执。</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询问：相关人员对应急处置措施的掌握情况。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left"/>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结合自身风险评估实际，建立火灾、爆炸和毒物逸散等重大事故的专项应急预案。</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应建未建的，每缺一个扣2分；专项预案针对性不强的，扣1分。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查资料：专项预案。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left"/>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安全风险较大的重点场所（设施）制定现场处置方案，并编制重点岗位、人员应急处置卡。</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现场处置方案不全的，每缺一个扣2分；未编制重点岗位、人员应急处置卡的，每缺一个扣1分；未在重点作业岗位公布应急处置方案或措施的，每处扣1分。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5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left"/>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、生产安全事故应急预案的评审、发布、培训、演练符合《生产安全事故应急预案管理办法》（应急部</w:t>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号令）；</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、出现以下情况时，应进行应急预案的更新、修订和完善：</w:t>
            </w:r>
            <w:r>
              <w:rPr>
                <w:rFonts w:hint="default" w:ascii="Times New Roman" w:hAnsi="Times New Roman" w:eastAsia="宋体" w:cs="Times New Roman"/>
                <w:i w:val="0"/>
                <w:color w:val="000000"/>
                <w:kern w:val="0"/>
                <w:sz w:val="24"/>
                <w:szCs w:val="24"/>
                <w:u w:val="none"/>
                <w:lang w:val="en-US" w:eastAsia="zh-CN" w:bidi="ar"/>
              </w:rPr>
              <w:t xml:space="preserve">                                                                          </w:t>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）依据的法律、法规、规章、标准及上位预案中的有关规定发生重大变化的；</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）应急指挥机构及其职责发生调整的；</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）安全生产面临的风险发生重大变化的；</w:t>
            </w:r>
            <w:r>
              <w:rPr>
                <w:rFonts w:hint="default" w:ascii="Times New Roman" w:hAnsi="Times New Roman" w:eastAsia="宋体" w:cs="Times New Roman"/>
                <w:i w:val="0"/>
                <w:color w:val="000000"/>
                <w:kern w:val="0"/>
                <w:sz w:val="24"/>
                <w:szCs w:val="24"/>
                <w:u w:val="non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）重要应急资源发生重大变化的；</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5</w:t>
            </w:r>
            <w:r>
              <w:rPr>
                <w:rStyle w:val="22"/>
                <w:lang w:val="en-US" w:eastAsia="zh-CN" w:bidi="ar"/>
              </w:rPr>
              <w:t>）在应急演练和事故应急救援中发现需要修订预案的重大问题的；</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6</w:t>
            </w:r>
            <w:r>
              <w:rPr>
                <w:rStyle w:val="22"/>
                <w:lang w:val="en-US" w:eastAsia="zh-CN" w:bidi="ar"/>
              </w:rPr>
              <w:t>）编制单位认为应当修订的其他情况。</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未定期评审或无评审记录的，不得分；未及时修订的，不得分；未根据评估结果或实际情况的变化修订的，每缺一项扣1分；未由主要负责人签署并以文件形式公布、发放的，不得分；未进行培训的，扣1分。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查文件：发布、培训、演练、评估资料。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6.1.3</w:t>
            </w:r>
            <w:r>
              <w:rPr>
                <w:rStyle w:val="22"/>
                <w:lang w:val="en-US" w:eastAsia="zh-CN" w:bidi="ar"/>
              </w:rPr>
              <w:t>应急设施、装备、物资</w:t>
            </w: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按应急预案的要求，建立应急设施，配备应急装备，储备应急物资。</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现场应急物资、装备配备不齐全或不能满足应急需求的，每处扣1分；未建立应急物资台账的，不得分；台账与实际不符的，每处扣1分。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查现场：应急设施、装备、物资配备情况和台账。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left"/>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定期检查、维护、保养应急设施、装备和物资，确保其完好、可靠。各种防护器具应定点存放在安全、便于取用的地方，并有专人负责保管，定期校验和维护。</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无检查、维护、保养记录的，不得分；每缺少一项记录的，扣1分；有一处不完好、可靠的，扣1分；未定点存放，或存放地点不安全、不便于取用的，扣1 分；无专人负责，并定期检验和维护的，扣1 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查现场：应急物资准备和管理、应急设施、装备和物资的排查、维护、保养情况。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6.1.4</w:t>
            </w:r>
            <w:r>
              <w:rPr>
                <w:rStyle w:val="22"/>
                <w:lang w:val="en-US" w:eastAsia="zh-CN" w:bidi="ar"/>
              </w:rPr>
              <w:t>应急演练</w:t>
            </w: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制定应急预案演练计划，包括演练目的、类型（形式）、时间、地点、演练主要内容、参加单位和经费预算等。</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无应急演练计划的，不得分；计划不全的，每缺一项扣2分。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查资料：应急预案演练计划、演练方案。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9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left"/>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、按《生产安全事故应急演练基本规范》（</w:t>
            </w:r>
            <w:r>
              <w:rPr>
                <w:rFonts w:hint="default" w:ascii="Times New Roman" w:hAnsi="Times New Roman" w:eastAsia="宋体" w:cs="Times New Roman"/>
                <w:i w:val="0"/>
                <w:color w:val="000000"/>
                <w:kern w:val="0"/>
                <w:sz w:val="24"/>
                <w:szCs w:val="24"/>
                <w:u w:val="none"/>
                <w:lang w:val="en-US" w:eastAsia="zh-CN" w:bidi="ar"/>
              </w:rPr>
              <w:t>AQ/T 9007</w:t>
            </w:r>
            <w:r>
              <w:rPr>
                <w:rStyle w:val="22"/>
                <w:lang w:val="en-US" w:eastAsia="zh-CN" w:bidi="ar"/>
              </w:rPr>
              <w:t>）规定开展应急演练；</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、每年至少组织一次综合应急预案演练或者专项应急预案演练，每半年至少组织一次现场处置方案演练；重点行业领域生产经营单位应当每半年至少组织一次生产安全事故应急预案演练；</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、做到一线从业人员参与应急演练全覆盖。</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未进行演练的，不得分；未按计划或方案进行演练的，每次扣1分；应急演练频次不符合要求的，扣2分；应急演练实施不符合AQ/T 9007规定的，每处扣2分；高层管理人员未参加演练的，每次扣2分；未覆盖一线从业人员的，扣2分。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查资料：应急预案演练计划、演练方案、演练记录、演练影像资料等。</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询问：相关人员应急演练情况。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9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45"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37" w:type="dxa"/>
            <w:vMerge w:val="continue"/>
            <w:shd w:val="clear" w:color="auto" w:fill="auto"/>
            <w:tcMar>
              <w:top w:w="8" w:type="dxa"/>
              <w:left w:w="8" w:type="dxa"/>
              <w:right w:w="8" w:type="dxa"/>
            </w:tcMar>
            <w:vAlign w:val="center"/>
          </w:tcPr>
          <w:p>
            <w:pPr>
              <w:spacing w:before="0" w:beforeAutospacing="0" w:after="0" w:afterAutospacing="0"/>
              <w:ind w:left="0" w:right="0"/>
              <w:jc w:val="left"/>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按《生产安全事故应急演练评估规范》（</w:t>
            </w:r>
            <w:r>
              <w:rPr>
                <w:rFonts w:hint="default" w:ascii="Times New Roman" w:hAnsi="Times New Roman" w:eastAsia="宋体" w:cs="Times New Roman"/>
                <w:i w:val="0"/>
                <w:color w:val="000000"/>
                <w:kern w:val="0"/>
                <w:sz w:val="24"/>
                <w:szCs w:val="24"/>
                <w:u w:val="none"/>
                <w:lang w:val="en-US" w:eastAsia="zh-CN" w:bidi="ar"/>
              </w:rPr>
              <w:t>AQ/T 9009</w:t>
            </w:r>
            <w:r>
              <w:rPr>
                <w:rStyle w:val="22"/>
                <w:lang w:val="en-US" w:eastAsia="zh-CN" w:bidi="ar"/>
              </w:rPr>
              <w:t>）对演练效果进行总结和评估，形成演练总结评估报告。内容至少应包括</w:t>
            </w:r>
            <w:r>
              <w:rPr>
                <w:rFonts w:hint="default" w:ascii="Times New Roman" w:hAnsi="Times New Roman" w:eastAsia="宋体" w:cs="Times New Roman"/>
                <w:i w:val="0"/>
                <w:color w:val="000000"/>
                <w:kern w:val="0"/>
                <w:sz w:val="24"/>
                <w:szCs w:val="24"/>
                <w:u w:val="none"/>
                <w:lang w:val="en-US" w:eastAsia="zh-CN" w:bidi="ar"/>
              </w:rPr>
              <w:t xml:space="preserve">:                                                            </w:t>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）辨识应急预案和程序中的缺陷；</w:t>
            </w:r>
            <w:r>
              <w:rPr>
                <w:rFonts w:hint="default" w:ascii="Times New Roman" w:hAnsi="Times New Roman" w:eastAsia="宋体" w:cs="Times New Roman"/>
                <w:i w:val="0"/>
                <w:color w:val="000000"/>
                <w:kern w:val="0"/>
                <w:sz w:val="24"/>
                <w:szCs w:val="24"/>
                <w:u w:val="non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）分析应急培训和人员的需要；</w:t>
            </w:r>
            <w:r>
              <w:rPr>
                <w:rFonts w:hint="default" w:ascii="Times New Roman" w:hAnsi="Times New Roman" w:eastAsia="宋体" w:cs="Times New Roman"/>
                <w:i w:val="0"/>
                <w:color w:val="000000"/>
                <w:kern w:val="0"/>
                <w:sz w:val="24"/>
                <w:szCs w:val="24"/>
                <w:u w:val="non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）确定应急设备和资源的充分性；</w:t>
            </w:r>
            <w:r>
              <w:rPr>
                <w:rFonts w:hint="default" w:ascii="Times New Roman" w:hAnsi="Times New Roman" w:eastAsia="宋体" w:cs="Times New Roman"/>
                <w:i w:val="0"/>
                <w:color w:val="000000"/>
                <w:kern w:val="0"/>
                <w:sz w:val="24"/>
                <w:szCs w:val="24"/>
                <w:u w:val="non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）确定应急响应行动是否达到预期目的。</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未对应急演练进行总结和评估、或无评估报告的，不得分；评估不符合AQ/T 9009规定的，不得分；评估报告无结论或未提出改进措施的，不得分。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查资料：应急演练评估报告。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5" w:hRule="atLeast"/>
          <w:jc w:val="center"/>
        </w:trPr>
        <w:tc>
          <w:tcPr>
            <w:tcW w:w="504" w:type="dxa"/>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997" w:type="dxa"/>
            <w:gridSpan w:val="3"/>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小计</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3870" w:type="dxa"/>
            <w:shd w:val="clear" w:color="auto" w:fill="auto"/>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c>
          <w:tcPr>
            <w:tcW w:w="3045" w:type="dxa"/>
            <w:shd w:val="clear" w:color="auto" w:fill="auto"/>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504"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r>
              <w:rPr>
                <w:rStyle w:val="22"/>
                <w:lang w:val="en-US" w:eastAsia="zh-CN" w:bidi="ar"/>
              </w:rPr>
              <w:t>应急管理</w:t>
            </w:r>
          </w:p>
        </w:tc>
        <w:tc>
          <w:tcPr>
            <w:tcW w:w="1282" w:type="dxa"/>
            <w:gridSpan w:val="2"/>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6.2 </w:t>
            </w:r>
            <w:r>
              <w:rPr>
                <w:rStyle w:val="22"/>
                <w:lang w:val="en-US" w:eastAsia="zh-CN" w:bidi="ar"/>
              </w:rPr>
              <w:t>应急处置</w:t>
            </w: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发生生产安全事故后，迅速启动应急预案。</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）发出警报，在不危及人身安全时，现场人员采取阻断或隔离事故源、危险源等措施。</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）严重危及人身安全时，迅速停止现场作业，现场人员采取必要的或可能的应急措施后撤离危险区域。</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）研判事故危害及发展趋势，将可能危及周边生命、财产、环境安全的危险性和防护措施等告知相关单位与人员。</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）遇有重大紧急情况时，立即封闭事故现场，通知本单位从业人员和周边人员疏散，采取转移重要物资、避免或减轻环境危害等措施。</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5</w:t>
            </w:r>
            <w:r>
              <w:rPr>
                <w:rStyle w:val="22"/>
                <w:lang w:val="en-US" w:eastAsia="zh-CN" w:bidi="ar"/>
              </w:rPr>
              <w:t>）及时请求周边应急救援队伍参加事故救援，维护事故现场秩序，保护事故现场证据。</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6</w:t>
            </w:r>
            <w:r>
              <w:rPr>
                <w:rStyle w:val="22"/>
                <w:lang w:val="en-US" w:eastAsia="zh-CN" w:bidi="ar"/>
              </w:rPr>
              <w:t>）应及时准备事故救援技术资料，做好向所在地人民政府及其负有安全生产监督管理职责的部门移交救援工作指挥权的各项准备。</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未及时启动的，不得分；未达到预案要求的，每处扣3分；从业人员不了解应急响应程序的，每人次扣1分。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查资料：事故应急救援情况；事故调查处理报告。</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测试：相关从业人员对应急响应、应急处置的掌握情况。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4" w:type="dxa"/>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997" w:type="dxa"/>
            <w:gridSpan w:val="3"/>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小计</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3870" w:type="dxa"/>
            <w:shd w:val="clear" w:color="auto" w:fill="auto"/>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c>
          <w:tcPr>
            <w:tcW w:w="3045" w:type="dxa"/>
            <w:shd w:val="clear" w:color="auto" w:fill="auto"/>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jc w:val="center"/>
        </w:trPr>
        <w:tc>
          <w:tcPr>
            <w:tcW w:w="504" w:type="dxa"/>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82" w:type="dxa"/>
            <w:gridSpan w:val="2"/>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6.3</w:t>
            </w:r>
            <w:r>
              <w:rPr>
                <w:rStyle w:val="22"/>
                <w:lang w:val="en-US" w:eastAsia="zh-CN" w:bidi="ar"/>
              </w:rPr>
              <w:t>应急评估</w:t>
            </w: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完成险情或事故应急处置后，企业应主动配合有关组织开展应急处置评估。</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未主动配合有关组织开展应急处置评估的，不得分。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查资料：事故调查处理报告；事故档案。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4" w:type="dxa"/>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997" w:type="dxa"/>
            <w:gridSpan w:val="3"/>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小计</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3870" w:type="dxa"/>
            <w:shd w:val="clear" w:color="auto" w:fill="auto"/>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c>
          <w:tcPr>
            <w:tcW w:w="3045" w:type="dxa"/>
            <w:shd w:val="clear" w:color="auto" w:fill="auto"/>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7501" w:type="dxa"/>
            <w:gridSpan w:val="4"/>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合计</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w:t>
            </w:r>
          </w:p>
        </w:tc>
        <w:tc>
          <w:tcPr>
            <w:tcW w:w="3870" w:type="dxa"/>
            <w:shd w:val="clear" w:color="auto" w:fill="auto"/>
            <w:tcMar>
              <w:top w:w="8" w:type="dxa"/>
              <w:left w:w="8" w:type="dxa"/>
              <w:right w:w="8" w:type="dxa"/>
            </w:tcMar>
            <w:vAlign w:val="center"/>
          </w:tcPr>
          <w:p>
            <w:pPr>
              <w:spacing w:before="0" w:beforeAutospacing="0" w:after="0" w:afterAutospacing="0"/>
              <w:ind w:left="0" w:right="0"/>
              <w:rPr>
                <w:rFonts w:hint="default" w:ascii="Times New Roman" w:hAnsi="Times New Roman" w:eastAsia="宋体" w:cs="Times New Roman"/>
                <w:i w:val="0"/>
                <w:color w:val="000000"/>
                <w:sz w:val="24"/>
                <w:szCs w:val="24"/>
                <w:u w:val="none"/>
              </w:rPr>
            </w:pPr>
          </w:p>
        </w:tc>
        <w:tc>
          <w:tcPr>
            <w:tcW w:w="3045" w:type="dxa"/>
            <w:shd w:val="clear" w:color="auto" w:fill="auto"/>
            <w:tcMar>
              <w:top w:w="8" w:type="dxa"/>
              <w:left w:w="8" w:type="dxa"/>
              <w:right w:w="8" w:type="dxa"/>
            </w:tcMar>
            <w:vAlign w:val="center"/>
          </w:tcPr>
          <w:p>
            <w:pPr>
              <w:spacing w:before="0" w:beforeAutospacing="0" w:after="0" w:afterAutospacing="0"/>
              <w:ind w:left="0" w:right="0"/>
              <w:rPr>
                <w:rFonts w:hint="default" w:ascii="Times New Roman" w:hAnsi="Times New Roman" w:eastAsia="宋体"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5" w:hRule="atLeast"/>
          <w:jc w:val="center"/>
        </w:trPr>
        <w:tc>
          <w:tcPr>
            <w:tcW w:w="504"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r>
              <w:rPr>
                <w:rStyle w:val="22"/>
                <w:lang w:val="en-US" w:eastAsia="zh-CN" w:bidi="ar"/>
              </w:rPr>
              <w:t>事故管理</w:t>
            </w:r>
          </w:p>
        </w:tc>
        <w:tc>
          <w:tcPr>
            <w:tcW w:w="1282" w:type="dxa"/>
            <w:gridSpan w:val="2"/>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7.1</w:t>
            </w:r>
            <w:r>
              <w:rPr>
                <w:rStyle w:val="22"/>
                <w:lang w:val="en-US" w:eastAsia="zh-CN" w:bidi="ar"/>
              </w:rPr>
              <w:t>报告</w:t>
            </w: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建立事故报告程序，明确事故内外部报告的责任人、时限、内容，调查、统计与分析、报告等。</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无该项制度或该项制度未正式发布生效，不得分；制定与有关规定不符的，扣1分；制度中每缺少一项内容的扣1分。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查资料：事故管理制度。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82" w:type="dxa"/>
            <w:gridSpan w:val="2"/>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、发生事故后，按《生产安全事故报告和调查处理条例》（国务院令第</w:t>
            </w:r>
            <w:r>
              <w:rPr>
                <w:rFonts w:hint="default" w:ascii="Times New Roman" w:hAnsi="Times New Roman" w:eastAsia="宋体" w:cs="Times New Roman"/>
                <w:i w:val="0"/>
                <w:color w:val="000000"/>
                <w:kern w:val="0"/>
                <w:sz w:val="24"/>
                <w:szCs w:val="24"/>
                <w:u w:val="none"/>
                <w:lang w:val="en-US" w:eastAsia="zh-CN" w:bidi="ar"/>
              </w:rPr>
              <w:t>493</w:t>
            </w:r>
            <w:r>
              <w:rPr>
                <w:rStyle w:val="22"/>
                <w:lang w:val="en-US" w:eastAsia="zh-CN" w:bidi="ar"/>
              </w:rPr>
              <w:t>号）、《全省生产安全事故信息报告和处置办法》（苏安</w:t>
            </w:r>
            <w:r>
              <w:rPr>
                <w:rFonts w:hint="default" w:ascii="Times New Roman" w:hAnsi="Times New Roman" w:eastAsia="宋体" w:cs="Times New Roman"/>
                <w:i w:val="0"/>
                <w:color w:val="000000"/>
                <w:kern w:val="0"/>
                <w:sz w:val="24"/>
                <w:szCs w:val="24"/>
                <w:u w:val="none"/>
                <w:lang w:val="en-US" w:eastAsia="zh-CN" w:bidi="ar"/>
              </w:rPr>
              <w:t>[2010]11</w:t>
            </w:r>
            <w:r>
              <w:rPr>
                <w:rStyle w:val="22"/>
                <w:lang w:val="en-US" w:eastAsia="zh-CN" w:bidi="ar"/>
              </w:rPr>
              <w:t>号）规定及时向上级单位和有关政府部门报告事故情况。对可能引发次生事故灾害的，应及时报告相关主管部门。</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、事故报告后出现新情况的，应当及时补报。</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报告的事故信息内容和形式与规定不相符的，扣1分；抽查人员不熟悉报告流程的，每人扣1人。</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查资料：事故报告。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5"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82" w:type="dxa"/>
            <w:gridSpan w:val="2"/>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企业应妥善保护事故现场以及相关证据，因抢救人员、防止事故扩大以及疏通交通等原因，需要移动事故现场物件的，应当做出标志，绘制现场简图并做出书面记录，妥善保存现场重要痕迹、物证。</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发生事故后，未有效保护现场及有关证据的，不得分。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查资料：事故报告。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4" w:type="dxa"/>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997" w:type="dxa"/>
            <w:gridSpan w:val="3"/>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小计</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3870" w:type="dxa"/>
            <w:shd w:val="clear" w:color="auto" w:fill="auto"/>
            <w:tcMar>
              <w:top w:w="8" w:type="dxa"/>
              <w:left w:w="8" w:type="dxa"/>
              <w:right w:w="8" w:type="dxa"/>
            </w:tcMar>
            <w:vAlign w:val="center"/>
          </w:tcPr>
          <w:p>
            <w:pPr>
              <w:spacing w:before="0" w:beforeAutospacing="0" w:after="0" w:afterAutospacing="0"/>
              <w:ind w:left="0" w:right="0"/>
              <w:jc w:val="left"/>
              <w:rPr>
                <w:rFonts w:hint="default" w:ascii="Times New Roman" w:hAnsi="Times New Roman" w:eastAsia="宋体" w:cs="Times New Roman"/>
                <w:i w:val="0"/>
                <w:color w:val="000000"/>
                <w:sz w:val="24"/>
                <w:szCs w:val="24"/>
                <w:u w:val="none"/>
              </w:rPr>
            </w:pPr>
          </w:p>
        </w:tc>
        <w:tc>
          <w:tcPr>
            <w:tcW w:w="3045" w:type="dxa"/>
            <w:shd w:val="clear" w:color="auto" w:fill="auto"/>
            <w:tcMar>
              <w:top w:w="8" w:type="dxa"/>
              <w:left w:w="8" w:type="dxa"/>
              <w:right w:w="8" w:type="dxa"/>
            </w:tcMar>
            <w:vAlign w:val="center"/>
          </w:tcPr>
          <w:p>
            <w:pPr>
              <w:spacing w:before="0" w:beforeAutospacing="0" w:after="0" w:afterAutospacing="0"/>
              <w:ind w:left="0" w:right="0"/>
              <w:jc w:val="left"/>
              <w:rPr>
                <w:rFonts w:hint="default" w:ascii="Times New Roman" w:hAnsi="Times New Roman" w:eastAsia="宋体"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04"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r>
              <w:rPr>
                <w:rStyle w:val="22"/>
                <w:lang w:val="en-US" w:eastAsia="zh-CN" w:bidi="ar"/>
              </w:rPr>
              <w:t>事故管理</w:t>
            </w:r>
          </w:p>
        </w:tc>
        <w:tc>
          <w:tcPr>
            <w:tcW w:w="1282" w:type="dxa"/>
            <w:gridSpan w:val="2"/>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7.2</w:t>
            </w:r>
            <w:r>
              <w:rPr>
                <w:rStyle w:val="22"/>
                <w:lang w:val="en-US" w:eastAsia="zh-CN" w:bidi="ar"/>
              </w:rPr>
              <w:t>调查和处理</w:t>
            </w: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建立事故调查和处理制度，将造成人员伤亡（轻伤、重伤、死亡等人身伤害和急性中毒）和财产损失的事故纳入事故调查和处理范畴。</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未建立企业事故调查和处理制度的，不得分；相关内容不符合要求的，每项扣1分。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查资料：事故管理制度。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82" w:type="dxa"/>
            <w:gridSpan w:val="2"/>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、按照相关法律法规、管理制度的要求，组织事故调查组或配合有关政府行政部门对事故、事件进行调查。</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、事故调查组应按</w:t>
            </w:r>
            <w:r>
              <w:rPr>
                <w:rFonts w:hint="default" w:ascii="Times New Roman" w:hAnsi="Times New Roman" w:eastAsia="宋体" w:cs="Times New Roman"/>
                <w:i w:val="0"/>
                <w:color w:val="000000"/>
                <w:kern w:val="0"/>
                <w:sz w:val="24"/>
                <w:szCs w:val="24"/>
                <w:u w:val="none"/>
                <w:lang w:val="en-US" w:eastAsia="zh-CN" w:bidi="ar"/>
              </w:rPr>
              <w:t>“</w:t>
            </w:r>
            <w:r>
              <w:rPr>
                <w:rStyle w:val="22"/>
                <w:lang w:val="en-US" w:eastAsia="zh-CN" w:bidi="ar"/>
              </w:rPr>
              <w:t>四不放过</w:t>
            </w:r>
            <w:r>
              <w:rPr>
                <w:rFonts w:hint="default" w:ascii="Times New Roman" w:hAnsi="Times New Roman" w:eastAsia="宋体" w:cs="Times New Roman"/>
                <w:i w:val="0"/>
                <w:color w:val="000000"/>
                <w:kern w:val="0"/>
                <w:sz w:val="24"/>
                <w:szCs w:val="24"/>
                <w:u w:val="none"/>
                <w:lang w:val="en-US" w:eastAsia="zh-CN" w:bidi="ar"/>
              </w:rPr>
              <w:t>”</w:t>
            </w:r>
            <w:r>
              <w:rPr>
                <w:rStyle w:val="22"/>
                <w:lang w:val="en-US" w:eastAsia="zh-CN" w:bidi="ar"/>
              </w:rPr>
              <w:t>原则开展事故调查，并按照《生产安全事故报告和调查处理条例》（国务院令第</w:t>
            </w:r>
            <w:r>
              <w:rPr>
                <w:rFonts w:hint="default" w:ascii="Times New Roman" w:hAnsi="Times New Roman" w:eastAsia="宋体" w:cs="Times New Roman"/>
                <w:i w:val="0"/>
                <w:color w:val="000000"/>
                <w:kern w:val="0"/>
                <w:sz w:val="24"/>
                <w:szCs w:val="24"/>
                <w:u w:val="none"/>
                <w:lang w:val="en-US" w:eastAsia="zh-CN" w:bidi="ar"/>
              </w:rPr>
              <w:t>493</w:t>
            </w:r>
            <w:r>
              <w:rPr>
                <w:rStyle w:val="22"/>
                <w:lang w:val="en-US" w:eastAsia="zh-CN" w:bidi="ar"/>
              </w:rPr>
              <w:t>号）的要求编制事故调查报告。</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未</w:t>
            </w:r>
            <w:r>
              <w:rPr>
                <w:rFonts w:hint="eastAsia" w:asciiTheme="majorEastAsia" w:hAnsiTheme="majorEastAsia" w:eastAsiaTheme="majorEastAsia" w:cstheme="majorEastAsia"/>
                <w:i w:val="0"/>
                <w:color w:val="000000"/>
                <w:kern w:val="0"/>
                <w:sz w:val="24"/>
                <w:szCs w:val="24"/>
                <w:u w:val="none"/>
                <w:lang w:val="en-US" w:eastAsia="zh-CN" w:bidi="ar"/>
              </w:rPr>
              <w:t>按“四不放过”原</w:t>
            </w:r>
            <w:r>
              <w:rPr>
                <w:rFonts w:hint="default" w:ascii="Times New Roman" w:hAnsi="Times New Roman" w:eastAsia="宋体" w:cs="Times New Roman"/>
                <w:i w:val="0"/>
                <w:color w:val="000000"/>
                <w:kern w:val="0"/>
                <w:sz w:val="24"/>
                <w:szCs w:val="24"/>
                <w:u w:val="none"/>
                <w:lang w:val="en-US" w:eastAsia="zh-CN" w:bidi="ar"/>
              </w:rPr>
              <w:t>则处理的，不得分；事故发生后，无事故调查报告的，不得分；调查报告内容不全的，每次扣1分。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查资料：事故调查报告。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82" w:type="dxa"/>
            <w:gridSpan w:val="2"/>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对本单位的事故及其他单位的有关事故进行回顾、学习。</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未进行回顾的，不得分；有关人员对原因和防范措施不清楚的，不得分。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查资料：事故警示教育记录。</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询问：相关人员事故学习情况。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4" w:type="dxa"/>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997" w:type="dxa"/>
            <w:gridSpan w:val="3"/>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小计</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3870" w:type="dxa"/>
            <w:shd w:val="clear" w:color="auto" w:fill="auto"/>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c>
          <w:tcPr>
            <w:tcW w:w="3045" w:type="dxa"/>
            <w:shd w:val="clear" w:color="auto" w:fill="auto"/>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04"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r>
              <w:rPr>
                <w:rStyle w:val="22"/>
                <w:lang w:val="en-US" w:eastAsia="zh-CN" w:bidi="ar"/>
              </w:rPr>
              <w:t>事故管理</w:t>
            </w:r>
          </w:p>
        </w:tc>
        <w:tc>
          <w:tcPr>
            <w:tcW w:w="1282" w:type="dxa"/>
            <w:gridSpan w:val="2"/>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7.3</w:t>
            </w:r>
            <w:r>
              <w:rPr>
                <w:rStyle w:val="22"/>
                <w:lang w:val="en-US" w:eastAsia="zh-CN" w:bidi="ar"/>
              </w:rPr>
              <w:t>管理</w:t>
            </w: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根据《企业职工伤亡事故分类标准》（</w:t>
            </w:r>
            <w:r>
              <w:rPr>
                <w:rFonts w:hint="default" w:ascii="Times New Roman" w:hAnsi="Times New Roman" w:eastAsia="宋体" w:cs="Times New Roman"/>
                <w:i w:val="0"/>
                <w:color w:val="000000"/>
                <w:kern w:val="0"/>
                <w:sz w:val="24"/>
                <w:szCs w:val="24"/>
                <w:u w:val="none"/>
                <w:lang w:val="en-US" w:eastAsia="zh-CN" w:bidi="ar"/>
              </w:rPr>
              <w:t>GB 6441</w:t>
            </w:r>
            <w:r>
              <w:rPr>
                <w:rStyle w:val="22"/>
                <w:lang w:val="en-US" w:eastAsia="zh-CN" w:bidi="ar"/>
              </w:rPr>
              <w:t>）、《事故伤害损失工作日标准》</w:t>
            </w:r>
            <w:r>
              <w:rPr>
                <w:rFonts w:hint="default" w:ascii="Times New Roman" w:hAnsi="Times New Roman" w:eastAsia="宋体" w:cs="Times New Roman"/>
                <w:i w:val="0"/>
                <w:color w:val="000000"/>
                <w:kern w:val="0"/>
                <w:sz w:val="24"/>
                <w:szCs w:val="24"/>
                <w:u w:val="none"/>
                <w:lang w:val="en-US" w:eastAsia="zh-CN" w:bidi="ar"/>
              </w:rPr>
              <w:t>GB/T 15499</w:t>
            </w:r>
            <w:r>
              <w:rPr>
                <w:rStyle w:val="22"/>
                <w:lang w:val="en-US" w:eastAsia="zh-CN" w:bidi="ar"/>
              </w:rPr>
              <w:t>、《企业职工伤亡事故调查分析规则》（</w:t>
            </w:r>
            <w:r>
              <w:rPr>
                <w:rFonts w:hint="default" w:ascii="Times New Roman" w:hAnsi="Times New Roman" w:eastAsia="宋体" w:cs="Times New Roman"/>
                <w:i w:val="0"/>
                <w:color w:val="000000"/>
                <w:kern w:val="0"/>
                <w:sz w:val="24"/>
                <w:szCs w:val="24"/>
                <w:u w:val="none"/>
                <w:lang w:val="en-US" w:eastAsia="zh-CN" w:bidi="ar"/>
              </w:rPr>
              <w:t>GB 6442</w:t>
            </w:r>
            <w:r>
              <w:rPr>
                <w:rStyle w:val="22"/>
                <w:lang w:val="en-US" w:eastAsia="zh-CN" w:bidi="ar"/>
              </w:rPr>
              <w:t>）有关规定和国家、行业确定的事故统计指标开展事故统计分析。</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事故发生后，未统计分析的，不得分；统计分析不符合规定的，扣1分；未向领导层汇报结果的，扣1分。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查文件：事故统计分析。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82" w:type="dxa"/>
            <w:gridSpan w:val="2"/>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、建立事故、事件档案和管理台账，承包商、供应商等相关方在企业内部发生的事故应纳入本企业事故、事件管理。</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、安全生产事故档案保存不少于</w:t>
            </w:r>
            <w:r>
              <w:rPr>
                <w:rFonts w:hint="default" w:ascii="Times New Roman" w:hAnsi="Times New Roman" w:eastAsia="宋体" w:cs="Times New Roman"/>
                <w:i w:val="0"/>
                <w:color w:val="000000"/>
                <w:kern w:val="0"/>
                <w:sz w:val="24"/>
                <w:szCs w:val="24"/>
                <w:u w:val="none"/>
                <w:lang w:val="en-US" w:eastAsia="zh-CN" w:bidi="ar"/>
              </w:rPr>
              <w:t>10</w:t>
            </w:r>
            <w:r>
              <w:rPr>
                <w:rStyle w:val="22"/>
                <w:lang w:val="en-US" w:eastAsia="zh-CN" w:bidi="ar"/>
              </w:rPr>
              <w:t>年（或企业成立以来）。</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未建立事故档案和管理台账（含承包商、供应商等相关方），不得分；相关记录不全的，每缺少一项扣1分；相关的文件资料未整理归档的或登记归档不规范的，每处扣1分。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查资料：事故档案和管理台账。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4" w:type="dxa"/>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997" w:type="dxa"/>
            <w:gridSpan w:val="3"/>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小计</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3870" w:type="dxa"/>
            <w:shd w:val="clear" w:color="auto" w:fill="auto"/>
            <w:tcMar>
              <w:top w:w="8" w:type="dxa"/>
              <w:left w:w="8" w:type="dxa"/>
              <w:right w:w="8" w:type="dxa"/>
            </w:tcMar>
            <w:vAlign w:val="center"/>
          </w:tcPr>
          <w:p>
            <w:pPr>
              <w:spacing w:before="0" w:beforeAutospacing="0" w:after="0" w:afterAutospacing="0"/>
              <w:ind w:left="0" w:right="0"/>
              <w:jc w:val="left"/>
              <w:rPr>
                <w:rFonts w:hint="default" w:ascii="Times New Roman" w:hAnsi="Times New Roman" w:eastAsia="宋体" w:cs="Times New Roman"/>
                <w:i w:val="0"/>
                <w:color w:val="000000"/>
                <w:sz w:val="24"/>
                <w:szCs w:val="24"/>
                <w:u w:val="none"/>
              </w:rPr>
            </w:pPr>
          </w:p>
        </w:tc>
        <w:tc>
          <w:tcPr>
            <w:tcW w:w="3045" w:type="dxa"/>
            <w:shd w:val="clear" w:color="auto" w:fill="auto"/>
            <w:tcMar>
              <w:top w:w="8" w:type="dxa"/>
              <w:left w:w="8" w:type="dxa"/>
              <w:right w:w="8" w:type="dxa"/>
            </w:tcMar>
            <w:vAlign w:val="center"/>
          </w:tcPr>
          <w:p>
            <w:pPr>
              <w:spacing w:before="0" w:beforeAutospacing="0" w:after="0" w:afterAutospacing="0"/>
              <w:ind w:left="0" w:right="0"/>
              <w:jc w:val="left"/>
              <w:rPr>
                <w:rFonts w:hint="default" w:ascii="Times New Roman" w:hAnsi="Times New Roman" w:eastAsia="宋体"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5" w:hRule="atLeast"/>
          <w:jc w:val="center"/>
        </w:trPr>
        <w:tc>
          <w:tcPr>
            <w:tcW w:w="7501" w:type="dxa"/>
            <w:gridSpan w:val="4"/>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合计</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得分合计</w:t>
            </w:r>
          </w:p>
        </w:tc>
        <w:tc>
          <w:tcPr>
            <w:tcW w:w="3045" w:type="dxa"/>
            <w:shd w:val="clear" w:color="auto" w:fill="auto"/>
            <w:tcMar>
              <w:top w:w="8" w:type="dxa"/>
              <w:left w:w="8" w:type="dxa"/>
              <w:right w:w="8" w:type="dxa"/>
            </w:tcMar>
            <w:vAlign w:val="center"/>
          </w:tcPr>
          <w:p>
            <w:pPr>
              <w:spacing w:before="0" w:beforeAutospacing="0" w:after="0" w:afterAutospacing="0"/>
              <w:ind w:left="0" w:right="0"/>
              <w:rPr>
                <w:rFonts w:hint="default" w:ascii="Times New Roman" w:hAnsi="Times New Roman" w:eastAsia="宋体"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05" w:hRule="atLeast"/>
          <w:jc w:val="center"/>
        </w:trPr>
        <w:tc>
          <w:tcPr>
            <w:tcW w:w="504"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r>
              <w:rPr>
                <w:rStyle w:val="22"/>
                <w:lang w:val="en-US" w:eastAsia="zh-CN" w:bidi="ar"/>
              </w:rPr>
              <w:t>持续改进</w:t>
            </w:r>
          </w:p>
        </w:tc>
        <w:tc>
          <w:tcPr>
            <w:tcW w:w="1282" w:type="dxa"/>
            <w:gridSpan w:val="2"/>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8.1 </w:t>
            </w:r>
            <w:r>
              <w:rPr>
                <w:rStyle w:val="22"/>
                <w:lang w:val="en-US" w:eastAsia="zh-CN" w:bidi="ar"/>
              </w:rPr>
              <w:t>绩效评定</w:t>
            </w: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、成立由主要负责人任组长、各部门和从业人员代表参加的安全生产标准化自评小组。</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、安全生产标准化自评应考虑下列内容：</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）安全生产目标、指标的完成情况；</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）体系的适宜性、充分性和有效性；</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）以往自评情况的改进效果；</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）全员参与情况。</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自评小组成员不符合要求的，不得分；自评内容不全的，发现一处扣1分。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查资料：开展自评的证明材料、自评报告；绩效评定会议纪要。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82" w:type="dxa"/>
            <w:gridSpan w:val="2"/>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每年至少应对安全生产标准化管理体系的运行情况进行一次自评。当出现下列情况时，由主要负责人及时组织开展自评：</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1</w:t>
            </w:r>
            <w:r>
              <w:rPr>
                <w:rStyle w:val="22"/>
                <w:lang w:val="en-US" w:eastAsia="zh-CN" w:bidi="ar"/>
              </w:rPr>
              <w:t>）组织机构、管理体系发生重大变化；</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2</w:t>
            </w:r>
            <w:r>
              <w:rPr>
                <w:rStyle w:val="22"/>
                <w:lang w:val="en-US" w:eastAsia="zh-CN" w:bidi="ar"/>
              </w:rPr>
              <w:t>）生产工艺发生重大变化；</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3</w:t>
            </w:r>
            <w:r>
              <w:rPr>
                <w:rStyle w:val="22"/>
                <w:lang w:val="en-US" w:eastAsia="zh-CN" w:bidi="ar"/>
              </w:rPr>
              <w:t>）企业发生生产安全事故；</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w:t>
            </w:r>
            <w:r>
              <w:rPr>
                <w:rFonts w:hint="default" w:ascii="Times New Roman" w:hAnsi="Times New Roman" w:eastAsia="宋体" w:cs="Times New Roman"/>
                <w:i w:val="0"/>
                <w:color w:val="000000"/>
                <w:kern w:val="0"/>
                <w:sz w:val="24"/>
                <w:szCs w:val="24"/>
                <w:u w:val="none"/>
                <w:lang w:val="en-US" w:eastAsia="zh-CN" w:bidi="ar"/>
              </w:rPr>
              <w:t>4</w:t>
            </w:r>
            <w:r>
              <w:rPr>
                <w:rStyle w:val="22"/>
                <w:lang w:val="en-US" w:eastAsia="zh-CN" w:bidi="ar"/>
              </w:rPr>
              <w:t>）法律法规的更新。</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评定周期少于每年一次的，不得分；发生重大变化未及时组织开展自评的，不得分；自评内容不全的，发现一处扣1分。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查资料：绩效评定管理制度文件；开展自评的证明材料、自评报告；绩效评定会议纪要。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82" w:type="dxa"/>
            <w:gridSpan w:val="2"/>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自评结果应形成书面报告，并在企业内部公示不少于</w:t>
            </w:r>
            <w:r>
              <w:rPr>
                <w:rFonts w:hint="default" w:ascii="Times New Roman" w:hAnsi="Times New Roman" w:eastAsia="宋体" w:cs="Times New Roman"/>
                <w:i w:val="0"/>
                <w:color w:val="000000"/>
                <w:kern w:val="0"/>
                <w:sz w:val="24"/>
                <w:szCs w:val="24"/>
                <w:u w:val="none"/>
                <w:lang w:val="en-US" w:eastAsia="zh-CN" w:bidi="ar"/>
              </w:rPr>
              <w:t>10</w:t>
            </w:r>
            <w:r>
              <w:rPr>
                <w:rStyle w:val="22"/>
                <w:lang w:val="en-US" w:eastAsia="zh-CN" w:bidi="ar"/>
              </w:rPr>
              <w:t>个工作日。</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无评定报告或评定报告未形成正式文件的，不得分；评定中缺少元素内容或其支撑性材料不全的，每个扣2分；未通报的，不得分；抽查发现有关部门和人员对相关内容不清楚的，每人扣1分。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查资料：评估报告。</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询问：有关部门对通报的知晓度和意见。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82" w:type="dxa"/>
            <w:gridSpan w:val="2"/>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将安全生产标准化实施情况的评定结果，纳入部门、所属单位、员工年度安全绩效考评。</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未纳入年度考评的，不得分；评定结果纳入年度考评每少一项的，扣1分；年度考评每少一个部门、单位、人员的，扣1分；年度考评结果未落实兑现到部门、单位、人员的，每项扣1分。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查资料：绩效评价及考核。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4" w:type="dxa"/>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997" w:type="dxa"/>
            <w:gridSpan w:val="3"/>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小计</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3870" w:type="dxa"/>
            <w:shd w:val="clear" w:color="auto" w:fill="auto"/>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c>
          <w:tcPr>
            <w:tcW w:w="3045" w:type="dxa"/>
            <w:shd w:val="clear" w:color="auto" w:fill="auto"/>
            <w:tcMar>
              <w:top w:w="8" w:type="dxa"/>
              <w:left w:w="8" w:type="dxa"/>
              <w:right w:w="8" w:type="dxa"/>
            </w:tcMar>
            <w:vAlign w:val="center"/>
          </w:tcPr>
          <w:p>
            <w:pPr>
              <w:spacing w:before="0" w:beforeAutospacing="0" w:after="0" w:afterAutospacing="0"/>
              <w:ind w:left="0" w:right="0"/>
              <w:jc w:val="both"/>
              <w:rPr>
                <w:rFonts w:hint="default" w:ascii="Times New Roman" w:hAnsi="Times New Roman" w:eastAsia="宋体"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504" w:type="dxa"/>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r>
              <w:rPr>
                <w:rStyle w:val="22"/>
                <w:lang w:val="en-US" w:eastAsia="zh-CN" w:bidi="ar"/>
              </w:rPr>
              <w:t>持续改进</w:t>
            </w:r>
          </w:p>
        </w:tc>
        <w:tc>
          <w:tcPr>
            <w:tcW w:w="1282" w:type="dxa"/>
            <w:gridSpan w:val="2"/>
            <w:vMerge w:val="restart"/>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8.2 </w:t>
            </w:r>
            <w:r>
              <w:rPr>
                <w:rStyle w:val="22"/>
                <w:lang w:val="en-US" w:eastAsia="zh-CN" w:bidi="ar"/>
              </w:rPr>
              <w:t>持续改进</w:t>
            </w: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根据安全生产标准化管理体系的自评结果和外部定级情况，各级负责人在职责管理范围内制定改进计划，明确改进的内容、期限和责任，并组织实施。</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未进行安全标准化系统持续改进的，不得分；未制定完善安全标准化工作计划和措施的，扣2分；修订完善的记录与安全生产标准化系统评定结果不一致的，每处扣2分。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查资料：评估报告、安全标准化完善计划和工作措施。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504" w:type="dxa"/>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82" w:type="dxa"/>
            <w:gridSpan w:val="2"/>
            <w:vMerge w:val="continue"/>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571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将安全生产标准化体系的有效运行纳入企业安全生产长期发展规划，持续改进，不断提高安全生产绩效</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3870"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未纳入长期发展规划的，不得分；未完成改进的，发现一处扣2分。</w:t>
            </w:r>
          </w:p>
        </w:tc>
        <w:tc>
          <w:tcPr>
            <w:tcW w:w="3045"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color w:val="000000"/>
                <w:sz w:val="24"/>
                <w:szCs w:val="24"/>
                <w:u w:val="none"/>
              </w:rPr>
            </w:pPr>
            <w:r>
              <w:rPr>
                <w:rStyle w:val="22"/>
                <w:lang w:val="en-US" w:eastAsia="zh-CN" w:bidi="ar"/>
              </w:rPr>
              <w:t>查资料：企业安全生产长期发展规划。</w:t>
            </w:r>
            <w:r>
              <w:rPr>
                <w:rFonts w:hint="default" w:ascii="Times New Roman" w:hAnsi="Times New Roman" w:eastAsia="宋体" w:cs="Times New Roman"/>
                <w:i w:val="0"/>
                <w:color w:val="000000"/>
                <w:kern w:val="0"/>
                <w:sz w:val="24"/>
                <w:szCs w:val="24"/>
                <w:u w:val="none"/>
                <w:lang w:val="en-US" w:eastAsia="zh-CN" w:bidi="ar"/>
              </w:rPr>
              <w:br w:type="textWrapping"/>
            </w:r>
            <w:r>
              <w:rPr>
                <w:rStyle w:val="22"/>
                <w:lang w:val="en-US" w:eastAsia="zh-CN" w:bidi="ar"/>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4" w:type="dxa"/>
            <w:shd w:val="clear" w:color="auto" w:fill="auto"/>
            <w:tcMar>
              <w:top w:w="8" w:type="dxa"/>
              <w:left w:w="8" w:type="dxa"/>
              <w:right w:w="8" w:type="dxa"/>
            </w:tcMar>
            <w:vAlign w:val="center"/>
          </w:tcPr>
          <w:p>
            <w:pPr>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6997" w:type="dxa"/>
            <w:gridSpan w:val="3"/>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小计</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3870" w:type="dxa"/>
            <w:shd w:val="clear" w:color="auto" w:fill="auto"/>
            <w:tcMar>
              <w:top w:w="8" w:type="dxa"/>
              <w:left w:w="8" w:type="dxa"/>
              <w:right w:w="8" w:type="dxa"/>
            </w:tcMar>
            <w:vAlign w:val="center"/>
          </w:tcPr>
          <w:p>
            <w:pPr>
              <w:spacing w:before="0" w:beforeAutospacing="0" w:after="0" w:afterAutospacing="0"/>
              <w:ind w:left="0" w:right="0"/>
              <w:jc w:val="left"/>
              <w:rPr>
                <w:rFonts w:hint="eastAsia" w:ascii="宋体" w:hAnsi="宋体" w:eastAsia="宋体" w:cs="宋体"/>
                <w:i w:val="0"/>
                <w:color w:val="000000"/>
                <w:sz w:val="24"/>
                <w:szCs w:val="24"/>
                <w:u w:val="none"/>
              </w:rPr>
            </w:pPr>
          </w:p>
        </w:tc>
        <w:tc>
          <w:tcPr>
            <w:tcW w:w="3045" w:type="dxa"/>
            <w:shd w:val="clear" w:color="auto" w:fill="auto"/>
            <w:tcMar>
              <w:top w:w="8" w:type="dxa"/>
              <w:left w:w="8" w:type="dxa"/>
              <w:right w:w="8" w:type="dxa"/>
            </w:tcMar>
            <w:vAlign w:val="center"/>
          </w:tcPr>
          <w:p>
            <w:pPr>
              <w:spacing w:before="0" w:beforeAutospacing="0" w:after="0" w:afterAutospacing="0"/>
              <w:ind w:left="0" w:right="0"/>
              <w:jc w:val="left"/>
              <w:rPr>
                <w:rFonts w:hint="default" w:ascii="Times New Roman" w:hAnsi="Times New Roman" w:eastAsia="宋体"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7501" w:type="dxa"/>
            <w:gridSpan w:val="4"/>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合计</w:t>
            </w:r>
          </w:p>
        </w:tc>
        <w:tc>
          <w:tcPr>
            <w:tcW w:w="608" w:type="dxa"/>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6915" w:type="dxa"/>
            <w:gridSpan w:val="2"/>
            <w:shd w:val="clear" w:color="auto" w:fill="auto"/>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7501" w:type="dxa"/>
            <w:gridSpan w:val="4"/>
            <w:shd w:val="clear" w:color="auto" w:fill="auto"/>
            <w:noWrap/>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Style w:val="22"/>
                <w:lang w:val="en-US" w:eastAsia="zh-CN" w:bidi="ar"/>
              </w:rPr>
              <w:t>总计</w:t>
            </w:r>
          </w:p>
        </w:tc>
        <w:tc>
          <w:tcPr>
            <w:tcW w:w="608" w:type="dxa"/>
            <w:shd w:val="clear" w:color="auto" w:fill="auto"/>
            <w:noWrap/>
            <w:tcMar>
              <w:top w:w="8" w:type="dxa"/>
              <w:left w:w="8" w:type="dxa"/>
              <w:right w:w="8"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1000</w:t>
            </w:r>
          </w:p>
        </w:tc>
        <w:tc>
          <w:tcPr>
            <w:tcW w:w="3870" w:type="dxa"/>
            <w:shd w:val="clear" w:color="auto" w:fill="auto"/>
            <w:noWrap/>
            <w:tcMar>
              <w:top w:w="8" w:type="dxa"/>
              <w:left w:w="8" w:type="dxa"/>
              <w:right w:w="8" w:type="dxa"/>
            </w:tcMar>
            <w:vAlign w:val="center"/>
          </w:tcPr>
          <w:p>
            <w:pPr>
              <w:spacing w:before="0" w:beforeAutospacing="0" w:after="0" w:afterAutospacing="0"/>
              <w:ind w:left="0" w:right="0"/>
              <w:jc w:val="left"/>
              <w:rPr>
                <w:rFonts w:hint="eastAsia" w:ascii="宋体" w:hAnsi="宋体" w:eastAsia="宋体" w:cs="宋体"/>
                <w:i w:val="0"/>
                <w:color w:val="000000"/>
                <w:sz w:val="24"/>
                <w:szCs w:val="24"/>
                <w:u w:val="none"/>
              </w:rPr>
            </w:pPr>
          </w:p>
        </w:tc>
        <w:tc>
          <w:tcPr>
            <w:tcW w:w="3045" w:type="dxa"/>
            <w:shd w:val="clear" w:color="auto" w:fill="auto"/>
            <w:noWrap/>
            <w:tcMar>
              <w:top w:w="8" w:type="dxa"/>
              <w:left w:w="8" w:type="dxa"/>
              <w:right w:w="8" w:type="dxa"/>
            </w:tcMar>
            <w:vAlign w:val="center"/>
          </w:tcPr>
          <w:p>
            <w:pPr>
              <w:spacing w:before="0" w:beforeAutospacing="0" w:after="0" w:afterAutospacing="0"/>
              <w:ind w:left="0" w:right="0"/>
              <w:jc w:val="left"/>
              <w:rPr>
                <w:rFonts w:hint="default" w:ascii="Times New Roman" w:hAnsi="Times New Roman" w:eastAsia="宋体" w:cs="Times New Roman"/>
                <w:i w:val="0"/>
                <w:color w:val="000000"/>
                <w:sz w:val="24"/>
                <w:szCs w:val="24"/>
                <w:u w:val="none"/>
              </w:rPr>
            </w:pPr>
          </w:p>
        </w:tc>
      </w:tr>
    </w:tbl>
    <w:p/>
    <w:p>
      <w:r>
        <w:br w:type="page"/>
      </w:r>
    </w:p>
    <w:p>
      <w:pPr>
        <w:spacing w:line="590" w:lineRule="exact"/>
        <w:jc w:val="center"/>
        <w:rPr>
          <w:rFonts w:ascii="Times New Roman" w:hAnsi="Times New Roman" w:eastAsia="方正小标宋_GBK" w:cs="Times New Roman"/>
          <w:sz w:val="32"/>
          <w:szCs w:val="32"/>
        </w:rPr>
      </w:pPr>
      <w:r>
        <w:rPr>
          <w:rFonts w:hint="eastAsia" w:ascii="Times New Roman" w:hAnsi="Times New Roman" w:eastAsia="方正小标宋_GBK" w:cs="Times New Roman"/>
          <w:sz w:val="32"/>
          <w:szCs w:val="32"/>
        </w:rPr>
        <w:t>自评扣分点及原因说明汇总表</w:t>
      </w:r>
    </w:p>
    <w:tbl>
      <w:tblPr>
        <w:tblStyle w:val="11"/>
        <w:tblW w:w="13696" w:type="dxa"/>
        <w:jc w:val="center"/>
        <w:tblLayout w:type="fixed"/>
        <w:tblCellMar>
          <w:top w:w="0" w:type="dxa"/>
          <w:left w:w="0" w:type="dxa"/>
          <w:bottom w:w="0" w:type="dxa"/>
          <w:right w:w="0" w:type="dxa"/>
        </w:tblCellMar>
      </w:tblPr>
      <w:tblGrid>
        <w:gridCol w:w="770"/>
        <w:gridCol w:w="1012"/>
        <w:gridCol w:w="998"/>
        <w:gridCol w:w="5734"/>
        <w:gridCol w:w="4006"/>
        <w:gridCol w:w="1176"/>
      </w:tblGrid>
      <w:tr>
        <w:tblPrEx>
          <w:tblCellMar>
            <w:top w:w="0" w:type="dxa"/>
            <w:left w:w="0" w:type="dxa"/>
            <w:bottom w:w="0" w:type="dxa"/>
            <w:right w:w="0" w:type="dxa"/>
          </w:tblCellMar>
        </w:tblPrEx>
        <w:trPr>
          <w:trHeight w:val="501"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before="0" w:beforeAutospacing="0" w:after="0" w:afterAutospacing="0"/>
              <w:ind w:left="0" w:right="0"/>
              <w:jc w:val="center"/>
              <w:textAlignment w:val="center"/>
              <w:rPr>
                <w:rFonts w:hint="default" w:ascii="宋体" w:hAnsi="宋体" w:eastAsia="宋体" w:cs="宋体"/>
                <w:b/>
                <w:color w:val="000000"/>
                <w:sz w:val="24"/>
              </w:rPr>
            </w:pPr>
            <w:r>
              <w:rPr>
                <w:rFonts w:hint="eastAsia" w:ascii="宋体" w:hAnsi="宋体" w:eastAsia="宋体" w:cs="宋体"/>
                <w:b/>
                <w:color w:val="000000"/>
                <w:kern w:val="0"/>
                <w:sz w:val="24"/>
                <w:lang w:bidi="ar"/>
              </w:rPr>
              <w:t>序号</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before="0" w:beforeAutospacing="0" w:after="0" w:afterAutospacing="0"/>
              <w:ind w:left="0" w:right="0"/>
              <w:jc w:val="center"/>
              <w:textAlignment w:val="center"/>
              <w:rPr>
                <w:rFonts w:hint="default" w:ascii="宋体" w:hAnsi="宋体" w:eastAsia="宋体" w:cs="宋体"/>
                <w:b/>
                <w:color w:val="000000"/>
                <w:sz w:val="24"/>
              </w:rPr>
            </w:pPr>
            <w:r>
              <w:rPr>
                <w:rFonts w:hint="eastAsia" w:ascii="宋体" w:hAnsi="宋体" w:eastAsia="宋体" w:cs="宋体"/>
                <w:b/>
                <w:color w:val="000000"/>
                <w:kern w:val="0"/>
                <w:sz w:val="24"/>
                <w:lang w:bidi="ar"/>
              </w:rPr>
              <w:t>一级要素</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before="0" w:beforeAutospacing="0" w:after="0" w:afterAutospacing="0"/>
              <w:ind w:left="0" w:right="0"/>
              <w:jc w:val="center"/>
              <w:textAlignment w:val="center"/>
              <w:rPr>
                <w:rFonts w:hint="default" w:ascii="宋体" w:hAnsi="宋体" w:eastAsia="宋体" w:cs="宋体"/>
                <w:b/>
                <w:color w:val="000000"/>
                <w:sz w:val="24"/>
              </w:rPr>
            </w:pPr>
            <w:r>
              <w:rPr>
                <w:rFonts w:hint="eastAsia" w:ascii="宋体" w:hAnsi="宋体" w:eastAsia="宋体" w:cs="宋体"/>
                <w:b/>
                <w:color w:val="000000"/>
                <w:kern w:val="0"/>
                <w:sz w:val="24"/>
                <w:lang w:bidi="ar"/>
              </w:rPr>
              <w:t>二级要素</w:t>
            </w:r>
          </w:p>
        </w:tc>
        <w:tc>
          <w:tcPr>
            <w:tcW w:w="573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before="0" w:beforeAutospacing="0" w:after="0" w:afterAutospacing="0"/>
              <w:ind w:left="0" w:right="0"/>
              <w:jc w:val="center"/>
              <w:textAlignment w:val="center"/>
              <w:rPr>
                <w:rFonts w:hint="default" w:ascii="宋体" w:hAnsi="宋体" w:eastAsia="宋体" w:cs="宋体"/>
                <w:b/>
                <w:color w:val="000000"/>
                <w:sz w:val="24"/>
              </w:rPr>
            </w:pPr>
            <w:r>
              <w:rPr>
                <w:rFonts w:hint="eastAsia" w:ascii="宋体" w:hAnsi="宋体" w:eastAsia="宋体" w:cs="宋体"/>
                <w:b/>
                <w:color w:val="000000"/>
                <w:kern w:val="0"/>
                <w:sz w:val="24"/>
                <w:lang w:bidi="ar"/>
              </w:rPr>
              <w:t>企业定级标准</w:t>
            </w:r>
          </w:p>
        </w:tc>
        <w:tc>
          <w:tcPr>
            <w:tcW w:w="400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before="0" w:beforeAutospacing="0" w:after="0" w:afterAutospacing="0"/>
              <w:ind w:left="0" w:right="0"/>
              <w:jc w:val="center"/>
              <w:textAlignment w:val="center"/>
              <w:rPr>
                <w:rFonts w:hint="default" w:ascii="宋体" w:hAnsi="宋体" w:eastAsia="宋体" w:cs="宋体"/>
                <w:b/>
                <w:color w:val="000000"/>
                <w:sz w:val="24"/>
              </w:rPr>
            </w:pPr>
            <w:r>
              <w:rPr>
                <w:rFonts w:hint="eastAsia" w:ascii="宋体" w:hAnsi="宋体" w:eastAsia="宋体" w:cs="宋体"/>
                <w:b/>
                <w:color w:val="000000"/>
                <w:kern w:val="0"/>
                <w:sz w:val="24"/>
                <w:lang w:bidi="ar"/>
              </w:rPr>
              <w:t>扣分说明</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before="0" w:beforeAutospacing="0" w:after="0" w:afterAutospacing="0"/>
              <w:ind w:left="0" w:right="0"/>
              <w:jc w:val="center"/>
              <w:textAlignment w:val="center"/>
              <w:rPr>
                <w:rFonts w:hint="default" w:ascii="宋体" w:hAnsi="宋体" w:eastAsia="宋体" w:cs="宋体"/>
                <w:b/>
                <w:color w:val="000000"/>
                <w:sz w:val="24"/>
              </w:rPr>
            </w:pPr>
            <w:r>
              <w:rPr>
                <w:rFonts w:hint="eastAsia" w:ascii="宋体" w:hAnsi="宋体" w:eastAsia="宋体" w:cs="宋体"/>
                <w:b/>
                <w:color w:val="000000"/>
                <w:kern w:val="0"/>
                <w:sz w:val="24"/>
                <w:lang w:bidi="ar"/>
              </w:rPr>
              <w:t>扣分分值</w:t>
            </w:r>
          </w:p>
        </w:tc>
      </w:tr>
      <w:tr>
        <w:tblPrEx>
          <w:tblCellMar>
            <w:top w:w="0" w:type="dxa"/>
            <w:left w:w="0" w:type="dxa"/>
            <w:bottom w:w="0" w:type="dxa"/>
            <w:right w:w="0" w:type="dxa"/>
          </w:tblCellMar>
        </w:tblPrEx>
        <w:trPr>
          <w:trHeight w:val="501"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573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r>
      <w:tr>
        <w:tblPrEx>
          <w:tblCellMar>
            <w:top w:w="0" w:type="dxa"/>
            <w:left w:w="0" w:type="dxa"/>
            <w:bottom w:w="0" w:type="dxa"/>
            <w:right w:w="0" w:type="dxa"/>
          </w:tblCellMar>
        </w:tblPrEx>
        <w:trPr>
          <w:trHeight w:val="501"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573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r>
      <w:tr>
        <w:tblPrEx>
          <w:tblCellMar>
            <w:top w:w="0" w:type="dxa"/>
            <w:left w:w="0" w:type="dxa"/>
            <w:bottom w:w="0" w:type="dxa"/>
            <w:right w:w="0" w:type="dxa"/>
          </w:tblCellMar>
        </w:tblPrEx>
        <w:trPr>
          <w:trHeight w:val="501"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573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r>
      <w:tr>
        <w:tblPrEx>
          <w:tblCellMar>
            <w:top w:w="0" w:type="dxa"/>
            <w:left w:w="0" w:type="dxa"/>
            <w:bottom w:w="0" w:type="dxa"/>
            <w:right w:w="0" w:type="dxa"/>
          </w:tblCellMar>
        </w:tblPrEx>
        <w:trPr>
          <w:trHeight w:val="501"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573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r>
      <w:tr>
        <w:tblPrEx>
          <w:tblCellMar>
            <w:top w:w="0" w:type="dxa"/>
            <w:left w:w="0" w:type="dxa"/>
            <w:bottom w:w="0" w:type="dxa"/>
            <w:right w:w="0" w:type="dxa"/>
          </w:tblCellMar>
        </w:tblPrEx>
        <w:trPr>
          <w:trHeight w:val="501"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573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r>
      <w:tr>
        <w:tblPrEx>
          <w:tblCellMar>
            <w:top w:w="0" w:type="dxa"/>
            <w:left w:w="0" w:type="dxa"/>
            <w:bottom w:w="0" w:type="dxa"/>
            <w:right w:w="0" w:type="dxa"/>
          </w:tblCellMar>
        </w:tblPrEx>
        <w:trPr>
          <w:trHeight w:val="501"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573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r>
      <w:tr>
        <w:tblPrEx>
          <w:tblCellMar>
            <w:top w:w="0" w:type="dxa"/>
            <w:left w:w="0" w:type="dxa"/>
            <w:bottom w:w="0" w:type="dxa"/>
            <w:right w:w="0" w:type="dxa"/>
          </w:tblCellMar>
        </w:tblPrEx>
        <w:trPr>
          <w:trHeight w:val="501"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573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r>
      <w:tr>
        <w:tblPrEx>
          <w:tblCellMar>
            <w:top w:w="0" w:type="dxa"/>
            <w:left w:w="0" w:type="dxa"/>
            <w:bottom w:w="0" w:type="dxa"/>
            <w:right w:w="0" w:type="dxa"/>
          </w:tblCellMar>
        </w:tblPrEx>
        <w:trPr>
          <w:trHeight w:val="501"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573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r>
      <w:tr>
        <w:tblPrEx>
          <w:tblCellMar>
            <w:top w:w="0" w:type="dxa"/>
            <w:left w:w="0" w:type="dxa"/>
            <w:bottom w:w="0" w:type="dxa"/>
            <w:right w:w="0" w:type="dxa"/>
          </w:tblCellMar>
        </w:tblPrEx>
        <w:trPr>
          <w:trHeight w:val="501"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573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r>
      <w:tr>
        <w:tblPrEx>
          <w:tblCellMar>
            <w:top w:w="0" w:type="dxa"/>
            <w:left w:w="0" w:type="dxa"/>
            <w:bottom w:w="0" w:type="dxa"/>
            <w:right w:w="0" w:type="dxa"/>
          </w:tblCellMar>
        </w:tblPrEx>
        <w:trPr>
          <w:trHeight w:val="501"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573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r>
      <w:tr>
        <w:tblPrEx>
          <w:tblCellMar>
            <w:top w:w="0" w:type="dxa"/>
            <w:left w:w="0" w:type="dxa"/>
            <w:bottom w:w="0" w:type="dxa"/>
            <w:right w:w="0" w:type="dxa"/>
          </w:tblCellMar>
        </w:tblPrEx>
        <w:trPr>
          <w:trHeight w:val="501"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573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r>
      <w:tr>
        <w:tblPrEx>
          <w:tblCellMar>
            <w:top w:w="0" w:type="dxa"/>
            <w:left w:w="0" w:type="dxa"/>
            <w:bottom w:w="0" w:type="dxa"/>
            <w:right w:w="0" w:type="dxa"/>
          </w:tblCellMar>
        </w:tblPrEx>
        <w:trPr>
          <w:trHeight w:val="501"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573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spacing w:before="0" w:beforeAutospacing="0" w:after="0" w:afterAutospacing="0"/>
              <w:ind w:left="0" w:right="0"/>
              <w:rPr>
                <w:rFonts w:hint="default" w:ascii="宋体" w:hAnsi="宋体" w:eastAsia="宋体" w:cs="宋体"/>
                <w:color w:val="000000"/>
                <w:sz w:val="24"/>
              </w:rPr>
            </w:pPr>
          </w:p>
        </w:tc>
      </w:tr>
    </w:tbl>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5120" w:firstLineChars="1600"/>
        <w:jc w:val="both"/>
        <w:textAlignment w:val="auto"/>
        <w:outlineLvl w:val="9"/>
        <w:rPr>
          <w:rFonts w:hint="default" w:ascii="方正仿宋_GBK" w:hAnsi="方正仿宋_GBK" w:eastAsia="方正仿宋_GBK" w:cs="方正仿宋_GBK"/>
          <w:sz w:val="32"/>
          <w:szCs w:val="32"/>
          <w:lang w:val="en-US" w:eastAsia="zh-CN"/>
        </w:rPr>
      </w:pPr>
    </w:p>
    <w:sectPr>
      <w:pgSz w:w="16838" w:h="11906" w:orient="landscape"/>
      <w:pgMar w:top="1066" w:right="1100" w:bottom="1066" w:left="1100"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宋体-简">
    <w:altName w:val="宋体"/>
    <w:panose1 w:val="02010600040101010101"/>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rPr>
                              <w:sz w:val="30"/>
                              <w:szCs w:val="30"/>
                            </w:rPr>
                            <w:fldChar w:fldCharType="begin"/>
                          </w:r>
                          <w:r>
                            <w:rPr>
                              <w:sz w:val="30"/>
                              <w:szCs w:val="30"/>
                            </w:rPr>
                            <w:instrText xml:space="preserve"> PAGE  \* MERGEFORMAT </w:instrText>
                          </w:r>
                          <w:r>
                            <w:rPr>
                              <w:sz w:val="30"/>
                              <w:szCs w:val="30"/>
                            </w:rPr>
                            <w:fldChar w:fldCharType="separate"/>
                          </w:r>
                          <w:r>
                            <w:rPr>
                              <w:sz w:val="30"/>
                              <w:szCs w:val="30"/>
                            </w:rPr>
                            <w:t>- 1 -</w:t>
                          </w:r>
                          <w:r>
                            <w:rPr>
                              <w:sz w:val="30"/>
                              <w:szCs w:val="30"/>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IhH2anQAQAAowMAAA4AAAAAAAAAAQAgAAAAIgEA&#10;AGRycy9lMm9Eb2MueG1sUEsFBgAAAAAGAAYAWQEAAGQFAAAAAA==&#10;">
              <v:fill on="f" focussize="0,0"/>
              <v:stroke on="f" weight="1.25pt"/>
              <v:imagedata o:title=""/>
              <o:lock v:ext="edit" aspectratio="f"/>
              <v:textbox inset="0mm,0mm,0mm,0mm" style="mso-fit-shape-to-text:t;">
                <w:txbxContent>
                  <w:p>
                    <w:pPr>
                      <w:pStyle w:val="7"/>
                    </w:pPr>
                    <w:r>
                      <w:rPr>
                        <w:sz w:val="30"/>
                        <w:szCs w:val="30"/>
                      </w:rPr>
                      <w:fldChar w:fldCharType="begin"/>
                    </w:r>
                    <w:r>
                      <w:rPr>
                        <w:sz w:val="30"/>
                        <w:szCs w:val="30"/>
                      </w:rPr>
                      <w:instrText xml:space="preserve"> PAGE  \* MERGEFORMAT </w:instrText>
                    </w:r>
                    <w:r>
                      <w:rPr>
                        <w:sz w:val="30"/>
                        <w:szCs w:val="30"/>
                      </w:rPr>
                      <w:fldChar w:fldCharType="separate"/>
                    </w:r>
                    <w:r>
                      <w:rPr>
                        <w:sz w:val="30"/>
                        <w:szCs w:val="30"/>
                      </w:rPr>
                      <w:t>- 1 -</w:t>
                    </w:r>
                    <w:r>
                      <w:rPr>
                        <w:sz w:val="30"/>
                        <w:szCs w:val="30"/>
                      </w:rPr>
                      <w:fldChar w:fldCharType="end"/>
                    </w:r>
                  </w:p>
                </w:txbxContent>
              </v:textbox>
            </v:shape>
          </w:pict>
        </mc:Fallback>
      </mc:AlternateContent>
    </w:r>
  </w:p>
  <w:p>
    <w:pPr>
      <w:pStyle w:val="7"/>
      <w:ind w:right="72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0"/>
  <w:bordersDoNotSurroundFooter w:val="0"/>
  <w:documentProtection w:enforcement="0"/>
  <w:defaultTabStop w:val="420"/>
  <w:drawingGridHorizontalSpacing w:val="158"/>
  <w:drawingGridVerticalSpacing w:val="57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mNDI1Y2EyZjUzNmE1ZmU0NzE4YTUyZTVkYzhhODkifQ=="/>
  </w:docVars>
  <w:rsids>
    <w:rsidRoot w:val="00172A27"/>
    <w:rsid w:val="000969F3"/>
    <w:rsid w:val="000A4F54"/>
    <w:rsid w:val="00107964"/>
    <w:rsid w:val="00172A27"/>
    <w:rsid w:val="00270BAE"/>
    <w:rsid w:val="003E04E8"/>
    <w:rsid w:val="003F0A61"/>
    <w:rsid w:val="004170EB"/>
    <w:rsid w:val="00484215"/>
    <w:rsid w:val="0051365E"/>
    <w:rsid w:val="00517E2C"/>
    <w:rsid w:val="005A7916"/>
    <w:rsid w:val="006514E4"/>
    <w:rsid w:val="006B2B1F"/>
    <w:rsid w:val="006F344D"/>
    <w:rsid w:val="00827E52"/>
    <w:rsid w:val="008A37A2"/>
    <w:rsid w:val="008B629F"/>
    <w:rsid w:val="00A95891"/>
    <w:rsid w:val="00BB33D4"/>
    <w:rsid w:val="00EB5D6A"/>
    <w:rsid w:val="00F162CE"/>
    <w:rsid w:val="00FC1D2D"/>
    <w:rsid w:val="0165364E"/>
    <w:rsid w:val="01DB6127"/>
    <w:rsid w:val="03832323"/>
    <w:rsid w:val="0570087F"/>
    <w:rsid w:val="076369A2"/>
    <w:rsid w:val="0BF40511"/>
    <w:rsid w:val="11762382"/>
    <w:rsid w:val="395C27E7"/>
    <w:rsid w:val="451833C0"/>
    <w:rsid w:val="46C87FF5"/>
    <w:rsid w:val="46E6047B"/>
    <w:rsid w:val="481D45BE"/>
    <w:rsid w:val="518571D3"/>
    <w:rsid w:val="51DD13F3"/>
    <w:rsid w:val="56EE4F4E"/>
    <w:rsid w:val="5F8E3006"/>
    <w:rsid w:val="68526C22"/>
    <w:rsid w:val="6F1E621A"/>
    <w:rsid w:val="74D45B01"/>
    <w:rsid w:val="76CC46E8"/>
    <w:rsid w:val="76FB5DE2"/>
    <w:rsid w:val="78CF09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2"/>
    <w:basedOn w:val="1"/>
    <w:next w:val="1"/>
    <w:qFormat/>
    <w:uiPriority w:val="0"/>
    <w:pPr>
      <w:keepNext/>
      <w:keepLines/>
      <w:spacing w:before="0" w:beforeLines="0" w:beforeAutospacing="0" w:afterAutospacing="0" w:line="600" w:lineRule="exact"/>
      <w:ind w:left="0" w:firstLine="640" w:firstLineChars="200"/>
      <w:outlineLvl w:val="1"/>
    </w:pPr>
    <w:rPr>
      <w:rFonts w:ascii="Arial" w:hAnsi="Arial" w:eastAsia="方正黑体_GBK"/>
    </w:rPr>
  </w:style>
  <w:style w:type="character" w:default="1" w:styleId="13">
    <w:name w:val="Default Paragraph Font"/>
    <w:unhideWhenUsed/>
    <w:qFormat/>
    <w:uiPriority w:val="1"/>
  </w:style>
  <w:style w:type="table" w:default="1" w:styleId="11">
    <w:name w:val="Normal Table"/>
    <w:unhideWhenUsed/>
    <w:qFormat/>
    <w:uiPriority w:val="99"/>
    <w:pPr>
      <w:widowControl/>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3">
    <w:name w:val="Body Text"/>
    <w:basedOn w:val="1"/>
    <w:qFormat/>
    <w:uiPriority w:val="0"/>
    <w:pPr>
      <w:tabs>
        <w:tab w:val="left" w:pos="3476"/>
      </w:tabs>
      <w:spacing w:before="240" w:line="420" w:lineRule="exact"/>
    </w:pPr>
    <w:rPr>
      <w:rFonts w:ascii="宋体" w:hAnsi="宋体" w:eastAsia="宋体"/>
      <w:sz w:val="28"/>
      <w:szCs w:val="44"/>
    </w:rPr>
  </w:style>
  <w:style w:type="paragraph" w:styleId="4">
    <w:name w:val="Body Text Indent"/>
    <w:basedOn w:val="1"/>
    <w:qFormat/>
    <w:uiPriority w:val="0"/>
    <w:pPr>
      <w:spacing w:line="600" w:lineRule="exact"/>
      <w:ind w:firstLine="600" w:firstLineChars="200"/>
    </w:pPr>
    <w:rPr>
      <w:rFonts w:ascii="仿宋_GB2312"/>
      <w:color w:val="000000"/>
      <w:sz w:val="30"/>
      <w:szCs w:val="22"/>
    </w:rPr>
  </w:style>
  <w:style w:type="paragraph" w:styleId="5">
    <w:name w:val="Block Text"/>
    <w:basedOn w:val="1"/>
    <w:qFormat/>
    <w:uiPriority w:val="0"/>
    <w:pPr>
      <w:ind w:left="1295" w:leftChars="100" w:right="316" w:rightChars="100" w:hanging="979" w:hangingChars="500"/>
    </w:pPr>
    <w:rPr>
      <w:rFonts w:ascii="仿宋_GB2312"/>
      <w:szCs w:val="24"/>
    </w:rPr>
  </w:style>
  <w:style w:type="paragraph" w:styleId="6">
    <w:name w:val="Date"/>
    <w:basedOn w:val="1"/>
    <w:next w:val="1"/>
    <w:qFormat/>
    <w:uiPriority w:val="0"/>
    <w:pPr>
      <w:ind w:left="100" w:leftChars="2500"/>
    </w:pPr>
    <w:rPr>
      <w:rFonts w:ascii="宋体" w:hAnsi="宋体" w:eastAsia="宋体"/>
      <w:szCs w:val="44"/>
    </w:rPr>
  </w:style>
  <w:style w:type="paragraph" w:styleId="7">
    <w:name w:val="footer"/>
    <w:basedOn w:val="1"/>
    <w:link w:val="2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line="460" w:lineRule="exact"/>
    </w:pPr>
    <w:rPr>
      <w:rFonts w:ascii="仿宋_GB2312"/>
      <w:sz w:val="28"/>
      <w:szCs w:val="24"/>
    </w:rPr>
  </w:style>
  <w:style w:type="paragraph" w:styleId="10">
    <w:name w:val="Normal (Web)"/>
    <w:unhideWhenUsed/>
    <w:qFormat/>
    <w:uiPriority w:val="0"/>
    <w:pPr>
      <w:widowControl/>
      <w:spacing w:before="100" w:beforeAutospacing="1" w:after="100" w:afterAutospacing="1"/>
      <w:jc w:val="left"/>
    </w:pPr>
    <w:rPr>
      <w:rFonts w:ascii="宋体" w:hAnsi="宋体" w:eastAsia="仿宋_GB2312" w:cs="宋体"/>
      <w:kern w:val="0"/>
      <w:sz w:val="24"/>
      <w:szCs w:val="32"/>
      <w:lang w:val="en-US" w:eastAsia="zh-CN" w:bidi="ar-SA"/>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bCs/>
    </w:rPr>
  </w:style>
  <w:style w:type="character" w:styleId="15">
    <w:name w:val="page number"/>
    <w:basedOn w:val="13"/>
    <w:qFormat/>
    <w:uiPriority w:val="0"/>
  </w:style>
  <w:style w:type="paragraph" w:customStyle="1" w:styleId="16">
    <w:name w:val="Char"/>
    <w:basedOn w:val="1"/>
    <w:qFormat/>
    <w:uiPriority w:val="0"/>
    <w:rPr>
      <w:rFonts w:eastAsia="宋体"/>
      <w:sz w:val="21"/>
      <w:szCs w:val="24"/>
    </w:rPr>
  </w:style>
  <w:style w:type="paragraph" w:customStyle="1" w:styleId="17">
    <w:name w:val="tlarea1"/>
    <w:basedOn w:val="1"/>
    <w:qFormat/>
    <w:uiPriority w:val="99"/>
    <w:pPr>
      <w:widowControl/>
      <w:spacing w:before="100" w:beforeAutospacing="1" w:after="100" w:afterAutospacing="1"/>
      <w:jc w:val="left"/>
    </w:pPr>
    <w:rPr>
      <w:rFonts w:ascii="宋体" w:hAnsi="宋体" w:eastAsia="宋体" w:cs="宋体"/>
      <w:spacing w:val="30"/>
      <w:kern w:val="0"/>
      <w:sz w:val="21"/>
      <w:szCs w:val="21"/>
    </w:rPr>
  </w:style>
  <w:style w:type="paragraph" w:customStyle="1" w:styleId="18">
    <w:name w:val="_Style 2"/>
    <w:basedOn w:val="1"/>
    <w:qFormat/>
    <w:uiPriority w:val="0"/>
    <w:pPr>
      <w:widowControl/>
      <w:spacing w:after="160" w:line="240" w:lineRule="exact"/>
      <w:jc w:val="left"/>
    </w:pPr>
    <w:rPr>
      <w:rFonts w:eastAsia="宋体"/>
      <w:sz w:val="21"/>
      <w:szCs w:val="24"/>
    </w:rPr>
  </w:style>
  <w:style w:type="paragraph" w:customStyle="1" w:styleId="1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0">
    <w:name w:val="word-card021"/>
    <w:qFormat/>
    <w:uiPriority w:val="0"/>
    <w:rPr>
      <w:b/>
      <w:bCs/>
      <w:color w:val="FF3000"/>
      <w:sz w:val="24"/>
      <w:szCs w:val="24"/>
    </w:rPr>
  </w:style>
  <w:style w:type="character" w:customStyle="1" w:styleId="21">
    <w:name w:val="页脚 Char"/>
    <w:link w:val="7"/>
    <w:qFormat/>
    <w:uiPriority w:val="99"/>
    <w:rPr>
      <w:rFonts w:eastAsia="仿宋_GB2312"/>
      <w:kern w:val="2"/>
      <w:sz w:val="18"/>
      <w:szCs w:val="18"/>
    </w:rPr>
  </w:style>
  <w:style w:type="character" w:customStyle="1" w:styleId="22">
    <w:name w:val="font21"/>
    <w:basedOn w:val="13"/>
    <w:qFormat/>
    <w:uiPriority w:val="0"/>
    <w:rPr>
      <w:rFonts w:hint="eastAsia" w:ascii="宋体" w:hAnsi="宋体" w:eastAsia="宋体" w:cs="宋体"/>
      <w:color w:val="000000"/>
      <w:sz w:val="24"/>
      <w:szCs w:val="24"/>
      <w:u w:val="none"/>
    </w:rPr>
  </w:style>
  <w:style w:type="character" w:customStyle="1" w:styleId="23">
    <w:name w:val="font61"/>
    <w:basedOn w:val="13"/>
    <w:qFormat/>
    <w:uiPriority w:val="0"/>
    <w:rPr>
      <w:rFonts w:hint="default" w:ascii="宋体-简" w:hAnsi="宋体-简" w:eastAsia="宋体-简" w:cs="宋体-简"/>
      <w:color w:val="000000"/>
      <w:sz w:val="24"/>
      <w:szCs w:val="24"/>
      <w:u w:val="none"/>
    </w:rPr>
  </w:style>
  <w:style w:type="character" w:customStyle="1" w:styleId="24">
    <w:name w:val="font11"/>
    <w:basedOn w:val="13"/>
    <w:qFormat/>
    <w:uiPriority w:val="0"/>
    <w:rPr>
      <w:rFonts w:hint="eastAsia" w:ascii="宋体" w:hAnsi="宋体" w:eastAsia="宋体" w:cs="宋体"/>
      <w:b/>
      <w:color w:val="000000"/>
      <w:sz w:val="24"/>
      <w:szCs w:val="24"/>
      <w:u w:val="none"/>
    </w:rPr>
  </w:style>
  <w:style w:type="character" w:customStyle="1" w:styleId="25">
    <w:name w:val="font121"/>
    <w:basedOn w:val="13"/>
    <w:qFormat/>
    <w:uiPriority w:val="0"/>
    <w:rPr>
      <w:rFonts w:hint="default" w:ascii="Times New Roman" w:hAnsi="Times New Roman" w:cs="Times New Roman"/>
      <w:color w:val="000000"/>
      <w:sz w:val="24"/>
      <w:szCs w:val="24"/>
      <w:u w:val="none"/>
    </w:rPr>
  </w:style>
  <w:style w:type="character" w:customStyle="1" w:styleId="26">
    <w:name w:val="font151"/>
    <w:basedOn w:val="13"/>
    <w:qFormat/>
    <w:uiPriority w:val="0"/>
    <w:rPr>
      <w:rFonts w:hint="default" w:ascii="Times New Roman" w:hAnsi="Times New Roman" w:cs="Times New Roman"/>
      <w:b/>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Company>
  <Pages>1</Pages>
  <Words>8</Words>
  <Characters>49</Characters>
  <Lines>1</Lines>
  <Paragraphs>1</Paragraphs>
  <TotalTime>11</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2018-11-29T08:35:00Z</dcterms:created>
  <dc:creator>03</dc:creator>
  <cp:lastModifiedBy>CryskaBachenowa</cp:lastModifiedBy>
  <cp:lastPrinted>2019-08-06T02:47:00Z</cp:lastPrinted>
  <dcterms:modified xsi:type="dcterms:W3CDTF">2023-08-22T03:08:36Z</dcterms:modified>
  <dc:title>秘　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B7D79C801CBA4E2DBE0CB005B708D9F0_13</vt:lpwstr>
  </property>
</Properties>
</file>