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0" w:name="_Hlk134626234"/>
            <w:bookmarkEnd w:id="0"/>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1"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93.080.99</w:t>
            </w:r>
            <w:r>
              <w:rPr>
                <w:rFonts w:ascii="黑体" w:hAnsi="黑体" w:eastAsia="黑体"/>
                <w:sz w:val="21"/>
                <w:szCs w:val="21"/>
              </w:rPr>
              <w:fldChar w:fldCharType="end"/>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w:t>
            </w:r>
            <w:r>
              <w:rPr>
                <w:rFonts w:ascii="黑体" w:hAnsi="黑体" w:eastAsia="黑体"/>
                <w:sz w:val="21"/>
                <w:szCs w:val="21"/>
              </w:rPr>
              <w:t>66 </w:t>
            </w:r>
            <w:r>
              <w:rPr>
                <w:rFonts w:ascii="黑体" w:hAnsi="黑体" w:eastAsia="黑体"/>
                <w:sz w:val="21"/>
                <w:szCs w:val="21"/>
              </w:rPr>
              <w:fldChar w:fldCharType="end"/>
            </w:r>
            <w:bookmarkEnd w:id="2"/>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3"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4" w:name="c1"/>
            <w:r>
              <w:instrText xml:space="preserve"> FORMTEXT </w:instrText>
            </w:r>
            <w:r>
              <w:fldChar w:fldCharType="separate"/>
            </w:r>
            <w:r>
              <w:t>32</w:t>
            </w:r>
            <w:r>
              <w:fldChar w:fldCharType="end"/>
            </w:r>
            <w:bookmarkEnd w:id="4"/>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5"/>
      <w:r>
        <w:rPr>
          <w:rFonts w:hint="eastAsia" w:ascii="黑体" w:hAnsi="黑体" w:eastAsia="黑体"/>
          <w:b w:val="0"/>
          <w:bCs w:val="0"/>
          <w:w w:val="100"/>
          <w:sz w:val="48"/>
          <w:szCs w:val="48"/>
        </w:rPr>
        <w:t>地方标准</w:t>
      </w:r>
    </w:p>
    <w:bookmarkEnd w:id="3"/>
    <w:p>
      <w:pPr>
        <w:pStyle w:val="195"/>
        <w:rPr>
          <w:lang w:val="fr-FR"/>
        </w:rPr>
      </w:pPr>
      <w:r>
        <w:rPr>
          <w:lang w:val="fr-FR"/>
        </w:rPr>
        <w:t>DB</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lang w:val="fr-FR"/>
        </w:rPr>
        <w:t>32/T</w:t>
      </w:r>
      <w:r>
        <w:fldChar w:fldCharType="end"/>
      </w:r>
      <w:bookmarkEnd w:id="6"/>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lang w:val="fr-FR"/>
        </w:rP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t>2023</w:t>
      </w:r>
      <w:r>
        <w:fldChar w:fldCharType="end"/>
      </w:r>
      <w:bookmarkEnd w:id="8"/>
    </w:p>
    <w:p>
      <w:pPr>
        <w:pStyle w:val="196"/>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9"/>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1402005218"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nf4jzNgAAAAMAQAADwAAAAAAAAABACAAAAAiAAAA&#10;ZHJzL2Rvd25yZXYueG1sUEsBAhQAFAAAAAgAh07iQNTmylnOAQAAZQMAAA4AAAAAAAAAAQAgAAAA&#10;JwEAAGRycy9lMm9Eb2MueG1sUEsFBgAAAAAGAAYAWQEAAGcFA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t>内河港口船舶充电站通用技术要求</w:t>
      </w:r>
      <w:r>
        <w:fldChar w:fldCharType="end"/>
      </w:r>
      <w:bookmarkEnd w:id="10"/>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1"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General technical requirements of the inland ship charging station at port area</w:t>
      </w:r>
      <w:r>
        <w:rPr>
          <w:rFonts w:ascii="黑体" w:hAnsi="黑体" w:eastAsia="黑体"/>
          <w:szCs w:val="28"/>
        </w:rPr>
        <w:fldChar w:fldCharType="end"/>
      </w:r>
      <w:bookmarkEnd w:id="11"/>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5"/>
      <w:r>
        <w:rPr>
          <w:rFonts w:ascii="黑体"/>
        </w:rPr>
        <w:t>-</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8"/>
      <w:r>
        <w:rPr>
          <w:rFonts w:ascii="黑体"/>
        </w:rPr>
        <w:t>-</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ascii="黑体"/>
        </w:rPr>
        <w:t>-</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100835638"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1"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mp0YvXAAAADgEAAA8AAAAAAAAAAQAgAAAAIgAAAGRy&#10;cy9kb3ducmV2LnhtbFBLAQIUABQAAAAIAIdO4kCvGt8gzQEAAGQDAAAOAAAAAAAAAAEAIAAAACYB&#10;AABkcnMvZTJvRG9jLnhtbFBLBQYAAAAABgAGAFkBAABlBQAAAAA=&#10;">
                <v:fill on="f" focussize="0,0"/>
                <v:stroke color="#000000" joinstyle="round"/>
                <v:imagedata o:title=""/>
                <o:lock v:ext="edit" aspectratio="f"/>
                <w10:anchorlock/>
              </v:line>
            </w:pict>
          </mc:Fallback>
        </mc:AlternateContent>
      </w:r>
    </w:p>
    <w:p>
      <w:pPr>
        <w:pStyle w:val="91"/>
        <w:spacing w:after="468"/>
      </w:pPr>
      <w:bookmarkStart w:id="22" w:name="BookMark1"/>
      <w:bookmarkStart w:id="23" w:name="_Toc135210779"/>
      <w:bookmarkStart w:id="24" w:name="_Toc135211371"/>
      <w:bookmarkStart w:id="25" w:name="_Toc135211549"/>
      <w:bookmarkStart w:id="26" w:name="_Toc135660398"/>
      <w:bookmarkStart w:id="27" w:name="_Toc138077477"/>
      <w:bookmarkStart w:id="28" w:name="_Toc134629928"/>
      <w:bookmarkStart w:id="29" w:name="_Toc141973498"/>
      <w:bookmarkStart w:id="30" w:name="_Toc135728704"/>
      <w:r>
        <w:rPr>
          <w:rFonts w:hint="eastAsia"/>
          <w:spacing w:val="320"/>
        </w:rPr>
        <w:t>目</w:t>
      </w:r>
      <w:r>
        <w:rPr>
          <w:rFonts w:hint="eastAsia"/>
        </w:rPr>
        <w:t>次</w:t>
      </w:r>
    </w:p>
    <w:p>
      <w:pPr>
        <w:pStyle w:val="19"/>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"_Toc141973556" </w:instrText>
      </w:r>
      <w:r>
        <w:fldChar w:fldCharType="separate"/>
      </w:r>
      <w:r>
        <w:rPr>
          <w:rStyle w:val="32"/>
        </w:rPr>
        <w:t>前言</w:t>
      </w:r>
      <w:r>
        <w:tab/>
      </w:r>
      <w:r>
        <w:fldChar w:fldCharType="begin"/>
      </w:r>
      <w:r>
        <w:instrText xml:space="preserve"> PAGEREF _Toc141973556 \h </w:instrText>
      </w:r>
      <w:r>
        <w:fldChar w:fldCharType="separate"/>
      </w:r>
      <w:r>
        <w:t>II</w:t>
      </w:r>
      <w:r>
        <w:fldChar w:fldCharType="end"/>
      </w:r>
      <w:r>
        <w:fldChar w:fldCharType="end"/>
      </w:r>
    </w:p>
    <w:p>
      <w:pPr>
        <w:pStyle w:val="19"/>
        <w:rPr>
          <w:rFonts w:asciiTheme="minorHAnsi" w:hAnsiTheme="minorHAnsi" w:eastAsiaTheme="minorEastAsia" w:cstheme="minorBidi"/>
          <w:szCs w:val="22"/>
          <w14:ligatures w14:val="standardContextual"/>
        </w:rPr>
      </w:pPr>
      <w:r>
        <w:fldChar w:fldCharType="begin"/>
      </w:r>
      <w:r>
        <w:instrText xml:space="preserve"> HYPERLINK \l "_Toc141973557" </w:instrText>
      </w:r>
      <w:r>
        <w:fldChar w:fldCharType="separate"/>
      </w:r>
      <w:r>
        <w:rPr>
          <w:rStyle w:val="32"/>
        </w:rPr>
        <w:t>1  范围</w:t>
      </w:r>
      <w:r>
        <w:tab/>
      </w:r>
      <w:r>
        <w:fldChar w:fldCharType="begin"/>
      </w:r>
      <w:r>
        <w:instrText xml:space="preserve"> PAGEREF _Toc141973557 \h </w:instrText>
      </w:r>
      <w:r>
        <w:fldChar w:fldCharType="separate"/>
      </w:r>
      <w:r>
        <w:t>1</w:t>
      </w:r>
      <w:r>
        <w:fldChar w:fldCharType="end"/>
      </w:r>
      <w:r>
        <w:fldChar w:fldCharType="end"/>
      </w:r>
    </w:p>
    <w:p>
      <w:pPr>
        <w:pStyle w:val="19"/>
        <w:rPr>
          <w:rFonts w:asciiTheme="minorHAnsi" w:hAnsiTheme="minorHAnsi" w:eastAsiaTheme="minorEastAsia" w:cstheme="minorBidi"/>
          <w:szCs w:val="22"/>
          <w14:ligatures w14:val="standardContextual"/>
        </w:rPr>
      </w:pPr>
      <w:r>
        <w:fldChar w:fldCharType="begin"/>
      </w:r>
      <w:r>
        <w:instrText xml:space="preserve"> HYPERLINK \l "_Toc141973558" </w:instrText>
      </w:r>
      <w:r>
        <w:fldChar w:fldCharType="separate"/>
      </w:r>
      <w:r>
        <w:rPr>
          <w:rStyle w:val="32"/>
        </w:rPr>
        <w:t>2  规范性引用文件</w:t>
      </w:r>
      <w:r>
        <w:tab/>
      </w:r>
      <w:r>
        <w:fldChar w:fldCharType="begin"/>
      </w:r>
      <w:r>
        <w:instrText xml:space="preserve"> PAGEREF _Toc141973558 \h </w:instrText>
      </w:r>
      <w:r>
        <w:fldChar w:fldCharType="separate"/>
      </w:r>
      <w:r>
        <w:t>1</w:t>
      </w:r>
      <w:r>
        <w:fldChar w:fldCharType="end"/>
      </w:r>
      <w:r>
        <w:fldChar w:fldCharType="end"/>
      </w:r>
    </w:p>
    <w:p>
      <w:pPr>
        <w:pStyle w:val="19"/>
        <w:rPr>
          <w:rFonts w:asciiTheme="minorHAnsi" w:hAnsiTheme="minorHAnsi" w:eastAsiaTheme="minorEastAsia" w:cstheme="minorBidi"/>
          <w:szCs w:val="22"/>
          <w14:ligatures w14:val="standardContextual"/>
        </w:rPr>
      </w:pPr>
      <w:r>
        <w:fldChar w:fldCharType="begin"/>
      </w:r>
      <w:r>
        <w:instrText xml:space="preserve"> HYPERLINK \l "_Toc141973559" </w:instrText>
      </w:r>
      <w:r>
        <w:fldChar w:fldCharType="separate"/>
      </w:r>
      <w:r>
        <w:rPr>
          <w:rStyle w:val="32"/>
        </w:rPr>
        <w:t>3  术语和定义</w:t>
      </w:r>
      <w:r>
        <w:tab/>
      </w:r>
      <w:r>
        <w:fldChar w:fldCharType="begin"/>
      </w:r>
      <w:r>
        <w:instrText xml:space="preserve"> PAGEREF _Toc141973559 \h </w:instrText>
      </w:r>
      <w:r>
        <w:fldChar w:fldCharType="separate"/>
      </w:r>
      <w:r>
        <w:t>1</w:t>
      </w:r>
      <w:r>
        <w:fldChar w:fldCharType="end"/>
      </w:r>
      <w:r>
        <w:fldChar w:fldCharType="end"/>
      </w:r>
    </w:p>
    <w:p>
      <w:pPr>
        <w:pStyle w:val="19"/>
        <w:rPr>
          <w:rFonts w:asciiTheme="minorHAnsi" w:hAnsiTheme="minorHAnsi" w:eastAsiaTheme="minorEastAsia" w:cstheme="minorBidi"/>
          <w:szCs w:val="22"/>
          <w14:ligatures w14:val="standardContextual"/>
        </w:rPr>
      </w:pPr>
      <w:r>
        <w:fldChar w:fldCharType="begin"/>
      </w:r>
      <w:r>
        <w:instrText xml:space="preserve"> HYPERLINK \l "_Toc141973560" </w:instrText>
      </w:r>
      <w:r>
        <w:fldChar w:fldCharType="separate"/>
      </w:r>
      <w:r>
        <w:rPr>
          <w:rStyle w:val="32"/>
        </w:rPr>
        <w:t>4  充电站基本要求</w:t>
      </w:r>
      <w:r>
        <w:tab/>
      </w:r>
      <w:r>
        <w:fldChar w:fldCharType="begin"/>
      </w:r>
      <w:r>
        <w:instrText xml:space="preserve"> PAGEREF _Toc141973560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"_Toc141973561" </w:instrText>
      </w:r>
      <w:r>
        <w:fldChar w:fldCharType="separate"/>
      </w:r>
      <w:r>
        <w:rPr>
          <w:rStyle w:val="32"/>
        </w:rPr>
        <w:t>4.1  充电模式及组成</w:t>
      </w:r>
      <w:r>
        <w:tab/>
      </w:r>
      <w:r>
        <w:fldChar w:fldCharType="begin"/>
      </w:r>
      <w:r>
        <w:instrText xml:space="preserve"> PAGEREF _Toc141973561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"_Toc141973562" </w:instrText>
      </w:r>
      <w:r>
        <w:fldChar w:fldCharType="separate"/>
      </w:r>
      <w:r>
        <w:rPr>
          <w:rStyle w:val="32"/>
        </w:rPr>
        <w:t>4.2  一般要求</w:t>
      </w:r>
      <w:r>
        <w:tab/>
      </w:r>
      <w:r>
        <w:fldChar w:fldCharType="begin"/>
      </w:r>
      <w:r>
        <w:instrText xml:space="preserve"> PAGEREF _Toc141973562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"_Toc141973563" </w:instrText>
      </w:r>
      <w:r>
        <w:fldChar w:fldCharType="separate"/>
      </w:r>
      <w:r>
        <w:rPr>
          <w:rStyle w:val="32"/>
        </w:rPr>
        <w:t>4.3  电源变换装置</w:t>
      </w:r>
      <w:r>
        <w:tab/>
      </w:r>
      <w:r>
        <w:fldChar w:fldCharType="begin"/>
      </w:r>
      <w:r>
        <w:instrText xml:space="preserve"> PAGEREF _Toc141973563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"_Toc141973564" </w:instrText>
      </w:r>
      <w:r>
        <w:fldChar w:fldCharType="separate"/>
      </w:r>
      <w:r>
        <w:rPr>
          <w:rStyle w:val="32"/>
        </w:rPr>
        <w:t>4.4  电缆管理系统</w:t>
      </w:r>
      <w:r>
        <w:tab/>
      </w:r>
      <w:r>
        <w:fldChar w:fldCharType="begin"/>
      </w:r>
      <w:r>
        <w:instrText xml:space="preserve"> PAGEREF _Toc141973564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"_Toc141973565" </w:instrText>
      </w:r>
      <w:r>
        <w:fldChar w:fldCharType="separate"/>
      </w:r>
      <w:r>
        <w:rPr>
          <w:rStyle w:val="32"/>
        </w:rPr>
        <w:t>4.5  电缆</w:t>
      </w:r>
      <w:r>
        <w:tab/>
      </w:r>
      <w:r>
        <w:fldChar w:fldCharType="begin"/>
      </w:r>
      <w:r>
        <w:instrText xml:space="preserve"> PAGEREF _Toc141973565 \h </w:instrText>
      </w:r>
      <w:r>
        <w:fldChar w:fldCharType="separate"/>
      </w:r>
      <w:r>
        <w:t>5</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"_Toc141973566" </w:instrText>
      </w:r>
      <w:r>
        <w:fldChar w:fldCharType="separate"/>
      </w:r>
      <w:r>
        <w:rPr>
          <w:rStyle w:val="32"/>
        </w:rPr>
        <w:t>4.6  插头与插座</w:t>
      </w:r>
      <w:r>
        <w:tab/>
      </w:r>
      <w:r>
        <w:fldChar w:fldCharType="begin"/>
      </w:r>
      <w:r>
        <w:instrText xml:space="preserve"> PAGEREF _Toc141973566 \h </w:instrText>
      </w:r>
      <w:r>
        <w:fldChar w:fldCharType="separate"/>
      </w:r>
      <w:r>
        <w:t>5</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"_Toc141973567" </w:instrText>
      </w:r>
      <w:r>
        <w:fldChar w:fldCharType="separate"/>
      </w:r>
      <w:r>
        <w:rPr>
          <w:rStyle w:val="32"/>
        </w:rPr>
        <w:t>4.7  电缆转接箱</w:t>
      </w:r>
      <w:r>
        <w:tab/>
      </w:r>
      <w:r>
        <w:fldChar w:fldCharType="begin"/>
      </w:r>
      <w:r>
        <w:instrText xml:space="preserve"> PAGEREF _Toc141973567 \h </w:instrText>
      </w:r>
      <w:r>
        <w:fldChar w:fldCharType="separate"/>
      </w:r>
      <w:r>
        <w:t>5</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"_Toc141973568" </w:instrText>
      </w:r>
      <w:r>
        <w:fldChar w:fldCharType="separate"/>
      </w:r>
      <w:r>
        <w:rPr>
          <w:rStyle w:val="32"/>
        </w:rPr>
        <w:t>4.8  充电管理系统</w:t>
      </w:r>
      <w:r>
        <w:tab/>
      </w:r>
      <w:r>
        <w:fldChar w:fldCharType="begin"/>
      </w:r>
      <w:r>
        <w:instrText xml:space="preserve"> PAGEREF _Toc141973568 \h </w:instrText>
      </w:r>
      <w:r>
        <w:fldChar w:fldCharType="separate"/>
      </w:r>
      <w:r>
        <w:t>5</w:t>
      </w:r>
      <w:r>
        <w:fldChar w:fldCharType="end"/>
      </w:r>
      <w:r>
        <w:fldChar w:fldCharType="end"/>
      </w:r>
    </w:p>
    <w:p>
      <w:pPr>
        <w:pStyle w:val="19"/>
        <w:rPr>
          <w:rFonts w:asciiTheme="minorHAnsi" w:hAnsiTheme="minorHAnsi" w:eastAsiaTheme="minorEastAsia" w:cstheme="minorBidi"/>
          <w:szCs w:val="22"/>
          <w14:ligatures w14:val="standardContextual"/>
        </w:rPr>
      </w:pPr>
      <w:r>
        <w:fldChar w:fldCharType="begin"/>
      </w:r>
      <w:r>
        <w:instrText xml:space="preserve"> HYPERLINK \l "_Toc141973569" </w:instrText>
      </w:r>
      <w:r>
        <w:fldChar w:fldCharType="separate"/>
      </w:r>
      <w:r>
        <w:rPr>
          <w:rStyle w:val="32"/>
        </w:rPr>
        <w:t>5  安全性要求</w:t>
      </w:r>
      <w:r>
        <w:tab/>
      </w:r>
      <w:r>
        <w:fldChar w:fldCharType="begin"/>
      </w:r>
      <w:r>
        <w:instrText xml:space="preserve"> PAGEREF _Toc141973569 \h </w:instrText>
      </w:r>
      <w:r>
        <w:fldChar w:fldCharType="separate"/>
      </w:r>
      <w:r>
        <w:t>5</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"_Toc141973570" </w:instrText>
      </w:r>
      <w:r>
        <w:fldChar w:fldCharType="separate"/>
      </w:r>
      <w:r>
        <w:rPr>
          <w:rStyle w:val="32"/>
        </w:rPr>
        <w:t>5.1  充电站一般要求</w:t>
      </w:r>
      <w:r>
        <w:tab/>
      </w:r>
      <w:r>
        <w:fldChar w:fldCharType="begin"/>
      </w:r>
      <w:r>
        <w:instrText xml:space="preserve"> PAGEREF _Toc141973570 \h </w:instrText>
      </w:r>
      <w:r>
        <w:fldChar w:fldCharType="separate"/>
      </w:r>
      <w:r>
        <w:t>5</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"_Toc141973571" </w:instrText>
      </w:r>
      <w:r>
        <w:fldChar w:fldCharType="separate"/>
      </w:r>
      <w:r>
        <w:rPr>
          <w:rStyle w:val="32"/>
        </w:rPr>
        <w:t>5.2  电源变换装置</w:t>
      </w:r>
      <w:r>
        <w:tab/>
      </w:r>
      <w:r>
        <w:fldChar w:fldCharType="begin"/>
      </w:r>
      <w:r>
        <w:instrText xml:space="preserve"> PAGEREF _Toc141973571 \h </w:instrText>
      </w:r>
      <w:r>
        <w:fldChar w:fldCharType="separate"/>
      </w:r>
      <w:r>
        <w:t>6</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"_Toc141973572" </w:instrText>
      </w:r>
      <w:r>
        <w:fldChar w:fldCharType="separate"/>
      </w:r>
      <w:r>
        <w:rPr>
          <w:rStyle w:val="32"/>
        </w:rPr>
        <w:t>5.3  电缆管理系统</w:t>
      </w:r>
      <w:r>
        <w:tab/>
      </w:r>
      <w:r>
        <w:fldChar w:fldCharType="begin"/>
      </w:r>
      <w:r>
        <w:instrText xml:space="preserve"> PAGEREF _Toc141973572 \h </w:instrText>
      </w:r>
      <w:r>
        <w:fldChar w:fldCharType="separate"/>
      </w:r>
      <w:r>
        <w:t>6</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"_Toc141973573" </w:instrText>
      </w:r>
      <w:r>
        <w:fldChar w:fldCharType="separate"/>
      </w:r>
      <w:r>
        <w:rPr>
          <w:rStyle w:val="32"/>
        </w:rPr>
        <w:t>5.4  插头和插座</w:t>
      </w:r>
      <w:r>
        <w:tab/>
      </w:r>
      <w:r>
        <w:fldChar w:fldCharType="begin"/>
      </w:r>
      <w:r>
        <w:instrText xml:space="preserve"> PAGEREF _Toc141973573 \h </w:instrText>
      </w:r>
      <w:r>
        <w:fldChar w:fldCharType="separate"/>
      </w:r>
      <w:r>
        <w:t>6</w:t>
      </w:r>
      <w:r>
        <w:fldChar w:fldCharType="end"/>
      </w:r>
      <w:r>
        <w:fldChar w:fldCharType="end"/>
      </w:r>
    </w:p>
    <w:p>
      <w:pPr>
        <w:pStyle w:val="19"/>
        <w:rPr>
          <w:rFonts w:asciiTheme="minorHAnsi" w:hAnsiTheme="minorHAnsi" w:eastAsiaTheme="minorEastAsia" w:cstheme="minorBidi"/>
          <w:szCs w:val="22"/>
          <w14:ligatures w14:val="standardContextual"/>
        </w:rPr>
      </w:pPr>
      <w:r>
        <w:fldChar w:fldCharType="begin"/>
      </w:r>
      <w:r>
        <w:instrText xml:space="preserve"> HYPERLINK \l "_Toc141973574" </w:instrText>
      </w:r>
      <w:r>
        <w:fldChar w:fldCharType="separate"/>
      </w:r>
      <w:r>
        <w:rPr>
          <w:rStyle w:val="32"/>
        </w:rPr>
        <w:t>6  试验要求</w:t>
      </w:r>
      <w:r>
        <w:tab/>
      </w:r>
      <w:r>
        <w:fldChar w:fldCharType="begin"/>
      </w:r>
      <w:r>
        <w:instrText xml:space="preserve"> PAGEREF _Toc141973574 \h </w:instrText>
      </w:r>
      <w:r>
        <w:fldChar w:fldCharType="separate"/>
      </w:r>
      <w:r>
        <w:t>6</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"_Toc141973575" </w:instrText>
      </w:r>
      <w:r>
        <w:fldChar w:fldCharType="separate"/>
      </w:r>
      <w:r>
        <w:rPr>
          <w:rStyle w:val="32"/>
        </w:rPr>
        <w:t>6.1  现场试验</w:t>
      </w:r>
      <w:r>
        <w:tab/>
      </w:r>
      <w:r>
        <w:fldChar w:fldCharType="begin"/>
      </w:r>
      <w:r>
        <w:instrText xml:space="preserve"> PAGEREF _Toc141973575 \h </w:instrText>
      </w:r>
      <w:r>
        <w:fldChar w:fldCharType="separate"/>
      </w:r>
      <w:r>
        <w:t>6</w:t>
      </w:r>
      <w:r>
        <w:fldChar w:fldCharType="end"/>
      </w:r>
      <w:r>
        <w:fldChar w:fldCharType="end"/>
      </w:r>
    </w:p>
    <w:p>
      <w:pPr>
        <w:pStyle w:val="19"/>
        <w:rPr>
          <w:rFonts w:asciiTheme="minorHAnsi" w:hAnsiTheme="minorHAnsi" w:eastAsiaTheme="minorEastAsia" w:cstheme="minorBidi"/>
          <w:szCs w:val="22"/>
          <w14:ligatures w14:val="standardContextual"/>
        </w:rPr>
      </w:pPr>
      <w:r>
        <w:fldChar w:fldCharType="begin"/>
      </w:r>
      <w:r>
        <w:instrText xml:space="preserve"> HYPERLINK \l "_Toc141973576" </w:instrText>
      </w:r>
      <w:r>
        <w:fldChar w:fldCharType="separate"/>
      </w:r>
      <w:r>
        <w:rPr>
          <w:rStyle w:val="32"/>
        </w:rPr>
        <w:t>附录A（资料性）  直流充电模式</w:t>
      </w:r>
      <w:r>
        <w:tab/>
      </w:r>
      <w:r>
        <w:fldChar w:fldCharType="begin"/>
      </w:r>
      <w:r>
        <w:instrText xml:space="preserve"> PAGEREF _Toc141973576 \h </w:instrText>
      </w:r>
      <w:r>
        <w:fldChar w:fldCharType="separate"/>
      </w:r>
      <w:r>
        <w:t>8</w:t>
      </w:r>
      <w:r>
        <w:fldChar w:fldCharType="end"/>
      </w:r>
      <w:r>
        <w:fldChar w:fldCharType="end"/>
      </w:r>
    </w:p>
    <w:p>
      <w:pPr>
        <w:pStyle w:val="19"/>
        <w:rPr>
          <w:rFonts w:asciiTheme="minorHAnsi" w:hAnsiTheme="minorHAnsi" w:eastAsiaTheme="minorEastAsia" w:cstheme="minorBidi"/>
          <w:szCs w:val="22"/>
          <w14:ligatures w14:val="standardContextual"/>
        </w:rPr>
      </w:pPr>
      <w:r>
        <w:fldChar w:fldCharType="begin"/>
      </w:r>
      <w:r>
        <w:instrText xml:space="preserve"> HYPERLINK \l "_Toc141973577" </w:instrText>
      </w:r>
      <w:r>
        <w:fldChar w:fldCharType="separate"/>
      </w:r>
      <w:r>
        <w:rPr>
          <w:rStyle w:val="32"/>
        </w:rPr>
        <w:t>附录B（资料性）  交流充电模式基本组成</w:t>
      </w:r>
      <w:r>
        <w:tab/>
      </w:r>
      <w:r>
        <w:fldChar w:fldCharType="begin"/>
      </w:r>
      <w:r>
        <w:instrText xml:space="preserve"> PAGEREF _Toc141973577 \h </w:instrText>
      </w:r>
      <w:r>
        <w:fldChar w:fldCharType="separate"/>
      </w:r>
      <w:r>
        <w:t>9</w:t>
      </w:r>
      <w:r>
        <w:fldChar w:fldCharType="end"/>
      </w:r>
      <w:r>
        <w:fldChar w:fldCharType="end"/>
      </w:r>
    </w:p>
    <w:p>
      <w:pPr>
        <w:pStyle w:val="19"/>
        <w:rPr>
          <w:rFonts w:asciiTheme="minorHAnsi" w:hAnsiTheme="minorHAnsi" w:eastAsiaTheme="minorEastAsia" w:cstheme="minorBidi"/>
          <w:szCs w:val="22"/>
          <w14:ligatures w14:val="standardContextual"/>
        </w:rPr>
      </w:pPr>
      <w:r>
        <w:fldChar w:fldCharType="begin"/>
      </w:r>
      <w:r>
        <w:instrText xml:space="preserve"> HYPERLINK \l "_Toc141973578" </w:instrText>
      </w:r>
      <w:r>
        <w:fldChar w:fldCharType="separate"/>
      </w:r>
      <w:r>
        <w:rPr>
          <w:rStyle w:val="32"/>
        </w:rPr>
        <w:t>参考文献</w:t>
      </w:r>
      <w:r>
        <w:tab/>
      </w:r>
      <w:r>
        <w:fldChar w:fldCharType="begin"/>
      </w:r>
      <w:r>
        <w:instrText xml:space="preserve"> PAGEREF _Toc141973578 \h </w:instrText>
      </w:r>
      <w:r>
        <w:fldChar w:fldCharType="separate"/>
      </w:r>
      <w:r>
        <w:t>10</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2"/>
    <w:p>
      <w:pPr>
        <w:pStyle w:val="89"/>
        <w:spacing w:before="900" w:after="468"/>
      </w:pPr>
      <w:bookmarkStart w:id="31" w:name="_Toc141973556"/>
      <w:bookmarkStart w:id="32" w:name="BookMark2"/>
      <w:r>
        <w:rPr>
          <w:spacing w:val="320"/>
        </w:rPr>
        <w:t>前</w:t>
      </w:r>
      <w:r>
        <w:t>言</w:t>
      </w:r>
      <w:bookmarkEnd w:id="23"/>
      <w:bookmarkEnd w:id="24"/>
      <w:bookmarkEnd w:id="25"/>
      <w:bookmarkEnd w:id="26"/>
      <w:bookmarkEnd w:id="27"/>
      <w:bookmarkEnd w:id="28"/>
      <w:bookmarkEnd w:id="29"/>
      <w:bookmarkEnd w:id="30"/>
      <w:bookmarkEnd w:id="3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本文件由江苏省交通运输厅提出并归口。</w:t>
      </w:r>
    </w:p>
    <w:p>
      <w:pPr>
        <w:pStyle w:val="56"/>
        <w:ind w:firstLine="420"/>
      </w:pPr>
      <w:r>
        <w:rPr>
          <w:rFonts w:hint="eastAsia"/>
        </w:rPr>
        <w:t>本文件起草单位：苏交科集团股份有限公司、江苏省无锡交通高等职业技术学校、江苏省交通运输厅港航事业发展中心、中国船级社江苏分社、中国船舶集团公司第七一一研究所、国电南瑞南京控制系统有限公司、江苏健龙电器有限公司、南京大全电气研究院有限公司、江苏长天智远信息科技有限公司。</w:t>
      </w:r>
    </w:p>
    <w:p>
      <w:pPr>
        <w:pStyle w:val="56"/>
        <w:ind w:firstLine="420"/>
      </w:pPr>
      <w:r>
        <w:rPr>
          <w:rFonts w:hint="eastAsia"/>
        </w:rPr>
        <w:t>本文件主要起草人：杨本、李虎、叶嘉宁、孙俊锋、曹嘉瑞、徐忠、程梦玮、朱雨兰、吕卫国、朱志泉、吴志亚、唐磊磊、邓志超、段征、张如通、黄益斌、张步林、王学永、王登才、陈晓静、王永平、杨苏航。</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2"/>
    <w:p>
      <w:pPr>
        <w:spacing w:line="20" w:lineRule="exact"/>
        <w:jc w:val="center"/>
        <w:rPr>
          <w:rFonts w:ascii="黑体" w:hAnsi="黑体" w:eastAsia="黑体"/>
          <w:sz w:val="32"/>
          <w:szCs w:val="32"/>
        </w:rPr>
      </w:pPr>
      <w:bookmarkStart w:id="33" w:name="BookMark4"/>
    </w:p>
    <w:p>
      <w:pPr>
        <w:spacing w:line="20" w:lineRule="exact"/>
        <w:jc w:val="center"/>
        <w:rPr>
          <w:rFonts w:ascii="黑体" w:hAnsi="黑体" w:eastAsia="黑体"/>
          <w:sz w:val="32"/>
          <w:szCs w:val="32"/>
        </w:rPr>
      </w:pPr>
    </w:p>
    <w:sdt>
      <w:sdtPr>
        <w:tag w:val="NEW_STAND_NAME"/>
        <w:id w:val="595910757"/>
        <w:lock w:val="sdtLocked"/>
        <w:placeholder>
          <w:docPart w:val="EDD569234CFB42E588F72C67C36BC0A1"/>
        </w:placeholder>
      </w:sdtPr>
      <w:sdtContent>
        <w:p>
          <w:pPr>
            <w:pStyle w:val="177"/>
            <w:spacing w:before="3" w:beforeLines="1" w:after="686" w:afterLines="220"/>
          </w:pPr>
          <w:bookmarkStart w:id="34" w:name="NEW_STAND_NAME"/>
          <w:r>
            <w:rPr>
              <w:rFonts w:hint="eastAsia"/>
            </w:rPr>
            <w:t>内河港口船舶充电站通用技术要求</w:t>
          </w:r>
        </w:p>
      </w:sdtContent>
    </w:sdt>
    <w:bookmarkEnd w:id="34"/>
    <w:p>
      <w:pPr>
        <w:pStyle w:val="104"/>
        <w:spacing w:before="312" w:after="312"/>
      </w:pPr>
      <w:bookmarkStart w:id="35" w:name="_Toc24884218"/>
      <w:bookmarkStart w:id="36" w:name="_Toc26718930"/>
      <w:bookmarkStart w:id="37" w:name="_Toc17233333"/>
      <w:bookmarkStart w:id="38" w:name="_Toc97191423"/>
      <w:bookmarkStart w:id="39" w:name="_Toc135211372"/>
      <w:bookmarkStart w:id="40" w:name="_Toc135211550"/>
      <w:bookmarkStart w:id="41" w:name="_Toc135728705"/>
      <w:bookmarkStart w:id="42" w:name="_Toc138077478"/>
      <w:bookmarkStart w:id="43" w:name="_Toc135660399"/>
      <w:bookmarkStart w:id="44" w:name="_Toc141973499"/>
      <w:bookmarkStart w:id="45" w:name="_Toc141973557"/>
      <w:bookmarkStart w:id="46" w:name="_Toc26986771"/>
      <w:bookmarkStart w:id="47" w:name="_Toc26648465"/>
      <w:bookmarkStart w:id="48" w:name="_Toc26986530"/>
      <w:bookmarkStart w:id="49" w:name="_Toc134629929"/>
      <w:bookmarkStart w:id="50" w:name="_Toc135210780"/>
      <w:bookmarkStart w:id="51" w:name="_Toc17233325"/>
      <w:bookmarkStart w:id="52" w:name="_Toc24884211"/>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pPr>
        <w:pStyle w:val="56"/>
        <w:ind w:firstLine="420"/>
      </w:pPr>
      <w:r>
        <w:rPr>
          <w:rFonts w:hint="eastAsia"/>
        </w:rPr>
        <w:t>本文件规定了内河港口码头船舶充电站的基本要求、安全性要求和试验要求。</w:t>
      </w:r>
    </w:p>
    <w:p>
      <w:pPr>
        <w:pStyle w:val="56"/>
        <w:ind w:firstLine="420"/>
      </w:pPr>
      <w:r>
        <w:rPr>
          <w:rFonts w:hint="eastAsia"/>
        </w:rPr>
        <w:t>本文件适用于新建、改扩建内河港口码头用于纯电动船舶、混合动力船舶充电站建设及监督管理。</w:t>
      </w:r>
      <w:bookmarkStart w:id="53" w:name="_Toc17233334"/>
      <w:bookmarkStart w:id="54" w:name="_Toc24884212"/>
      <w:bookmarkStart w:id="55" w:name="_Toc24884219"/>
      <w:bookmarkStart w:id="56" w:name="_Toc17233326"/>
      <w:bookmarkStart w:id="57" w:name="_Toc26648466"/>
    </w:p>
    <w:p>
      <w:pPr>
        <w:pStyle w:val="104"/>
        <w:spacing w:before="312" w:after="312"/>
      </w:pPr>
      <w:bookmarkStart w:id="58" w:name="_Toc26718931"/>
      <w:bookmarkStart w:id="59" w:name="_Toc26986772"/>
      <w:bookmarkStart w:id="60" w:name="_Toc135728706"/>
      <w:bookmarkStart w:id="61" w:name="_Toc141973500"/>
      <w:bookmarkStart w:id="62" w:name="_Toc97191424"/>
      <w:bookmarkStart w:id="63" w:name="_Toc135211373"/>
      <w:bookmarkStart w:id="64" w:name="_Toc138077479"/>
      <w:bookmarkStart w:id="65" w:name="_Toc135211551"/>
      <w:bookmarkStart w:id="66" w:name="_Toc26986531"/>
      <w:bookmarkStart w:id="67" w:name="_Toc135210781"/>
      <w:bookmarkStart w:id="68" w:name="_Toc134629930"/>
      <w:bookmarkStart w:id="69" w:name="_Toc135660400"/>
      <w:bookmarkStart w:id="70" w:name="_Toc141973558"/>
      <w:r>
        <w:rPr>
          <w:rFonts w:hint="eastAsia"/>
        </w:rPr>
        <w:t>规范性引用文件</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dt>
      <w:sdtPr>
        <w:rPr>
          <w:rFonts w:hint="eastAsia"/>
        </w:rPr>
        <w:id w:val="715848253"/>
        <w:placeholder>
          <w:docPart w:val="00EEFF53F6EC4A3F98E2E96BF744EB5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bookmarkStart w:id="71" w:name="_Hlk137114144"/>
      <w:r>
        <w:rPr>
          <w:rFonts w:hint="eastAsia"/>
        </w:rPr>
        <w:t>GB/T 4208—2017</w:t>
      </w:r>
      <w:bookmarkEnd w:id="71"/>
      <w:r>
        <w:rPr>
          <w:rFonts w:hint="eastAsia"/>
        </w:rPr>
        <w:t>　外壳防护等级（IP代码）</w:t>
      </w:r>
    </w:p>
    <w:p>
      <w:pPr>
        <w:pStyle w:val="56"/>
        <w:ind w:firstLine="420"/>
      </w:pPr>
      <w:r>
        <w:rPr>
          <w:rFonts w:hint="eastAsia"/>
        </w:rPr>
        <w:t>GB/T 14549—1</w:t>
      </w:r>
      <w:r>
        <w:t>993</w:t>
      </w:r>
      <w:r>
        <w:rPr>
          <w:rFonts w:hint="eastAsia"/>
        </w:rPr>
        <w:t>　电能质量　公用电网谐波</w:t>
      </w:r>
    </w:p>
    <w:p>
      <w:pPr>
        <w:pStyle w:val="56"/>
        <w:ind w:firstLine="420"/>
      </w:pPr>
      <w:r>
        <w:rPr>
          <w:rFonts w:hint="eastAsia"/>
        </w:rPr>
        <w:t>GB/T 16934—</w:t>
      </w:r>
      <w:r>
        <w:t>2013</w:t>
      </w:r>
      <w:r>
        <w:rPr>
          <w:rFonts w:hint="eastAsia"/>
        </w:rPr>
        <w:t>　电能计量柜</w:t>
      </w:r>
    </w:p>
    <w:p>
      <w:pPr>
        <w:pStyle w:val="56"/>
        <w:ind w:firstLine="420"/>
      </w:pPr>
      <w:bookmarkStart w:id="72" w:name="_Hlk141778599"/>
      <w:r>
        <w:rPr>
          <w:rFonts w:hint="eastAsia"/>
        </w:rPr>
        <w:t>GB/T 36028—2018　靠港船舶岸电系统技术条件</w:t>
      </w:r>
    </w:p>
    <w:bookmarkEnd w:id="72"/>
    <w:p>
      <w:pPr>
        <w:pStyle w:val="56"/>
        <w:ind w:firstLine="420"/>
      </w:pPr>
      <w:r>
        <w:rPr>
          <w:rFonts w:hint="eastAsia"/>
        </w:rPr>
        <w:t>GB 50016—2014　建筑设计防火规范（2018年版）</w:t>
      </w:r>
    </w:p>
    <w:p>
      <w:pPr>
        <w:pStyle w:val="56"/>
        <w:ind w:firstLine="420"/>
      </w:pPr>
      <w:r>
        <w:t>GB 50150</w:t>
      </w:r>
      <w:r>
        <w:rPr>
          <w:rFonts w:hAnsi="宋体"/>
        </w:rPr>
        <w:t>—</w:t>
      </w:r>
      <w:r>
        <w:t>2016</w:t>
      </w:r>
      <w:r>
        <w:rPr>
          <w:rFonts w:hint="eastAsia"/>
        </w:rPr>
        <w:t>　电气装置安装工程　电气设备交接试验标准</w:t>
      </w:r>
    </w:p>
    <w:p>
      <w:pPr>
        <w:pStyle w:val="56"/>
        <w:ind w:firstLine="420"/>
      </w:pPr>
      <w:r>
        <w:rPr>
          <w:rFonts w:hint="eastAsia"/>
        </w:rPr>
        <w:t>GB 50217—2018　电力工程电缆设计标准</w:t>
      </w:r>
    </w:p>
    <w:p>
      <w:pPr>
        <w:pStyle w:val="56"/>
        <w:ind w:firstLine="420"/>
      </w:pPr>
      <w:r>
        <w:rPr>
          <w:rFonts w:hint="eastAsia"/>
        </w:rPr>
        <w:t>GB/T</w:t>
      </w:r>
      <w:r>
        <w:t xml:space="preserve"> </w:t>
      </w:r>
      <w:r>
        <w:rPr>
          <w:rFonts w:hint="eastAsia"/>
        </w:rPr>
        <w:t>51305—2018　码头船舶岸电设施工程技术标准</w:t>
      </w:r>
    </w:p>
    <w:p>
      <w:pPr>
        <w:pStyle w:val="56"/>
        <w:ind w:firstLine="420"/>
      </w:pPr>
      <w:r>
        <w:rPr>
          <w:rFonts w:hint="eastAsia"/>
        </w:rPr>
        <w:t>GB 51309—2018　消防应急照明和疏散指示系统技术标准</w:t>
      </w:r>
    </w:p>
    <w:p>
      <w:pPr>
        <w:pStyle w:val="56"/>
        <w:ind w:firstLine="420"/>
      </w:pPr>
      <w:r>
        <w:rPr>
          <w:rFonts w:hint="eastAsia"/>
        </w:rPr>
        <w:t>GB 55036—2023　消防设施通用规范</w:t>
      </w:r>
    </w:p>
    <w:p>
      <w:pPr>
        <w:pStyle w:val="56"/>
        <w:ind w:firstLine="420"/>
      </w:pPr>
      <w:r>
        <w:rPr>
          <w:rFonts w:hint="eastAsia"/>
        </w:rPr>
        <w:t>JTS</w:t>
      </w:r>
      <w:r>
        <w:t xml:space="preserve"> </w:t>
      </w:r>
      <w:r>
        <w:rPr>
          <w:rFonts w:hint="eastAsia"/>
        </w:rPr>
        <w:t>155—2019　码头岸电设施建设技术规范</w:t>
      </w:r>
    </w:p>
    <w:p>
      <w:pPr>
        <w:pStyle w:val="56"/>
        <w:ind w:firstLine="420"/>
      </w:pPr>
      <w:r>
        <w:rPr>
          <w:rFonts w:hint="eastAsia"/>
        </w:rPr>
        <w:t xml:space="preserve">ICE </w:t>
      </w:r>
      <w:r>
        <w:t>60092</w:t>
      </w:r>
      <w:r>
        <w:rPr>
          <w:rFonts w:hint="eastAsia"/>
        </w:rPr>
        <w:t>—3</w:t>
      </w:r>
      <w:r>
        <w:t>53</w:t>
      </w:r>
      <w:r>
        <w:rPr>
          <w:rFonts w:hint="eastAsia"/>
        </w:rPr>
        <w:t>：2</w:t>
      </w:r>
      <w:r>
        <w:t>016</w:t>
      </w:r>
      <w:r>
        <w:rPr>
          <w:rFonts w:hint="eastAsia"/>
        </w:rPr>
        <w:t>　船舶电气装置　第353部分：额定电压为1kV和3kV的电力电缆</w:t>
      </w:r>
    </w:p>
    <w:p>
      <w:pPr>
        <w:pStyle w:val="56"/>
        <w:ind w:firstLine="420"/>
      </w:pPr>
      <w:r>
        <w:rPr>
          <w:rFonts w:hint="eastAsia"/>
        </w:rPr>
        <w:t xml:space="preserve">ICE </w:t>
      </w:r>
      <w:r>
        <w:t>60092</w:t>
      </w:r>
      <w:r>
        <w:rPr>
          <w:rFonts w:hint="eastAsia"/>
        </w:rPr>
        <w:t>—3</w:t>
      </w:r>
      <w:r>
        <w:t>54</w:t>
      </w:r>
      <w:r>
        <w:rPr>
          <w:rFonts w:hint="eastAsia"/>
        </w:rPr>
        <w:t>：2</w:t>
      </w:r>
      <w:r>
        <w:t>014</w:t>
      </w:r>
      <w:r>
        <w:rPr>
          <w:rFonts w:hint="eastAsia"/>
        </w:rPr>
        <w:t>　船舶电气装置　第354部分：额定电压为6kV至30kV的挤压固体绝缘单芯和三芯电力电缆</w:t>
      </w:r>
    </w:p>
    <w:p>
      <w:pPr>
        <w:pStyle w:val="104"/>
        <w:spacing w:before="312" w:after="312"/>
      </w:pPr>
      <w:bookmarkStart w:id="73" w:name="_Toc138077480"/>
      <w:bookmarkStart w:id="74" w:name="_Toc141973559"/>
      <w:bookmarkStart w:id="75" w:name="_Toc97191425"/>
      <w:bookmarkStart w:id="76" w:name="_Toc134629931"/>
      <w:bookmarkStart w:id="77" w:name="_Toc135728707"/>
      <w:bookmarkStart w:id="78" w:name="_Toc141973501"/>
      <w:bookmarkStart w:id="79" w:name="_Toc135211552"/>
      <w:bookmarkStart w:id="80" w:name="_Toc135210782"/>
      <w:bookmarkStart w:id="81" w:name="_Toc135211374"/>
      <w:bookmarkStart w:id="82" w:name="_Toc135660401"/>
      <w:r>
        <w:rPr>
          <w:rFonts w:hint="eastAsia"/>
          <w:szCs w:val="21"/>
        </w:rPr>
        <w:t>术语和定义</w:t>
      </w:r>
      <w:bookmarkEnd w:id="73"/>
      <w:bookmarkEnd w:id="74"/>
      <w:bookmarkEnd w:id="75"/>
      <w:bookmarkEnd w:id="76"/>
      <w:bookmarkEnd w:id="77"/>
      <w:bookmarkEnd w:id="78"/>
      <w:bookmarkEnd w:id="79"/>
      <w:bookmarkEnd w:id="80"/>
      <w:bookmarkEnd w:id="81"/>
      <w:bookmarkEnd w:id="82"/>
    </w:p>
    <w:sdt>
      <w:sdtPr>
        <w:id w:val="-1909835108"/>
        <w:placeholder>
          <w:docPart w:val="4388E5B26A624A879089FB9BE9F070E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83" w:name="_Toc26986532"/>
          <w:bookmarkEnd w:id="83"/>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电源变换装置　</w:t>
      </w:r>
      <w:r>
        <w:rPr>
          <w:rFonts w:ascii="黑体" w:hAnsi="黑体" w:eastAsia="黑体"/>
        </w:rPr>
        <w:t>power conversion device</w:t>
      </w:r>
    </w:p>
    <w:p>
      <w:pPr>
        <w:pStyle w:val="56"/>
        <w:ind w:firstLine="420"/>
      </w:pPr>
      <w:r>
        <w:rPr>
          <w:rFonts w:hint="eastAsia"/>
        </w:rPr>
        <w:t>将交流电变成直流电的电力装置。</w:t>
      </w:r>
    </w:p>
    <w:p>
      <w:pPr>
        <w:pStyle w:val="223"/>
        <w:ind w:left="420" w:hanging="420" w:hangingChars="200"/>
        <w:rPr>
          <w:rFonts w:ascii="黑体" w:hAnsi="黑体" w:eastAsia="黑体"/>
        </w:rPr>
      </w:pPr>
      <w:r>
        <w:rPr>
          <w:rFonts w:ascii="黑体" w:hAnsi="黑体" w:eastAsia="黑体"/>
        </w:rPr>
        <w:br w:type="textWrapping"/>
      </w:r>
      <w:bookmarkStart w:id="84" w:name="_Hlk142051155"/>
      <w:r>
        <w:rPr>
          <w:rFonts w:hint="eastAsia" w:ascii="黑体" w:hAnsi="黑体" w:eastAsia="黑体"/>
        </w:rPr>
        <w:t>电缆管理系统　cable management system</w:t>
      </w:r>
      <w:bookmarkEnd w:id="84"/>
    </w:p>
    <w:p>
      <w:pPr>
        <w:pStyle w:val="56"/>
        <w:ind w:firstLine="420"/>
      </w:pPr>
      <w:r>
        <w:rPr>
          <w:rFonts w:hint="eastAsia"/>
        </w:rPr>
        <w:t>用于岸船连接电缆收放、存储、移动和控制管理的设备和相关系统。</w:t>
      </w:r>
    </w:p>
    <w:p>
      <w:pPr>
        <w:pStyle w:val="56"/>
        <w:ind w:firstLine="360"/>
        <w:rPr>
          <w:sz w:val="18"/>
          <w:szCs w:val="18"/>
        </w:rPr>
      </w:pPr>
      <w:r>
        <w:rPr>
          <w:rFonts w:hint="eastAsia"/>
          <w:sz w:val="18"/>
          <w:szCs w:val="18"/>
        </w:rPr>
        <w:t>注：典型的电缆管理系统是由电缆绞车、电缆长度或张力自动控制设备和相关仪表组成。</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转接箱　connection box</w:t>
      </w:r>
    </w:p>
    <w:p>
      <w:pPr>
        <w:pStyle w:val="56"/>
        <w:ind w:firstLine="420"/>
      </w:pPr>
      <w:r>
        <w:rPr>
          <w:rFonts w:hint="eastAsia"/>
        </w:rPr>
        <w:t>用于电缆中继，可移动电缆和固定电缆的分界接线点。</w:t>
      </w:r>
    </w:p>
    <w:p>
      <w:pPr>
        <w:pStyle w:val="223"/>
        <w:ind w:left="420" w:hanging="420" w:hangingChars="200"/>
        <w:rPr>
          <w:rFonts w:ascii="黑体" w:hAnsi="黑体" w:eastAsia="黑体"/>
        </w:rPr>
      </w:pPr>
      <w:r>
        <w:rPr>
          <w:rFonts w:hint="eastAsia" w:ascii="黑体" w:hAnsi="黑体" w:eastAsia="黑体"/>
        </w:rPr>
        <w:t>蓄电池　battery</w:t>
      </w:r>
    </w:p>
    <w:p>
      <w:pPr>
        <w:pStyle w:val="56"/>
        <w:ind w:firstLine="420"/>
      </w:pPr>
      <w:r>
        <w:rPr>
          <w:rFonts w:hint="eastAsia"/>
        </w:rPr>
        <w:t>能将所获得的电能以化学能的形式贮存并可以将化学能转变为电能的一种电化学装置，可以重复充电和放电。</w:t>
      </w:r>
    </w:p>
    <w:p>
      <w:pPr>
        <w:pStyle w:val="56"/>
        <w:ind w:firstLine="420"/>
      </w:pPr>
      <w:r>
        <w:rPr>
          <w:rFonts w:hint="eastAsia"/>
        </w:rPr>
        <w:t xml:space="preserve">[来源：GB/T </w:t>
      </w:r>
      <w:r>
        <w:t>19596</w:t>
      </w:r>
      <w:r>
        <w:rPr>
          <w:rFonts w:hint="eastAsia"/>
        </w:rPr>
        <w:t>—201</w:t>
      </w:r>
      <w:r>
        <w:t>7</w:t>
      </w:r>
      <w:r>
        <w:rPr>
          <w:rFonts w:hint="eastAsia"/>
        </w:rPr>
        <w:t>，3</w:t>
      </w:r>
      <w:r>
        <w:t>.3.1.1.1</w:t>
      </w:r>
      <w:r>
        <w:rPr>
          <w:rFonts w:hint="eastAsia"/>
        </w:rPr>
        <w:t>]</w:t>
      </w:r>
    </w:p>
    <w:p>
      <w:pPr>
        <w:pStyle w:val="223"/>
        <w:ind w:left="420" w:hanging="420" w:hangingChars="200"/>
        <w:rPr>
          <w:rFonts w:ascii="黑体" w:hAnsi="黑体" w:eastAsia="黑体"/>
        </w:rPr>
      </w:pPr>
    </w:p>
    <w:p>
      <w:pPr>
        <w:pStyle w:val="223"/>
        <w:numPr>
          <w:ilvl w:val="0"/>
          <w:numId w:val="0"/>
        </w:numPr>
        <w:ind w:left="420"/>
        <w:rPr>
          <w:rFonts w:ascii="黑体" w:hAnsi="黑体" w:eastAsia="黑体"/>
        </w:rPr>
      </w:pPr>
      <w:r>
        <w:rPr>
          <w:rFonts w:hint="eastAsia" w:ascii="黑体" w:hAnsi="黑体" w:eastAsia="黑体"/>
        </w:rPr>
        <w:t>电池管理系统　battery management system</w:t>
      </w:r>
    </w:p>
    <w:p>
      <w:pPr>
        <w:pStyle w:val="223"/>
        <w:numPr>
          <w:ilvl w:val="0"/>
          <w:numId w:val="0"/>
        </w:numPr>
        <w:ind w:firstLine="420" w:firstLineChars="200"/>
        <w:rPr>
          <w:rFonts w:ascii="黑体" w:hAnsi="黑体" w:eastAsia="黑体"/>
        </w:rPr>
      </w:pPr>
      <w:r>
        <w:rPr>
          <w:rFonts w:hint="eastAsia" w:ascii="黑体" w:hAnsi="黑体" w:eastAsia="黑体"/>
        </w:rPr>
        <w:t>BMS</w:t>
      </w:r>
    </w:p>
    <w:p>
      <w:pPr>
        <w:pStyle w:val="56"/>
        <w:ind w:firstLine="420"/>
      </w:pPr>
      <w:r>
        <w:rPr>
          <w:rFonts w:hint="eastAsia"/>
        </w:rPr>
        <w:t>监视蓄电池的状态（温度、电压、荷电状态等），可以为蓄电池提供通信、安全、蓄电池单体均衡及管理控制，并提供与应用设备通信接口的系统。</w:t>
      </w:r>
    </w:p>
    <w:p>
      <w:pPr>
        <w:pStyle w:val="223"/>
        <w:ind w:left="420" w:hanging="420" w:hangingChars="200"/>
        <w:rPr>
          <w:rFonts w:ascii="黑体" w:hAnsi="黑体" w:eastAsia="黑体"/>
        </w:rPr>
      </w:pPr>
    </w:p>
    <w:p>
      <w:pPr>
        <w:pStyle w:val="223"/>
        <w:numPr>
          <w:ilvl w:val="0"/>
          <w:numId w:val="0"/>
        </w:numPr>
        <w:ind w:left="420"/>
        <w:rPr>
          <w:rFonts w:ascii="黑体" w:hAnsi="黑体" w:eastAsia="黑体"/>
        </w:rPr>
      </w:pPr>
      <w:r>
        <w:rPr>
          <w:rFonts w:hint="eastAsia" w:ascii="黑体" w:hAnsi="黑体" w:eastAsia="黑体"/>
        </w:rPr>
        <w:t>等电位连接　equipotential bonding</w:t>
      </w:r>
    </w:p>
    <w:p>
      <w:pPr>
        <w:pStyle w:val="56"/>
        <w:ind w:firstLine="420"/>
      </w:pPr>
      <w:r>
        <w:rPr>
          <w:rFonts w:hint="eastAsia"/>
        </w:rPr>
        <w:t>使船载装置和岸基装置导电部件之间电位基本相等的电气连接。</w:t>
      </w:r>
    </w:p>
    <w:p>
      <w:pPr>
        <w:pStyle w:val="56"/>
        <w:ind w:firstLine="420"/>
      </w:pPr>
      <w:r>
        <w:rPr>
          <w:rFonts w:hint="eastAsia"/>
        </w:rPr>
        <w:t>[来源：GB/T 41999—2022,3.4]</w:t>
      </w:r>
    </w:p>
    <w:p>
      <w:pPr>
        <w:pStyle w:val="223"/>
        <w:ind w:left="420" w:hanging="420" w:hangingChars="200"/>
        <w:rPr>
          <w:rFonts w:ascii="黑体" w:hAnsi="黑体" w:eastAsia="黑体"/>
        </w:rPr>
      </w:pPr>
    </w:p>
    <w:p>
      <w:pPr>
        <w:pStyle w:val="56"/>
        <w:ind w:firstLine="0" w:firstLineChars="0"/>
      </w:pPr>
      <w:r>
        <w:rPr>
          <w:rFonts w:hint="eastAsia" w:ascii="黑体" w:hAnsi="黑体" w:eastAsia="黑体"/>
        </w:rPr>
        <w:t>　　充电管理系统　charging management system</w:t>
      </w:r>
    </w:p>
    <w:p>
      <w:pPr>
        <w:pStyle w:val="56"/>
        <w:ind w:firstLine="420"/>
      </w:pPr>
      <w:r>
        <w:rPr>
          <w:rFonts w:hint="eastAsia"/>
        </w:rPr>
        <w:t>对充电站的供电状况、充电设备运行状态、报警等信息进行采集，应用计算机及网联通信技术，实现站内设备的监视、控制和管理的系统。</w:t>
      </w:r>
    </w:p>
    <w:p>
      <w:pPr>
        <w:pStyle w:val="223"/>
        <w:ind w:left="420" w:hanging="420" w:hangingChars="200"/>
        <w:rPr>
          <w:rFonts w:ascii="黑体" w:hAnsi="黑体" w:eastAsia="黑体"/>
        </w:rPr>
      </w:pPr>
    </w:p>
    <w:p>
      <w:pPr>
        <w:pStyle w:val="223"/>
        <w:numPr>
          <w:ilvl w:val="0"/>
          <w:numId w:val="0"/>
        </w:numPr>
        <w:ind w:left="420"/>
        <w:rPr>
          <w:rFonts w:ascii="黑体" w:hAnsi="黑体" w:eastAsia="黑体"/>
        </w:rPr>
      </w:pPr>
      <w:r>
        <w:rPr>
          <w:rFonts w:hint="eastAsia" w:ascii="黑体" w:hAnsi="黑体" w:eastAsia="黑体"/>
        </w:rPr>
        <w:t>直流充电模式　direct</w:t>
      </w:r>
      <w:r>
        <w:rPr>
          <w:rFonts w:ascii="黑体" w:hAnsi="黑体" w:eastAsia="黑体"/>
        </w:rPr>
        <w:t xml:space="preserve"> </w:t>
      </w:r>
      <w:r>
        <w:rPr>
          <w:rFonts w:hint="eastAsia" w:ascii="黑体" w:hAnsi="黑体" w:eastAsia="黑体"/>
        </w:rPr>
        <w:t>current（DC）</w:t>
      </w:r>
      <w:r>
        <w:rPr>
          <w:rFonts w:ascii="黑体" w:hAnsi="黑体" w:eastAsia="黑体"/>
        </w:rPr>
        <w:t xml:space="preserve"> charging mode</w:t>
      </w:r>
    </w:p>
    <w:p>
      <w:pPr>
        <w:pStyle w:val="223"/>
        <w:numPr>
          <w:ilvl w:val="0"/>
          <w:numId w:val="0"/>
        </w:numPr>
      </w:pPr>
      <w:r>
        <w:rPr>
          <w:rFonts w:hint="eastAsia"/>
        </w:rPr>
        <w:t>　　电源变换装置安装在岸端，交流电源经电源变换装置变换成直流，经插座向蓄电池充电。</w:t>
      </w:r>
    </w:p>
    <w:p>
      <w:pPr>
        <w:pStyle w:val="223"/>
        <w:ind w:left="420" w:hanging="420" w:hangingChars="200"/>
        <w:rPr>
          <w:rFonts w:ascii="黑体" w:hAnsi="黑体" w:eastAsia="黑体"/>
        </w:rPr>
      </w:pPr>
    </w:p>
    <w:p>
      <w:pPr>
        <w:pStyle w:val="56"/>
        <w:ind w:firstLine="0" w:firstLineChars="0"/>
      </w:pPr>
      <w:r>
        <w:rPr>
          <w:rFonts w:hint="eastAsia" w:ascii="黑体" w:hAnsi="黑体" w:eastAsia="黑体"/>
        </w:rPr>
        <w:t>　　交流充电模式　active</w:t>
      </w:r>
      <w:r>
        <w:rPr>
          <w:rFonts w:ascii="黑体" w:hAnsi="黑体" w:eastAsia="黑体"/>
        </w:rPr>
        <w:t xml:space="preserve"> </w:t>
      </w:r>
      <w:r>
        <w:rPr>
          <w:rFonts w:hint="eastAsia" w:ascii="黑体" w:hAnsi="黑体" w:eastAsia="黑体"/>
        </w:rPr>
        <w:t>current（AC）</w:t>
      </w:r>
      <w:r>
        <w:rPr>
          <w:rFonts w:ascii="黑体" w:hAnsi="黑体" w:eastAsia="黑体"/>
        </w:rPr>
        <w:t xml:space="preserve"> charging mode</w:t>
      </w:r>
    </w:p>
    <w:p>
      <w:pPr>
        <w:pStyle w:val="56"/>
        <w:ind w:firstLine="420"/>
      </w:pPr>
      <w:r>
        <w:rPr>
          <w:rFonts w:hint="eastAsia"/>
        </w:rPr>
        <w:t>交流电源经插头后输送至船舶输入插座，通过船舶整流装置变换为直流电源后向蓄电池充电。</w:t>
      </w:r>
      <w:bookmarkStart w:id="85" w:name="_Toc135211375"/>
      <w:bookmarkStart w:id="86" w:name="_Toc135211553"/>
      <w:bookmarkStart w:id="87" w:name="_Toc134629932"/>
      <w:bookmarkStart w:id="88" w:name="_Toc135210783"/>
    </w:p>
    <w:p>
      <w:pPr>
        <w:pStyle w:val="104"/>
        <w:spacing w:before="312" w:after="312"/>
      </w:pPr>
      <w:bookmarkStart w:id="89" w:name="_Toc135660402"/>
      <w:bookmarkStart w:id="90" w:name="_Toc141973502"/>
      <w:bookmarkStart w:id="91" w:name="_Toc141973560"/>
      <w:bookmarkStart w:id="92" w:name="_Toc135728708"/>
      <w:bookmarkStart w:id="93" w:name="_Toc138077481"/>
      <w:r>
        <w:rPr>
          <w:rFonts w:hint="eastAsia"/>
        </w:rPr>
        <w:t>充电站基本要求</w:t>
      </w:r>
      <w:bookmarkEnd w:id="85"/>
      <w:bookmarkEnd w:id="86"/>
      <w:bookmarkEnd w:id="87"/>
      <w:bookmarkEnd w:id="88"/>
      <w:bookmarkEnd w:id="89"/>
      <w:bookmarkEnd w:id="90"/>
      <w:bookmarkEnd w:id="91"/>
      <w:bookmarkEnd w:id="92"/>
      <w:bookmarkEnd w:id="93"/>
    </w:p>
    <w:p>
      <w:pPr>
        <w:pStyle w:val="105"/>
        <w:spacing w:before="156" w:after="156"/>
        <w:ind w:left="0"/>
      </w:pPr>
      <w:bookmarkStart w:id="94" w:name="_Toc135211554"/>
      <w:bookmarkStart w:id="95" w:name="_Toc135660403"/>
      <w:bookmarkStart w:id="96" w:name="_Toc138077482"/>
      <w:bookmarkStart w:id="97" w:name="_Toc141973561"/>
      <w:bookmarkStart w:id="98" w:name="_Toc135728709"/>
      <w:bookmarkStart w:id="99" w:name="_Toc141973503"/>
      <w:bookmarkStart w:id="100" w:name="_Toc135210784"/>
      <w:bookmarkStart w:id="101" w:name="_Toc135211376"/>
      <w:r>
        <w:rPr>
          <w:rFonts w:hint="eastAsia"/>
        </w:rPr>
        <w:t>充电模式及组成</w:t>
      </w:r>
      <w:bookmarkEnd w:id="94"/>
      <w:bookmarkEnd w:id="95"/>
      <w:bookmarkEnd w:id="96"/>
      <w:bookmarkEnd w:id="97"/>
      <w:bookmarkEnd w:id="98"/>
      <w:bookmarkEnd w:id="99"/>
      <w:bookmarkEnd w:id="100"/>
      <w:bookmarkEnd w:id="101"/>
    </w:p>
    <w:p>
      <w:pPr>
        <w:pStyle w:val="165"/>
      </w:pPr>
      <w:r>
        <w:rPr>
          <w:rFonts w:hint="eastAsia"/>
        </w:rPr>
        <w:t>充电模式分为直流充电和交流充电两种模式。</w:t>
      </w:r>
    </w:p>
    <w:p>
      <w:pPr>
        <w:pStyle w:val="165"/>
      </w:pPr>
      <w:r>
        <w:rPr>
          <w:rFonts w:hint="eastAsia"/>
        </w:rPr>
        <w:t>直流充电站包括电源变换装置、电缆转接箱（按需配置）、电缆管理系统（按需配置）、插头、插座、充电管理系统。充电电源（10kV/6kV）从变电站引出，连接至电源变换装置，电源变换装置将交流电源变换成直流电源后，供给蓄电池充电（如附录A图A.</w:t>
      </w:r>
      <w:r>
        <w:t>1</w:t>
      </w:r>
      <w:r>
        <w:rPr>
          <w:rFonts w:hint="eastAsia"/>
        </w:rPr>
        <w:t>和图A</w:t>
      </w:r>
      <w:r>
        <w:t>.2</w:t>
      </w:r>
      <w:r>
        <w:rPr>
          <w:rFonts w:hint="eastAsia"/>
        </w:rPr>
        <w:t>所示）。充电站应与BMS设有接口，充电过程由充电站和电池的BMS系统联合控制，并在BMS限定的条件下运行。直流充电站的基本功能包括：电源变换、充电、监控、计量等。</w:t>
      </w:r>
    </w:p>
    <w:p>
      <w:pPr>
        <w:pStyle w:val="165"/>
      </w:pPr>
      <w:r>
        <w:rPr>
          <w:rFonts w:hint="eastAsia"/>
        </w:rPr>
        <w:t>交流充电站包括电缆转接箱（按需配置）、电缆管理系统（按需配置）、插头、插座、充电管理系统。充电电源从变电站引出，通过接插件为船舶提供交流电源（10kV或6kV或0.4kV），船舶配置有整流装置为蓄电池充电（如附录B图B.</w:t>
      </w:r>
      <w:r>
        <w:t>1</w:t>
      </w:r>
      <w:r>
        <w:rPr>
          <w:rFonts w:hint="eastAsia"/>
        </w:rPr>
        <w:t>和图B</w:t>
      </w:r>
      <w:r>
        <w:t>.2</w:t>
      </w:r>
      <w:r>
        <w:rPr>
          <w:rFonts w:hint="eastAsia"/>
        </w:rPr>
        <w:t>所示）。交流充电站的基本功能包括：充电、监控、计量等。交流充电模式的充电设施按照GB/T 36028—2018、GB/T 51305—2018、JTS 155—2019的要求执行。</w:t>
      </w:r>
    </w:p>
    <w:p>
      <w:pPr>
        <w:pStyle w:val="105"/>
        <w:spacing w:before="156" w:after="156"/>
        <w:ind w:left="0"/>
      </w:pPr>
      <w:bookmarkStart w:id="102" w:name="_Toc134629938"/>
      <w:bookmarkStart w:id="103" w:name="_Toc135210785"/>
      <w:bookmarkStart w:id="104" w:name="_Toc135211377"/>
      <w:bookmarkStart w:id="105" w:name="_Toc135211555"/>
      <w:bookmarkStart w:id="106" w:name="_Toc135728710"/>
      <w:bookmarkStart w:id="107" w:name="_Toc135660404"/>
      <w:bookmarkStart w:id="108" w:name="_Toc141973504"/>
      <w:bookmarkStart w:id="109" w:name="_Toc141973562"/>
      <w:bookmarkStart w:id="110" w:name="_Toc138077483"/>
      <w:r>
        <w:rPr>
          <w:rFonts w:hint="eastAsia"/>
        </w:rPr>
        <w:t>一般要求</w:t>
      </w:r>
      <w:bookmarkEnd w:id="102"/>
      <w:bookmarkEnd w:id="103"/>
      <w:bookmarkEnd w:id="104"/>
      <w:bookmarkEnd w:id="105"/>
      <w:bookmarkEnd w:id="106"/>
      <w:bookmarkEnd w:id="107"/>
      <w:bookmarkEnd w:id="108"/>
      <w:bookmarkEnd w:id="109"/>
      <w:bookmarkEnd w:id="110"/>
    </w:p>
    <w:p>
      <w:pPr>
        <w:pStyle w:val="165"/>
      </w:pPr>
      <w:r>
        <w:rPr>
          <w:rFonts w:hint="eastAsia"/>
        </w:rPr>
        <w:t>充电站系统容量应满足船舶蓄电池的充电时间、充电功率要求。</w:t>
      </w:r>
    </w:p>
    <w:p>
      <w:pPr>
        <w:pStyle w:val="165"/>
      </w:pPr>
      <w:r>
        <w:rPr>
          <w:rFonts w:hint="eastAsia"/>
        </w:rPr>
        <w:t>额定电压值如表1所示：</w:t>
      </w:r>
    </w:p>
    <w:p>
      <w:pPr>
        <w:pStyle w:val="165"/>
        <w:numPr>
          <w:ilvl w:val="0"/>
          <w:numId w:val="0"/>
        </w:numPr>
      </w:pPr>
    </w:p>
    <w:p>
      <w:pPr>
        <w:pStyle w:val="112"/>
        <w:spacing w:before="156" w:after="156"/>
      </w:pPr>
      <w:r>
        <w:rPr>
          <w:rFonts w:hint="eastAsia"/>
        </w:rPr>
        <w:t>额定电压值</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825"/>
        <w:gridCol w:w="65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825" w:type="dxa"/>
            <w:tcBorders>
              <w:top w:val="single" w:color="auto" w:sz="8" w:space="0"/>
              <w:bottom w:val="single" w:color="auto" w:sz="8" w:space="0"/>
            </w:tcBorders>
            <w:shd w:val="clear" w:color="auto" w:fill="auto"/>
            <w:vAlign w:val="center"/>
          </w:tcPr>
          <w:p>
            <w:pPr>
              <w:pStyle w:val="178"/>
            </w:pPr>
            <w:r>
              <w:rPr>
                <w:rFonts w:hint="eastAsia"/>
              </w:rPr>
              <w:t>类别</w:t>
            </w:r>
          </w:p>
        </w:tc>
        <w:tc>
          <w:tcPr>
            <w:tcW w:w="6509" w:type="dxa"/>
            <w:tcBorders>
              <w:top w:val="single" w:color="auto" w:sz="8" w:space="0"/>
              <w:bottom w:val="single" w:color="auto" w:sz="8" w:space="0"/>
            </w:tcBorders>
            <w:shd w:val="clear" w:color="auto" w:fill="auto"/>
            <w:vAlign w:val="center"/>
          </w:tcPr>
          <w:p>
            <w:pPr>
              <w:pStyle w:val="178"/>
            </w:pPr>
            <w:r>
              <w:rPr>
                <w:rFonts w:hint="eastAsia"/>
              </w:rPr>
              <w:t>额定电压值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825" w:type="dxa"/>
            <w:tcBorders>
              <w:top w:val="single" w:color="auto" w:sz="8" w:space="0"/>
            </w:tcBorders>
            <w:shd w:val="clear" w:color="auto" w:fill="auto"/>
            <w:vAlign w:val="center"/>
          </w:tcPr>
          <w:p>
            <w:pPr>
              <w:pStyle w:val="178"/>
            </w:pPr>
            <w:r>
              <w:rPr>
                <w:rFonts w:hint="eastAsia"/>
              </w:rPr>
              <w:t>交流电压值（AC）</w:t>
            </w:r>
          </w:p>
        </w:tc>
        <w:tc>
          <w:tcPr>
            <w:tcW w:w="6509" w:type="dxa"/>
            <w:tcBorders>
              <w:top w:val="single" w:color="auto" w:sz="8" w:space="0"/>
            </w:tcBorders>
            <w:shd w:val="clear" w:color="auto" w:fill="auto"/>
            <w:vAlign w:val="center"/>
          </w:tcPr>
          <w:p>
            <w:pPr>
              <w:pStyle w:val="178"/>
            </w:pPr>
            <w:r>
              <w:rPr>
                <w:rFonts w:hint="eastAsia"/>
              </w:rPr>
              <w:t>230V、400V、690V、6kV、10kV</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825" w:type="dxa"/>
            <w:shd w:val="clear" w:color="auto" w:fill="auto"/>
            <w:vAlign w:val="center"/>
          </w:tcPr>
          <w:p>
            <w:pPr>
              <w:pStyle w:val="178"/>
            </w:pPr>
            <w:r>
              <w:rPr>
                <w:rFonts w:hint="eastAsia"/>
              </w:rPr>
              <w:t>直流电压值（DC）</w:t>
            </w:r>
          </w:p>
        </w:tc>
        <w:tc>
          <w:tcPr>
            <w:tcW w:w="6509" w:type="dxa"/>
            <w:shd w:val="clear" w:color="auto" w:fill="auto"/>
            <w:vAlign w:val="center"/>
          </w:tcPr>
          <w:p>
            <w:pPr>
              <w:pStyle w:val="178"/>
            </w:pPr>
            <w:r>
              <w:rPr>
                <w:rFonts w:hint="eastAsia"/>
              </w:rPr>
              <w:t>400V、750V、1</w:t>
            </w:r>
            <w:r>
              <w:t>k</w:t>
            </w:r>
            <w:r>
              <w:rPr>
                <w:rFonts w:hint="eastAsia"/>
              </w:rPr>
              <w:t>V、1</w:t>
            </w:r>
            <w:r>
              <w:t>.</w:t>
            </w:r>
            <w:r>
              <w:rPr>
                <w:rFonts w:hint="eastAsia"/>
              </w:rPr>
              <w:t>5</w:t>
            </w:r>
            <w:r>
              <w:t>k</w:t>
            </w:r>
            <w:r>
              <w:rPr>
                <w:rFonts w:hint="eastAsia"/>
              </w:rPr>
              <w:t>V、0</w:t>
            </w:r>
            <w:r>
              <w:rPr>
                <w:rFonts w:ascii="E-BZ" w:hAnsi="E-BZ"/>
                <w:color w:val="000000"/>
                <w:sz w:val="19"/>
                <w:szCs w:val="19"/>
              </w:rPr>
              <w:t>~</w:t>
            </w:r>
            <w:r>
              <w:rPr>
                <w:rFonts w:hint="eastAsia"/>
              </w:rPr>
              <w:t>30V（用于信号、控制或低压辅助电源）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2"/>
            <w:shd w:val="clear" w:color="auto" w:fill="auto"/>
            <w:vAlign w:val="center"/>
          </w:tcPr>
          <w:p>
            <w:pPr>
              <w:pStyle w:val="178"/>
              <w:ind w:firstLine="360" w:firstLineChars="200"/>
              <w:jc w:val="left"/>
            </w:pPr>
            <w:r>
              <w:rPr>
                <w:rFonts w:hint="eastAsia"/>
              </w:rPr>
              <w:t>注：额定电压值可选择一个或多个。</w:t>
            </w:r>
          </w:p>
        </w:tc>
      </w:tr>
    </w:tbl>
    <w:p>
      <w:pPr>
        <w:pStyle w:val="56"/>
        <w:ind w:firstLine="0" w:firstLineChars="0"/>
      </w:pPr>
    </w:p>
    <w:p>
      <w:pPr>
        <w:pStyle w:val="165"/>
      </w:pPr>
      <w:r>
        <w:rPr>
          <w:rFonts w:hint="eastAsia"/>
        </w:rPr>
        <w:t>额定电流值如表</w:t>
      </w:r>
      <w:r>
        <w:t>2所示</w:t>
      </w:r>
      <w:r>
        <w:rPr>
          <w:rFonts w:hint="eastAsia"/>
        </w:rPr>
        <w:t>：</w:t>
      </w:r>
    </w:p>
    <w:p>
      <w:pPr>
        <w:pStyle w:val="112"/>
        <w:spacing w:before="156" w:after="156"/>
      </w:pPr>
      <w:r>
        <w:rPr>
          <w:rFonts w:hint="eastAsia"/>
        </w:rPr>
        <w:t>额定电流值</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825"/>
        <w:gridCol w:w="65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825" w:type="dxa"/>
            <w:tcBorders>
              <w:top w:val="single" w:color="auto" w:sz="8" w:space="0"/>
              <w:bottom w:val="single" w:color="auto" w:sz="8" w:space="0"/>
            </w:tcBorders>
            <w:shd w:val="clear" w:color="auto" w:fill="auto"/>
            <w:vAlign w:val="center"/>
          </w:tcPr>
          <w:p>
            <w:pPr>
              <w:pStyle w:val="178"/>
            </w:pPr>
            <w:r>
              <w:rPr>
                <w:rFonts w:hint="eastAsia"/>
              </w:rPr>
              <w:t>类别</w:t>
            </w:r>
          </w:p>
        </w:tc>
        <w:tc>
          <w:tcPr>
            <w:tcW w:w="6509" w:type="dxa"/>
            <w:tcBorders>
              <w:top w:val="single" w:color="auto" w:sz="8" w:space="0"/>
              <w:bottom w:val="single" w:color="auto" w:sz="8" w:space="0"/>
            </w:tcBorders>
            <w:shd w:val="clear" w:color="auto" w:fill="auto"/>
            <w:vAlign w:val="center"/>
          </w:tcPr>
          <w:p>
            <w:pPr>
              <w:pStyle w:val="178"/>
            </w:pPr>
            <w:r>
              <w:rPr>
                <w:rFonts w:hint="eastAsia"/>
              </w:rPr>
              <w:t>额定电流值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825" w:type="dxa"/>
            <w:tcBorders>
              <w:top w:val="single" w:color="auto" w:sz="8" w:space="0"/>
            </w:tcBorders>
            <w:shd w:val="clear" w:color="auto" w:fill="auto"/>
            <w:vAlign w:val="center"/>
          </w:tcPr>
          <w:p>
            <w:pPr>
              <w:pStyle w:val="178"/>
            </w:pPr>
            <w:r>
              <w:rPr>
                <w:rFonts w:hint="eastAsia"/>
              </w:rPr>
              <w:t>交流电流值（AC）</w:t>
            </w:r>
          </w:p>
        </w:tc>
        <w:tc>
          <w:tcPr>
            <w:tcW w:w="6509" w:type="dxa"/>
            <w:tcBorders>
              <w:top w:val="single" w:color="auto" w:sz="8" w:space="0"/>
            </w:tcBorders>
            <w:shd w:val="clear" w:color="auto" w:fill="auto"/>
            <w:vAlign w:val="center"/>
          </w:tcPr>
          <w:p>
            <w:pPr>
              <w:pStyle w:val="178"/>
            </w:pPr>
            <w:r>
              <w:rPr>
                <w:rFonts w:hint="eastAsia"/>
              </w:rPr>
              <w:t>63A、125A、250A、350A、500A、1000A、2000A、3000A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825" w:type="dxa"/>
            <w:shd w:val="clear" w:color="auto" w:fill="auto"/>
            <w:vAlign w:val="center"/>
          </w:tcPr>
          <w:p>
            <w:pPr>
              <w:pStyle w:val="178"/>
            </w:pPr>
            <w:r>
              <w:rPr>
                <w:rFonts w:hint="eastAsia"/>
              </w:rPr>
              <w:t>直流电流值（DC）</w:t>
            </w:r>
          </w:p>
        </w:tc>
        <w:tc>
          <w:tcPr>
            <w:tcW w:w="6509" w:type="dxa"/>
            <w:shd w:val="clear" w:color="auto" w:fill="auto"/>
            <w:vAlign w:val="center"/>
          </w:tcPr>
          <w:p>
            <w:pPr>
              <w:pStyle w:val="178"/>
            </w:pPr>
            <w:r>
              <w:rPr>
                <w:rFonts w:hint="eastAsia"/>
              </w:rPr>
              <w:t>80A、125A、200A、250A、400A、800A、1000A、2000A、3000A、2A（只用于信号或控制）、20A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2"/>
            <w:tcBorders>
              <w:bottom w:val="single" w:color="auto" w:sz="8" w:space="0"/>
            </w:tcBorders>
            <w:shd w:val="clear" w:color="auto" w:fill="auto"/>
            <w:vAlign w:val="center"/>
          </w:tcPr>
          <w:p>
            <w:pPr>
              <w:pStyle w:val="178"/>
              <w:ind w:firstLine="360" w:firstLineChars="200"/>
              <w:jc w:val="left"/>
            </w:pPr>
            <w:r>
              <w:rPr>
                <w:rFonts w:hint="eastAsia"/>
              </w:rPr>
              <w:t>注：额定电流值可选择一个或多个。</w:t>
            </w:r>
          </w:p>
        </w:tc>
      </w:tr>
    </w:tbl>
    <w:p>
      <w:pPr>
        <w:pStyle w:val="165"/>
        <w:numPr>
          <w:ilvl w:val="0"/>
          <w:numId w:val="0"/>
        </w:numPr>
      </w:pPr>
    </w:p>
    <w:p>
      <w:pPr>
        <w:pStyle w:val="165"/>
      </w:pPr>
      <w:r>
        <w:rPr>
          <w:rFonts w:hint="eastAsia"/>
        </w:rPr>
        <w:t>系统设计应进行短路评估，充电过程中的任何节点的保护电器分断能力应不小于短路点的最大预期短路电流。</w:t>
      </w:r>
    </w:p>
    <w:p>
      <w:pPr>
        <w:pStyle w:val="165"/>
      </w:pPr>
      <w:r>
        <w:rPr>
          <w:rFonts w:hint="eastAsia"/>
        </w:rPr>
        <w:t>船舶应设有将船体与岸地进行等电位连接的设施。船体接地保护连接的铜导线截面积应不小于16mm</w:t>
      </w:r>
      <w:r>
        <w:rPr>
          <w:rFonts w:hint="eastAsia"/>
          <w:vertAlign w:val="superscript"/>
        </w:rPr>
        <w:t>2</w:t>
      </w:r>
      <w:r>
        <w:rPr>
          <w:rFonts w:hint="eastAsia"/>
        </w:rPr>
        <w:t>，接地电阻应不大于4Ω。等电位连接不应改变船舶原配电系统的接地原理。</w:t>
      </w:r>
    </w:p>
    <w:p>
      <w:pPr>
        <w:pStyle w:val="165"/>
      </w:pPr>
      <w:r>
        <w:rPr>
          <w:rFonts w:hint="eastAsia"/>
        </w:rPr>
        <w:t>对船舶供电的岸端电源应该分别满足：</w:t>
      </w:r>
    </w:p>
    <w:p>
      <w:pPr>
        <w:pStyle w:val="174"/>
      </w:pPr>
      <w:r>
        <w:rPr>
          <w:rFonts w:hint="eastAsia"/>
        </w:rPr>
        <w:t>对于交流电源，电压稳态波动范围-10</w:t>
      </w:r>
      <w:bookmarkStart w:id="111" w:name="_Hlk135207095"/>
      <w:r>
        <w:rPr>
          <w:rFonts w:ascii="E-BZ" w:hAnsi="E-BZ"/>
          <w:color w:val="000000"/>
          <w:sz w:val="19"/>
          <w:szCs w:val="19"/>
        </w:rPr>
        <w:t>~</w:t>
      </w:r>
      <w:bookmarkEnd w:id="111"/>
      <w:r>
        <w:rPr>
          <w:rFonts w:hint="eastAsia"/>
        </w:rPr>
        <w:t>+6%，电压瞬态波动范围±20%，恢复时间1.5s；频率稳态波动范围±5%，频率瞬态波动范围±10%，恢复时间5s。</w:t>
      </w:r>
    </w:p>
    <w:p>
      <w:pPr>
        <w:pStyle w:val="174"/>
      </w:pPr>
      <w:r>
        <w:rPr>
          <w:rFonts w:hint="eastAsia"/>
        </w:rPr>
        <w:t>对于直流电源，当电源变换装置或双向DC/DC直接向蓄电池充电的时候，其输出的直流电源品质要求：</w:t>
      </w:r>
    </w:p>
    <w:p>
      <w:pPr>
        <w:pStyle w:val="164"/>
        <w:numPr>
          <w:ilvl w:val="0"/>
          <w:numId w:val="0"/>
        </w:numPr>
        <w:ind w:left="1275" w:leftChars="406" w:hanging="422" w:hangingChars="201"/>
      </w:pPr>
      <w:r>
        <w:rPr>
          <w:rFonts w:hint="eastAsia"/>
        </w:rPr>
        <w:t>——稳流精度：输入电压和输出电压在调节范围内变化时，输出直流电流在额定值的20%</w:t>
      </w:r>
      <w:r>
        <w:rPr>
          <w:rFonts w:ascii="E-BZ" w:hAnsi="E-BZ"/>
          <w:color w:val="000000"/>
          <w:sz w:val="19"/>
          <w:szCs w:val="19"/>
        </w:rPr>
        <w:t>~</w:t>
      </w:r>
      <w:r>
        <w:rPr>
          <w:rFonts w:hint="eastAsia"/>
        </w:rPr>
        <w:t>100%范围内任一数值上应保持稳定，电流稳流精度不应超过±1%；</w:t>
      </w:r>
    </w:p>
    <w:p>
      <w:pPr>
        <w:pStyle w:val="164"/>
        <w:numPr>
          <w:ilvl w:val="0"/>
          <w:numId w:val="0"/>
        </w:numPr>
        <w:ind w:left="1275" w:leftChars="406" w:hanging="422" w:hangingChars="201"/>
      </w:pPr>
      <w:r>
        <w:rPr>
          <w:rFonts w:hint="eastAsia"/>
        </w:rPr>
        <w:t>——稳压精度：输入电压和输出电流在调节范围内变化时，输出电压在相应调节范围内任一数值上应保持稳定，电压稳压精度不应超过±2%；</w:t>
      </w:r>
    </w:p>
    <w:p>
      <w:pPr>
        <w:pStyle w:val="164"/>
        <w:numPr>
          <w:ilvl w:val="0"/>
          <w:numId w:val="0"/>
        </w:numPr>
        <w:ind w:left="1275" w:leftChars="406" w:hanging="422" w:hangingChars="201"/>
      </w:pPr>
      <w:r>
        <w:rPr>
          <w:rFonts w:hint="eastAsia"/>
        </w:rPr>
        <w:t>——纹波系数：输入电压和输出电流在调节范围内变化时，输出电压在相应调节范围内任一数值上应保持稳定，输出纹波有效值系数不应超过±2%，纹波峰值系数不应超过±4%；</w:t>
      </w:r>
    </w:p>
    <w:p>
      <w:pPr>
        <w:pStyle w:val="164"/>
        <w:numPr>
          <w:ilvl w:val="0"/>
          <w:numId w:val="0"/>
        </w:numPr>
        <w:ind w:left="1275" w:leftChars="406" w:hanging="422" w:hangingChars="201"/>
      </w:pPr>
      <w:r>
        <w:rPr>
          <w:rFonts w:hint="eastAsia"/>
        </w:rPr>
        <w:t>——输出电流误差：在恒流状态下，输出直流电流设定在额定值的20%</w:t>
      </w:r>
      <w:r>
        <w:rPr>
          <w:rFonts w:ascii="E-BZ" w:hAnsi="E-BZ"/>
          <w:color w:val="000000"/>
          <w:sz w:val="19"/>
          <w:szCs w:val="19"/>
        </w:rPr>
        <w:t>~</w:t>
      </w:r>
      <w:r>
        <w:rPr>
          <w:rFonts w:hint="eastAsia"/>
        </w:rPr>
        <w:t>100%范围内，在设定的输出直流电流大于等于30A时，输出电流整定误差不超过±2%；在设定的输出直流电流小于30A时，输出电流整定误差不应超过±0.3A；</w:t>
      </w:r>
    </w:p>
    <w:p>
      <w:pPr>
        <w:pStyle w:val="164"/>
        <w:numPr>
          <w:ilvl w:val="0"/>
          <w:numId w:val="0"/>
        </w:numPr>
        <w:ind w:left="1275" w:leftChars="406" w:hanging="422" w:hangingChars="201"/>
      </w:pPr>
      <w:r>
        <w:rPr>
          <w:rFonts w:hint="eastAsia"/>
        </w:rPr>
        <w:t>——输出电压误差：在恒压状态下，直流输出电压设定在相应范围内，输出电压整定误差不应超过±1%；</w:t>
      </w:r>
    </w:p>
    <w:p>
      <w:pPr>
        <w:pStyle w:val="164"/>
        <w:numPr>
          <w:ilvl w:val="0"/>
          <w:numId w:val="0"/>
        </w:numPr>
        <w:ind w:left="1275" w:leftChars="406" w:hanging="422" w:hangingChars="201"/>
      </w:pPr>
      <w:r>
        <w:rPr>
          <w:rFonts w:hint="eastAsia"/>
        </w:rPr>
        <w:t>——当电源变换装置仅提供电源，BMS通过双向DC/DC充电的时候，电源变换装置的输出电源品质要求：直流电压稳态波动率±10%，电压周期性波动5%，纹波电压10%。</w:t>
      </w:r>
    </w:p>
    <w:p>
      <w:pPr>
        <w:pStyle w:val="165"/>
      </w:pPr>
      <w:r>
        <w:rPr>
          <w:rFonts w:hint="eastAsia"/>
        </w:rPr>
        <w:t>码头岸端电源计量应符合下列规定：</w:t>
      </w:r>
    </w:p>
    <w:p>
      <w:pPr>
        <w:pStyle w:val="174"/>
        <w:numPr>
          <w:ilvl w:val="0"/>
          <w:numId w:val="32"/>
        </w:numPr>
      </w:pPr>
      <w:r>
        <w:rPr>
          <w:rFonts w:hint="eastAsia"/>
        </w:rPr>
        <w:t>计量装置宜设置在系统输出侧（岸端）；</w:t>
      </w:r>
    </w:p>
    <w:p>
      <w:pPr>
        <w:pStyle w:val="174"/>
      </w:pPr>
      <w:r>
        <w:rPr>
          <w:rFonts w:hint="eastAsia"/>
        </w:rPr>
        <w:t>电能计量装置及计量柜应符合</w:t>
      </w:r>
      <w:bookmarkStart w:id="112" w:name="_Hlk141782085"/>
      <w:r>
        <w:rPr>
          <w:rFonts w:hint="eastAsia"/>
        </w:rPr>
        <w:t>GB/T 16934</w:t>
      </w:r>
      <w:bookmarkEnd w:id="112"/>
      <w:r>
        <w:rPr>
          <w:rFonts w:hint="eastAsia"/>
        </w:rPr>
        <w:t>中的规定。</w:t>
      </w:r>
    </w:p>
    <w:p>
      <w:pPr>
        <w:pStyle w:val="165"/>
        <w:spacing w:before="240"/>
      </w:pPr>
      <w:r>
        <w:rPr>
          <w:rFonts w:hint="eastAsia"/>
        </w:rPr>
        <w:t>充电站具备自动/手动控制充电电源投入、切除的功能。可以根据BMS管理协调提供的数据自动调整充电参数或手动选择充电参数。</w:t>
      </w:r>
    </w:p>
    <w:p>
      <w:pPr>
        <w:pStyle w:val="165"/>
      </w:pPr>
      <w:r>
        <w:rPr>
          <w:rFonts w:hint="eastAsia"/>
        </w:rPr>
        <w:t>充电站应具备运行参数监控功能，并应具备与其他系统通信的接口。传输内容包括但不限于以下内容：</w:t>
      </w:r>
    </w:p>
    <w:p>
      <w:pPr>
        <w:pStyle w:val="174"/>
        <w:numPr>
          <w:ilvl w:val="0"/>
          <w:numId w:val="33"/>
        </w:numPr>
      </w:pPr>
      <w:r>
        <w:rPr>
          <w:rFonts w:hint="eastAsia"/>
        </w:rPr>
        <w:t>充电功率、充电电压、充电电流、充电时长、电池类型、电池系统的荷电状态（SOC）、电池温度；</w:t>
      </w:r>
    </w:p>
    <w:p>
      <w:pPr>
        <w:pStyle w:val="174"/>
      </w:pPr>
      <w:r>
        <w:rPr>
          <w:rFonts w:hint="eastAsia"/>
        </w:rPr>
        <w:t>电能计量信息；</w:t>
      </w:r>
    </w:p>
    <w:p>
      <w:pPr>
        <w:pStyle w:val="174"/>
      </w:pPr>
      <w:r>
        <w:rPr>
          <w:rFonts w:hint="eastAsia"/>
        </w:rPr>
        <w:t>故障及报警信息；</w:t>
      </w:r>
    </w:p>
    <w:p>
      <w:pPr>
        <w:pStyle w:val="174"/>
      </w:pPr>
      <w:r>
        <w:rPr>
          <w:rFonts w:hint="eastAsia"/>
        </w:rPr>
        <w:t>设定参数信息。</w:t>
      </w:r>
    </w:p>
    <w:p>
      <w:pPr>
        <w:pStyle w:val="165"/>
      </w:pPr>
      <w:r>
        <w:rPr>
          <w:rFonts w:hint="eastAsia"/>
        </w:rPr>
        <w:t>工作环境应满足如下要求：</w:t>
      </w:r>
    </w:p>
    <w:p>
      <w:pPr>
        <w:pStyle w:val="174"/>
        <w:numPr>
          <w:ilvl w:val="0"/>
          <w:numId w:val="34"/>
        </w:numPr>
      </w:pPr>
      <w:r>
        <w:rPr>
          <w:rFonts w:hint="eastAsia"/>
        </w:rPr>
        <w:t>环境温度为-25℃</w:t>
      </w:r>
      <w:r>
        <w:rPr>
          <w:rFonts w:ascii="E-BZ" w:hAnsi="E-BZ"/>
          <w:color w:val="000000"/>
          <w:sz w:val="19"/>
          <w:szCs w:val="19"/>
        </w:rPr>
        <w:t>~</w:t>
      </w:r>
      <w:r>
        <w:rPr>
          <w:rFonts w:hint="eastAsia"/>
        </w:rPr>
        <w:t>+45℃；</w:t>
      </w:r>
    </w:p>
    <w:p>
      <w:pPr>
        <w:pStyle w:val="174"/>
      </w:pPr>
      <w:r>
        <w:rPr>
          <w:rFonts w:hint="eastAsia"/>
        </w:rPr>
        <w:t>相对湿度不超过95%；</w:t>
      </w:r>
    </w:p>
    <w:p>
      <w:pPr>
        <w:pStyle w:val="174"/>
      </w:pPr>
      <w:r>
        <w:rPr>
          <w:rFonts w:hint="eastAsia"/>
        </w:rPr>
        <w:t>无导电或爆炸尘埃，无腐蚀金属或破坏绝缘的气体或蒸汽，无爆炸性气体环境。</w:t>
      </w:r>
    </w:p>
    <w:p>
      <w:pPr>
        <w:pStyle w:val="105"/>
        <w:spacing w:before="156" w:after="156"/>
        <w:ind w:left="0"/>
      </w:pPr>
      <w:bookmarkStart w:id="113" w:name="_Toc134629939"/>
      <w:bookmarkStart w:id="114" w:name="_Toc135728711"/>
      <w:bookmarkStart w:id="115" w:name="_Toc135211380"/>
      <w:bookmarkStart w:id="116" w:name="_Toc141973563"/>
      <w:bookmarkStart w:id="117" w:name="_Toc141973505"/>
      <w:bookmarkStart w:id="118" w:name="_Toc135660405"/>
      <w:bookmarkStart w:id="119" w:name="_Toc135211556"/>
      <w:bookmarkStart w:id="120" w:name="_Toc138077484"/>
      <w:bookmarkStart w:id="121" w:name="_Toc135210788"/>
      <w:r>
        <w:rPr>
          <w:rFonts w:hint="eastAsia"/>
        </w:rPr>
        <w:t>电源变换装置</w:t>
      </w:r>
      <w:bookmarkEnd w:id="113"/>
      <w:bookmarkEnd w:id="114"/>
      <w:bookmarkEnd w:id="115"/>
      <w:bookmarkEnd w:id="116"/>
      <w:bookmarkEnd w:id="117"/>
      <w:bookmarkEnd w:id="118"/>
      <w:bookmarkEnd w:id="119"/>
      <w:bookmarkEnd w:id="120"/>
      <w:bookmarkEnd w:id="121"/>
    </w:p>
    <w:p>
      <w:pPr>
        <w:pStyle w:val="165"/>
      </w:pPr>
      <w:r>
        <w:rPr>
          <w:rFonts w:hint="eastAsia"/>
        </w:rPr>
        <w:t>主要包括变压器、进线柜、功率柜、控制柜、滤波器、输出柜。</w:t>
      </w:r>
    </w:p>
    <w:p>
      <w:pPr>
        <w:pStyle w:val="165"/>
      </w:pPr>
      <w:r>
        <w:rPr>
          <w:rFonts w:hint="eastAsia"/>
        </w:rPr>
        <w:t>注入港口供电系统的谐波电流允许限值应符合GB/T 14549—1</w:t>
      </w:r>
      <w:r>
        <w:t>993</w:t>
      </w:r>
      <w:r>
        <w:rPr>
          <w:rFonts w:hint="eastAsia"/>
        </w:rPr>
        <w:t>的规定。</w:t>
      </w:r>
    </w:p>
    <w:p>
      <w:pPr>
        <w:pStyle w:val="165"/>
      </w:pPr>
      <w:r>
        <w:rPr>
          <w:rFonts w:hint="eastAsia"/>
        </w:rPr>
        <w:t>如布置在室外的箱柜内，箱柜外壳防护等级不低于</w:t>
      </w:r>
      <w:r>
        <w:t>GB/T 4208—2017</w:t>
      </w:r>
      <w:r>
        <w:rPr>
          <w:rFonts w:hint="eastAsia"/>
        </w:rPr>
        <w:t>中IP55，内部设置有空调冷却装置或风扇强排散热系统。</w:t>
      </w:r>
    </w:p>
    <w:p>
      <w:pPr>
        <w:pStyle w:val="165"/>
      </w:pPr>
      <w:r>
        <w:rPr>
          <w:rFonts w:hint="eastAsia"/>
        </w:rPr>
        <w:t>箱体结构保证足够的强度，在起吊、运输和安装时不会变形或损伤。箱体外表面喷漆防腐，在沿海地带，应考虑盐雾的腐蚀影响。</w:t>
      </w:r>
    </w:p>
    <w:p>
      <w:pPr>
        <w:pStyle w:val="165"/>
      </w:pPr>
      <w:r>
        <w:rPr>
          <w:rFonts w:hint="eastAsia"/>
        </w:rPr>
        <w:t>应具备状态显示、电能计量、数据记录和查询功能。</w:t>
      </w:r>
    </w:p>
    <w:p>
      <w:pPr>
        <w:pStyle w:val="165"/>
      </w:pPr>
      <w:r>
        <w:rPr>
          <w:rFonts w:hint="eastAsia"/>
        </w:rPr>
        <w:t>要保证电源变换装置柜体和大地的可靠连接，要求接地电阻不大于2Ω。</w:t>
      </w:r>
    </w:p>
    <w:p>
      <w:pPr>
        <w:pStyle w:val="165"/>
      </w:pPr>
      <w:r>
        <w:rPr>
          <w:rFonts w:hint="eastAsia"/>
        </w:rPr>
        <w:t>电源变换装置应至少包含以下几种开关量信号和模拟量信号：</w:t>
      </w:r>
    </w:p>
    <w:p>
      <w:pPr>
        <w:pStyle w:val="174"/>
        <w:numPr>
          <w:ilvl w:val="0"/>
          <w:numId w:val="35"/>
        </w:numPr>
      </w:pPr>
      <w:r>
        <w:rPr>
          <w:rFonts w:hint="eastAsia"/>
        </w:rPr>
        <w:t>开关量输入：网侧开关柜合/分闸状态信号；</w:t>
      </w:r>
    </w:p>
    <w:p>
      <w:pPr>
        <w:pStyle w:val="174"/>
      </w:pPr>
      <w:r>
        <w:rPr>
          <w:rFonts w:hint="eastAsia"/>
        </w:rPr>
        <w:t>开关量输出：网侧开关柜合/分闸，电源装置运行，电源装置故障，电源装置就绪，电源装置报警；</w:t>
      </w:r>
    </w:p>
    <w:p>
      <w:pPr>
        <w:pStyle w:val="174"/>
      </w:pPr>
      <w:r>
        <w:rPr>
          <w:rFonts w:hint="eastAsia"/>
        </w:rPr>
        <w:t>模拟量输入：网侧电压信号，网侧电流信号。</w:t>
      </w:r>
    </w:p>
    <w:p>
      <w:pPr>
        <w:pStyle w:val="165"/>
      </w:pPr>
      <w:r>
        <w:rPr>
          <w:rFonts w:hint="eastAsia"/>
        </w:rPr>
        <w:t>电源变换装置应设以下保护：过电压、过电流、欠电压、短路保护、变流器过载、变压器过热、半导体器件的过热保护、门开关连锁、瞬时停电保护、交流侧绝缘监测保护等。</w:t>
      </w:r>
    </w:p>
    <w:p>
      <w:pPr>
        <w:pStyle w:val="165"/>
      </w:pPr>
      <w:r>
        <w:rPr>
          <w:rFonts w:hint="eastAsia"/>
        </w:rPr>
        <w:t>电源变换装置布置在尽量靠近插头的地方。</w:t>
      </w:r>
    </w:p>
    <w:p>
      <w:pPr>
        <w:pStyle w:val="165"/>
      </w:pPr>
      <w:r>
        <w:rPr>
          <w:rFonts w:hint="eastAsia"/>
        </w:rPr>
        <w:t>功率柜应具备以下功能：</w:t>
      </w:r>
    </w:p>
    <w:p>
      <w:pPr>
        <w:pStyle w:val="174"/>
        <w:numPr>
          <w:ilvl w:val="0"/>
          <w:numId w:val="36"/>
        </w:numPr>
      </w:pPr>
      <w:r>
        <w:rPr>
          <w:rFonts w:hint="eastAsia"/>
        </w:rPr>
        <w:t>电能治理功能：功率柜内部集成功率因数校正及有源滤波功能；</w:t>
      </w:r>
    </w:p>
    <w:p>
      <w:pPr>
        <w:pStyle w:val="174"/>
      </w:pPr>
      <w:r>
        <w:rPr>
          <w:rFonts w:hint="eastAsia"/>
        </w:rPr>
        <w:t>并联工作功能：功率模块采用模块化设计，多个模块并联工作；</w:t>
      </w:r>
    </w:p>
    <w:p>
      <w:pPr>
        <w:pStyle w:val="174"/>
      </w:pPr>
      <w:r>
        <w:rPr>
          <w:rFonts w:hint="eastAsia"/>
        </w:rPr>
        <w:t>通信管理功能：充电过程中与蓄电池BMS通信；可本地组网集中管理，将多台功率柜数据集中后进行监控和数据远传，或远程无线通信。</w:t>
      </w:r>
    </w:p>
    <w:p>
      <w:pPr>
        <w:pStyle w:val="165"/>
      </w:pPr>
      <w:r>
        <w:rPr>
          <w:rFonts w:hint="eastAsia"/>
        </w:rPr>
        <w:t>电源过载能力不应小于1.1倍额定功率。</w:t>
      </w:r>
    </w:p>
    <w:p>
      <w:pPr>
        <w:pStyle w:val="105"/>
        <w:spacing w:before="156" w:after="156"/>
        <w:ind w:left="0"/>
      </w:pPr>
      <w:bookmarkStart w:id="122" w:name="_Toc134629940"/>
      <w:bookmarkStart w:id="123" w:name="_Toc135211381"/>
      <w:bookmarkStart w:id="124" w:name="_Toc135211557"/>
      <w:bookmarkStart w:id="125" w:name="_Toc135210789"/>
      <w:bookmarkStart w:id="126" w:name="_Toc135660406"/>
      <w:bookmarkStart w:id="127" w:name="_Toc138077485"/>
      <w:bookmarkStart w:id="128" w:name="_Toc135728712"/>
      <w:bookmarkStart w:id="129" w:name="_Toc141973564"/>
      <w:bookmarkStart w:id="130" w:name="_Toc141973506"/>
      <w:r>
        <w:rPr>
          <w:rFonts w:hint="eastAsia"/>
        </w:rPr>
        <w:t>电缆管理系统</w:t>
      </w:r>
      <w:bookmarkEnd w:id="122"/>
      <w:bookmarkEnd w:id="123"/>
      <w:bookmarkEnd w:id="124"/>
      <w:bookmarkEnd w:id="125"/>
      <w:bookmarkEnd w:id="126"/>
      <w:bookmarkEnd w:id="127"/>
      <w:bookmarkEnd w:id="128"/>
      <w:bookmarkEnd w:id="129"/>
      <w:bookmarkEnd w:id="130"/>
    </w:p>
    <w:p>
      <w:pPr>
        <w:pStyle w:val="165"/>
      </w:pPr>
      <w:r>
        <w:rPr>
          <w:rFonts w:hint="eastAsia"/>
        </w:rPr>
        <w:t>电缆管理系统应具备存储和收放电缆的功能，电缆储存能力应满足实际使用需求。</w:t>
      </w:r>
    </w:p>
    <w:p>
      <w:pPr>
        <w:pStyle w:val="165"/>
      </w:pPr>
      <w:r>
        <w:rPr>
          <w:rFonts w:hint="eastAsia"/>
        </w:rPr>
        <w:t>电缆管理系统的电缆应预留足够的余量和保证一定的释放速度，以补偿船舶在靠泊充电过程中的移位，或者足够补偿固定码头在涨潮落潮时和船舶的移位。</w:t>
      </w:r>
    </w:p>
    <w:p>
      <w:pPr>
        <w:pStyle w:val="165"/>
      </w:pPr>
      <w:r>
        <w:rPr>
          <w:rFonts w:hint="eastAsia"/>
        </w:rPr>
        <w:t>电缆管理系统若设置电缆长度控制功能时，应具备允许剩余电缆最小长度的预警功能。电缆管理系统若设置电缆张力控制功能时，电缆过度拉伸时，电缆管理系统能够迅速断开岸端供电系统的连接断路器。</w:t>
      </w:r>
    </w:p>
    <w:p>
      <w:pPr>
        <w:pStyle w:val="165"/>
      </w:pPr>
      <w:r>
        <w:rPr>
          <w:rFonts w:hint="eastAsia"/>
        </w:rPr>
        <w:t>电缆管理系统应具有电源、运行、放缆、收缆的状态指示，具有绞车滑环（若有）过热、允许剩余电缆最小长度预警的报警指示，并有手动/自动模式切换、停止和紧急停止等功能。</w:t>
      </w:r>
    </w:p>
    <w:p>
      <w:pPr>
        <w:pStyle w:val="165"/>
      </w:pPr>
      <w:r>
        <w:rPr>
          <w:rFonts w:hint="eastAsia"/>
        </w:rPr>
        <w:t>电缆管理系统若布置在室外时，其电气组成部件外壳防护等级不低于</w:t>
      </w:r>
      <w:r>
        <w:t>GB/T 4208—2017</w:t>
      </w:r>
      <w:r>
        <w:rPr>
          <w:rFonts w:hint="eastAsia"/>
        </w:rPr>
        <w:t>中IP55。</w:t>
      </w:r>
    </w:p>
    <w:p>
      <w:pPr>
        <w:pStyle w:val="165"/>
      </w:pPr>
      <w:r>
        <w:rPr>
          <w:rFonts w:hint="eastAsia"/>
        </w:rPr>
        <w:t>电缆管理系统若设置机械辅助输送电缆机构时，应具备提升、旋转、伸缩、俯仰等功能。</w:t>
      </w:r>
    </w:p>
    <w:p>
      <w:pPr>
        <w:pStyle w:val="165"/>
      </w:pPr>
      <w:r>
        <w:rPr>
          <w:rFonts w:hint="eastAsia"/>
        </w:rPr>
        <w:t>电缆管理系统的设计和生产遵守GB/T 36028—2018、GB/T 51305—2018、JTS 155—2019的要求执行，满足工程实际需要。</w:t>
      </w:r>
    </w:p>
    <w:p>
      <w:pPr>
        <w:pStyle w:val="105"/>
        <w:spacing w:before="156" w:after="156"/>
        <w:ind w:left="0"/>
      </w:pPr>
      <w:bookmarkStart w:id="131" w:name="_Toc135660407"/>
      <w:bookmarkStart w:id="132" w:name="_Toc135728713"/>
      <w:bookmarkStart w:id="133" w:name="_Toc138077486"/>
      <w:bookmarkStart w:id="134" w:name="_Toc141973565"/>
      <w:bookmarkStart w:id="135" w:name="_Toc135210790"/>
      <w:bookmarkStart w:id="136" w:name="_Toc135211382"/>
      <w:bookmarkStart w:id="137" w:name="_Toc141973507"/>
      <w:bookmarkStart w:id="138" w:name="_Toc135211558"/>
      <w:bookmarkStart w:id="139" w:name="_Toc134629941"/>
      <w:r>
        <w:rPr>
          <w:rFonts w:hint="eastAsia"/>
        </w:rPr>
        <w:t>电缆</w:t>
      </w:r>
      <w:bookmarkEnd w:id="131"/>
      <w:bookmarkEnd w:id="132"/>
      <w:bookmarkEnd w:id="133"/>
      <w:bookmarkEnd w:id="134"/>
      <w:bookmarkEnd w:id="135"/>
      <w:bookmarkEnd w:id="136"/>
      <w:bookmarkEnd w:id="137"/>
      <w:bookmarkEnd w:id="138"/>
      <w:bookmarkEnd w:id="139"/>
    </w:p>
    <w:p>
      <w:pPr>
        <w:pStyle w:val="165"/>
      </w:pPr>
      <w:r>
        <w:rPr>
          <w:rFonts w:hint="eastAsia"/>
        </w:rPr>
        <w:t>在陆地上敷设的电缆按照GB 50217—2018执行。在趸船和船舶上的电缆按照IEC 60092—353：2016、IEC 60092—354：2014执行。</w:t>
      </w:r>
    </w:p>
    <w:p>
      <w:pPr>
        <w:pStyle w:val="165"/>
      </w:pPr>
      <w:r>
        <w:rPr>
          <w:rFonts w:hint="eastAsia"/>
        </w:rPr>
        <w:t>除了动力线芯外，还应配备具有控制功能和通信功能的电缆。</w:t>
      </w:r>
    </w:p>
    <w:p>
      <w:pPr>
        <w:pStyle w:val="105"/>
        <w:spacing w:before="156" w:after="156"/>
        <w:ind w:left="0"/>
      </w:pPr>
      <w:bookmarkStart w:id="140" w:name="_Toc135660408"/>
      <w:bookmarkStart w:id="141" w:name="_Toc141973508"/>
      <w:bookmarkStart w:id="142" w:name="_Toc141973566"/>
      <w:bookmarkStart w:id="143" w:name="_Toc135210791"/>
      <w:bookmarkStart w:id="144" w:name="_Toc135211559"/>
      <w:bookmarkStart w:id="145" w:name="_Toc135211383"/>
      <w:bookmarkStart w:id="146" w:name="_Toc135728714"/>
      <w:bookmarkStart w:id="147" w:name="_Toc134629942"/>
      <w:bookmarkStart w:id="148" w:name="_Toc138077487"/>
      <w:r>
        <w:rPr>
          <w:rFonts w:hint="eastAsia"/>
        </w:rPr>
        <w:t>插头与插座</w:t>
      </w:r>
      <w:bookmarkEnd w:id="140"/>
      <w:bookmarkEnd w:id="141"/>
      <w:bookmarkEnd w:id="142"/>
      <w:bookmarkEnd w:id="143"/>
      <w:bookmarkEnd w:id="144"/>
      <w:bookmarkEnd w:id="145"/>
      <w:bookmarkEnd w:id="146"/>
      <w:bookmarkEnd w:id="147"/>
      <w:bookmarkEnd w:id="148"/>
    </w:p>
    <w:p>
      <w:pPr>
        <w:pStyle w:val="165"/>
      </w:pPr>
      <w:r>
        <w:rPr>
          <w:rFonts w:hint="eastAsia"/>
        </w:rPr>
        <w:t>插头和插座应设计防插错的结构和功能，并确保不能带电插拔。</w:t>
      </w:r>
    </w:p>
    <w:p>
      <w:pPr>
        <w:pStyle w:val="165"/>
      </w:pPr>
      <w:r>
        <w:rPr>
          <w:rFonts w:hint="eastAsia"/>
        </w:rPr>
        <w:t>辅助插拔系统（如有）应具备较高的对准精度，使得插头和插座能够可靠的连接。在插头和插座插合后，线缆应确保各个自由度有足够的余量，以补偿船舶停泊时候的移位，避免线缆被拉断或者插头被损害。在辅助插拔系统中，宜配备自动插合和紧急脱离功能。</w:t>
      </w:r>
    </w:p>
    <w:p>
      <w:pPr>
        <w:pStyle w:val="105"/>
        <w:spacing w:before="156" w:after="156"/>
        <w:ind w:left="0"/>
      </w:pPr>
      <w:bookmarkStart w:id="149" w:name="_Toc135210792"/>
      <w:bookmarkStart w:id="150" w:name="_Toc134629943"/>
      <w:bookmarkStart w:id="151" w:name="_Toc135211384"/>
      <w:bookmarkStart w:id="152" w:name="_Toc135660409"/>
      <w:bookmarkStart w:id="153" w:name="_Toc135211560"/>
      <w:bookmarkStart w:id="154" w:name="_Toc138077488"/>
      <w:bookmarkStart w:id="155" w:name="_Toc141973567"/>
      <w:bookmarkStart w:id="156" w:name="_Toc141973509"/>
      <w:bookmarkStart w:id="157" w:name="_Toc135728715"/>
      <w:r>
        <w:rPr>
          <w:rFonts w:hint="eastAsia"/>
        </w:rPr>
        <w:t>电缆转接箱</w:t>
      </w:r>
      <w:bookmarkEnd w:id="149"/>
      <w:bookmarkEnd w:id="150"/>
      <w:bookmarkEnd w:id="151"/>
      <w:bookmarkEnd w:id="152"/>
      <w:bookmarkEnd w:id="153"/>
      <w:bookmarkEnd w:id="154"/>
      <w:bookmarkEnd w:id="155"/>
      <w:bookmarkEnd w:id="156"/>
      <w:bookmarkEnd w:id="157"/>
    </w:p>
    <w:p>
      <w:pPr>
        <w:pStyle w:val="165"/>
      </w:pPr>
      <w:r>
        <w:rPr>
          <w:rFonts w:hint="eastAsia"/>
        </w:rPr>
        <w:t>电缆转接箱一般布置在岸端，转接移动电缆。</w:t>
      </w:r>
    </w:p>
    <w:p>
      <w:pPr>
        <w:pStyle w:val="165"/>
      </w:pPr>
      <w:r>
        <w:rPr>
          <w:rFonts w:hint="eastAsia"/>
        </w:rPr>
        <w:t>外壳防护不低于GB/T 4208—2017中IP55，箱体设置防触电设施，并可靠接地。</w:t>
      </w:r>
    </w:p>
    <w:p>
      <w:pPr>
        <w:pStyle w:val="165"/>
      </w:pPr>
      <w:r>
        <w:rPr>
          <w:rFonts w:hint="eastAsia"/>
        </w:rPr>
        <w:t>应具备带电显示功能。</w:t>
      </w:r>
    </w:p>
    <w:p>
      <w:pPr>
        <w:pStyle w:val="105"/>
        <w:spacing w:before="156" w:after="156"/>
        <w:ind w:left="0"/>
      </w:pPr>
      <w:bookmarkStart w:id="158" w:name="_Toc135211561"/>
      <w:bookmarkStart w:id="159" w:name="_Toc135660410"/>
      <w:bookmarkStart w:id="160" w:name="_Toc134629944"/>
      <w:bookmarkStart w:id="161" w:name="_Toc135728716"/>
      <w:bookmarkStart w:id="162" w:name="_Toc135210793"/>
      <w:bookmarkStart w:id="163" w:name="_Toc135211385"/>
      <w:bookmarkStart w:id="164" w:name="_Toc141973510"/>
      <w:bookmarkStart w:id="165" w:name="_Toc141973568"/>
      <w:bookmarkStart w:id="166" w:name="_Toc138077489"/>
      <w:r>
        <w:rPr>
          <w:rFonts w:hint="eastAsia"/>
        </w:rPr>
        <w:t>充电管理系统</w:t>
      </w:r>
      <w:bookmarkEnd w:id="158"/>
      <w:bookmarkEnd w:id="159"/>
      <w:bookmarkEnd w:id="160"/>
      <w:bookmarkEnd w:id="161"/>
      <w:bookmarkEnd w:id="162"/>
      <w:bookmarkEnd w:id="163"/>
      <w:bookmarkEnd w:id="164"/>
      <w:bookmarkEnd w:id="165"/>
      <w:bookmarkEnd w:id="166"/>
    </w:p>
    <w:p>
      <w:pPr>
        <w:pStyle w:val="165"/>
      </w:pPr>
      <w:r>
        <w:rPr>
          <w:rFonts w:hint="eastAsia"/>
        </w:rPr>
        <w:t>电源变换装置在BMS的限定条件下使用。</w:t>
      </w:r>
    </w:p>
    <w:p>
      <w:pPr>
        <w:pStyle w:val="165"/>
      </w:pPr>
      <w:r>
        <w:rPr>
          <w:rFonts w:hint="eastAsia"/>
        </w:rPr>
        <w:t>充电管理系统管理充电系统的连锁、投入、退出、故障保护、电源品质保障。</w:t>
      </w:r>
    </w:p>
    <w:p>
      <w:pPr>
        <w:pStyle w:val="165"/>
      </w:pPr>
      <w:r>
        <w:rPr>
          <w:rFonts w:hint="eastAsia"/>
        </w:rPr>
        <w:t>充电管理系统在恒流状态下运行时，当输出直流电压超过限压整定值时，应能自动限制其输出电压的增加，转换为恒压充电运行。</w:t>
      </w:r>
    </w:p>
    <w:p>
      <w:pPr>
        <w:pStyle w:val="165"/>
      </w:pPr>
      <w:r>
        <w:rPr>
          <w:rFonts w:hint="eastAsia"/>
        </w:rPr>
        <w:t>充电管理系统在恒压状态下运行时，当输出直流电流超过限流整定值时，应能立即进入限流状态，自动限制其输出电流的增加。</w:t>
      </w:r>
    </w:p>
    <w:p>
      <w:pPr>
        <w:pStyle w:val="104"/>
        <w:spacing w:before="312" w:after="312"/>
      </w:pPr>
      <w:bookmarkStart w:id="167" w:name="_Toc135211562"/>
      <w:bookmarkStart w:id="168" w:name="_Toc135210794"/>
      <w:bookmarkStart w:id="169" w:name="_Toc135728717"/>
      <w:bookmarkStart w:id="170" w:name="_Toc135660411"/>
      <w:bookmarkStart w:id="171" w:name="_Toc138077490"/>
      <w:bookmarkStart w:id="172" w:name="_Toc134629945"/>
      <w:bookmarkStart w:id="173" w:name="_Toc135211386"/>
      <w:bookmarkStart w:id="174" w:name="_Toc141973511"/>
      <w:bookmarkStart w:id="175" w:name="_Toc141973569"/>
      <w:r>
        <w:rPr>
          <w:rFonts w:hint="eastAsia"/>
        </w:rPr>
        <w:t>安全性要求</w:t>
      </w:r>
      <w:bookmarkEnd w:id="167"/>
      <w:bookmarkEnd w:id="168"/>
      <w:bookmarkEnd w:id="169"/>
      <w:bookmarkEnd w:id="170"/>
      <w:bookmarkEnd w:id="171"/>
      <w:bookmarkEnd w:id="172"/>
      <w:bookmarkEnd w:id="173"/>
      <w:bookmarkEnd w:id="174"/>
      <w:bookmarkEnd w:id="175"/>
    </w:p>
    <w:p>
      <w:pPr>
        <w:pStyle w:val="105"/>
        <w:spacing w:before="156" w:after="156"/>
        <w:ind w:left="0"/>
      </w:pPr>
      <w:bookmarkStart w:id="176" w:name="_Toc135211563"/>
      <w:bookmarkStart w:id="177" w:name="_Toc135660412"/>
      <w:bookmarkStart w:id="178" w:name="_Toc135728718"/>
      <w:bookmarkStart w:id="179" w:name="_Toc135210795"/>
      <w:bookmarkStart w:id="180" w:name="_Toc138077491"/>
      <w:bookmarkStart w:id="181" w:name="_Toc135211387"/>
      <w:bookmarkStart w:id="182" w:name="_Toc134629946"/>
      <w:bookmarkStart w:id="183" w:name="_Toc141973512"/>
      <w:bookmarkStart w:id="184" w:name="_Toc141973570"/>
      <w:r>
        <w:rPr>
          <w:rFonts w:hint="eastAsia"/>
        </w:rPr>
        <w:t>充电站</w:t>
      </w:r>
      <w:bookmarkEnd w:id="176"/>
      <w:bookmarkEnd w:id="177"/>
      <w:bookmarkEnd w:id="178"/>
      <w:bookmarkEnd w:id="179"/>
      <w:bookmarkEnd w:id="180"/>
      <w:bookmarkEnd w:id="181"/>
      <w:bookmarkEnd w:id="182"/>
      <w:r>
        <w:rPr>
          <w:rFonts w:hint="eastAsia"/>
        </w:rPr>
        <w:t>一般要求</w:t>
      </w:r>
      <w:bookmarkEnd w:id="183"/>
      <w:bookmarkEnd w:id="184"/>
    </w:p>
    <w:p>
      <w:pPr>
        <w:pStyle w:val="165"/>
      </w:pPr>
      <w:r>
        <w:rPr>
          <w:rFonts w:hint="eastAsia"/>
        </w:rPr>
        <w:t>充电站设施应综合考虑码头总平面、水工结构和装卸作业等实际情况进行布置，不应妨碍码头正常生产作业并应保证消防通道畅通，并设立明显的标志标识。</w:t>
      </w:r>
    </w:p>
    <w:p>
      <w:pPr>
        <w:pStyle w:val="165"/>
      </w:pPr>
      <w:r>
        <w:rPr>
          <w:rFonts w:hint="eastAsia"/>
        </w:rPr>
        <w:t>充电站应具备自检、故障保护、安全连锁功能。</w:t>
      </w:r>
    </w:p>
    <w:p>
      <w:pPr>
        <w:pStyle w:val="165"/>
      </w:pPr>
      <w:r>
        <w:rPr>
          <w:rFonts w:hint="eastAsia"/>
        </w:rPr>
        <w:t>充电站应设置应急切断功能，应急切断包括自动切断和手动切断。在发生应急切断后，必须人工复位后断路器才能再次闭合。应急切断按钮应至少布置在以下位置：电源变换装置处、电缆管理系统操作处、船舶受电插座处。在发生如下任一情况时应激活自动切断：</w:t>
      </w:r>
    </w:p>
    <w:p>
      <w:pPr>
        <w:pStyle w:val="174"/>
        <w:numPr>
          <w:ilvl w:val="0"/>
          <w:numId w:val="37"/>
        </w:numPr>
      </w:pPr>
      <w:r>
        <w:rPr>
          <w:rFonts w:hint="eastAsia"/>
        </w:rPr>
        <w:t>等电位连接断开；</w:t>
      </w:r>
    </w:p>
    <w:p>
      <w:pPr>
        <w:pStyle w:val="174"/>
      </w:pPr>
      <w:r>
        <w:rPr>
          <w:rFonts w:hint="eastAsia"/>
        </w:rPr>
        <w:t>电缆管理系统发出报警信号（电缆张力过高或剩余电缆长度过低）；</w:t>
      </w:r>
    </w:p>
    <w:p>
      <w:pPr>
        <w:pStyle w:val="174"/>
      </w:pPr>
      <w:r>
        <w:rPr>
          <w:rFonts w:hint="eastAsia"/>
        </w:rPr>
        <w:t>充电控制系统和监测线路故障；</w:t>
      </w:r>
    </w:p>
    <w:p>
      <w:pPr>
        <w:pStyle w:val="174"/>
      </w:pPr>
      <w:r>
        <w:rPr>
          <w:rFonts w:hint="eastAsia"/>
        </w:rPr>
        <w:t>连接插头带电拔出。</w:t>
      </w:r>
    </w:p>
    <w:p>
      <w:pPr>
        <w:pStyle w:val="165"/>
      </w:pPr>
      <w:r>
        <w:rPr>
          <w:rFonts w:hint="eastAsia"/>
        </w:rPr>
        <w:t>在发生如下任一情况时，不能闭合或应立刻断开供电断路器：</w:t>
      </w:r>
    </w:p>
    <w:p>
      <w:pPr>
        <w:pStyle w:val="174"/>
        <w:numPr>
          <w:ilvl w:val="0"/>
          <w:numId w:val="38"/>
        </w:numPr>
      </w:pPr>
      <w:r>
        <w:rPr>
          <w:rFonts w:hint="eastAsia"/>
        </w:rPr>
        <w:t>等电位连接未建立；</w:t>
      </w:r>
    </w:p>
    <w:p>
      <w:pPr>
        <w:pStyle w:val="174"/>
      </w:pPr>
      <w:r>
        <w:rPr>
          <w:rFonts w:hint="eastAsia"/>
        </w:rPr>
        <w:t>岸端供电电源故障；</w:t>
      </w:r>
    </w:p>
    <w:p>
      <w:pPr>
        <w:pStyle w:val="174"/>
      </w:pPr>
      <w:r>
        <w:rPr>
          <w:rFonts w:hint="eastAsia"/>
        </w:rPr>
        <w:t>连接插头插座的控制极电路故障；</w:t>
      </w:r>
    </w:p>
    <w:p>
      <w:pPr>
        <w:pStyle w:val="174"/>
      </w:pPr>
      <w:r>
        <w:rPr>
          <w:rFonts w:hint="eastAsia"/>
        </w:rPr>
        <w:t>控制监测电路故障；</w:t>
      </w:r>
    </w:p>
    <w:p>
      <w:pPr>
        <w:pStyle w:val="174"/>
      </w:pPr>
      <w:r>
        <w:rPr>
          <w:rFonts w:hint="eastAsia"/>
        </w:rPr>
        <w:t>保护接地系统发生故障；</w:t>
      </w:r>
    </w:p>
    <w:p>
      <w:pPr>
        <w:pStyle w:val="174"/>
      </w:pPr>
      <w:r>
        <w:rPr>
          <w:rFonts w:hint="eastAsia"/>
        </w:rPr>
        <w:t>电缆管理系统发出报警；</w:t>
      </w:r>
    </w:p>
    <w:p>
      <w:pPr>
        <w:pStyle w:val="174"/>
      </w:pPr>
      <w:r>
        <w:rPr>
          <w:rFonts w:hint="eastAsia"/>
        </w:rPr>
        <w:t>应急切断激活。</w:t>
      </w:r>
    </w:p>
    <w:p>
      <w:pPr>
        <w:pStyle w:val="165"/>
      </w:pPr>
      <w:r>
        <w:rPr>
          <w:rFonts w:hint="eastAsia"/>
        </w:rPr>
        <w:t>充电站应满足GB 50016—2014的要求，消防安全应符合GB 55036—2023和GB 51309—2018的规定。</w:t>
      </w:r>
    </w:p>
    <w:p>
      <w:pPr>
        <w:pStyle w:val="165"/>
      </w:pPr>
      <w:r>
        <w:rPr>
          <w:rFonts w:hint="eastAsia"/>
        </w:rPr>
        <w:t>充电站应具有相应的禁止、警告、接地、监控、消防等安全标识。</w:t>
      </w:r>
    </w:p>
    <w:p>
      <w:pPr>
        <w:pStyle w:val="105"/>
        <w:spacing w:before="156" w:after="156"/>
        <w:ind w:left="0"/>
      </w:pPr>
      <w:bookmarkStart w:id="185" w:name="_Toc135210796"/>
      <w:bookmarkStart w:id="186" w:name="_Toc141973513"/>
      <w:bookmarkStart w:id="187" w:name="_Toc135660413"/>
      <w:bookmarkStart w:id="188" w:name="_Toc141973571"/>
      <w:bookmarkStart w:id="189" w:name="_Toc135211564"/>
      <w:bookmarkStart w:id="190" w:name="_Toc134629947"/>
      <w:bookmarkStart w:id="191" w:name="_Toc135211388"/>
      <w:bookmarkStart w:id="192" w:name="_Toc135728719"/>
      <w:bookmarkStart w:id="193" w:name="_Toc138077492"/>
      <w:r>
        <w:rPr>
          <w:rFonts w:hint="eastAsia"/>
        </w:rPr>
        <w:t>电源变换装置</w:t>
      </w:r>
      <w:bookmarkEnd w:id="185"/>
      <w:bookmarkEnd w:id="186"/>
      <w:bookmarkEnd w:id="187"/>
      <w:bookmarkEnd w:id="188"/>
      <w:bookmarkEnd w:id="189"/>
      <w:bookmarkEnd w:id="190"/>
      <w:bookmarkEnd w:id="191"/>
      <w:bookmarkEnd w:id="192"/>
      <w:bookmarkEnd w:id="193"/>
    </w:p>
    <w:p>
      <w:pPr>
        <w:pStyle w:val="165"/>
      </w:pPr>
      <w:r>
        <w:rPr>
          <w:rFonts w:hint="eastAsia"/>
        </w:rPr>
        <w:t>变压器应设置三相绕组温度监测，在发生过载、短路、过电压和欠电压时，保护断路器应可靠断开，并将断路器故障分断的信号发送到充电管理系统。</w:t>
      </w:r>
    </w:p>
    <w:p>
      <w:pPr>
        <w:pStyle w:val="165"/>
      </w:pPr>
      <w:r>
        <w:rPr>
          <w:rFonts w:hint="eastAsia"/>
        </w:rPr>
        <w:t>高压配电柜本身应设计五防连锁，包括防止误合分断路器；防止带负荷拉、合隔离开关；防止带电合接地开关；防止带接地开关合断路器；防止误入带电间隙。</w:t>
      </w:r>
    </w:p>
    <w:p>
      <w:pPr>
        <w:pStyle w:val="165"/>
      </w:pPr>
      <w:r>
        <w:rPr>
          <w:rFonts w:hint="eastAsia"/>
        </w:rPr>
        <w:t>安全连锁除了开关柜自身的机械五防连锁外，还应设置与外部信号的电气连锁。</w:t>
      </w:r>
    </w:p>
    <w:p>
      <w:pPr>
        <w:pStyle w:val="165"/>
      </w:pPr>
      <w:r>
        <w:rPr>
          <w:rFonts w:hint="eastAsia"/>
        </w:rPr>
        <w:t>高压进线柜应设置保护装置。当发生过流、接地故障、过压、欠压时先预警后报警同时跳闸；当发生短路、方向性过流时跳闸并报警。</w:t>
      </w:r>
    </w:p>
    <w:p>
      <w:pPr>
        <w:pStyle w:val="165"/>
      </w:pPr>
      <w:r>
        <w:rPr>
          <w:rFonts w:hint="eastAsia"/>
        </w:rPr>
        <w:t>功率柜应能够自动判断充电接头是否已正确连接。当正确连接后，充电接口才能输出电源，当充电接头异常断开时，充电机能立刻停止输出，以保证人身安全；</w:t>
      </w:r>
    </w:p>
    <w:p>
      <w:pPr>
        <w:pStyle w:val="165"/>
      </w:pPr>
      <w:r>
        <w:rPr>
          <w:rFonts w:hint="eastAsia"/>
        </w:rPr>
        <w:t>功率柜应具备输入过压保护、输入欠压保护、输出过压保护、输出短路保护（欠压保护）、过温限功率保护、过温关机保护、输出过流保护、输出反接保护、绝缘异常保护、导引回路出错保护、控制模件故障保护等。</w:t>
      </w:r>
    </w:p>
    <w:p>
      <w:pPr>
        <w:pStyle w:val="105"/>
        <w:spacing w:before="156" w:after="156"/>
        <w:ind w:left="0"/>
      </w:pPr>
      <w:bookmarkStart w:id="194" w:name="_Toc135211389"/>
      <w:bookmarkStart w:id="195" w:name="_Toc135660414"/>
      <w:bookmarkStart w:id="196" w:name="_Toc135211565"/>
      <w:bookmarkStart w:id="197" w:name="_Toc141973572"/>
      <w:bookmarkStart w:id="198" w:name="_Toc138077493"/>
      <w:bookmarkStart w:id="199" w:name="_Toc135210797"/>
      <w:bookmarkStart w:id="200" w:name="_Toc135728720"/>
      <w:bookmarkStart w:id="201" w:name="_Toc134629948"/>
      <w:bookmarkStart w:id="202" w:name="_Toc141973514"/>
      <w:r>
        <w:rPr>
          <w:rFonts w:hint="eastAsia"/>
        </w:rPr>
        <w:t>电缆管理系统</w:t>
      </w:r>
      <w:bookmarkEnd w:id="194"/>
      <w:bookmarkEnd w:id="195"/>
      <w:bookmarkEnd w:id="196"/>
      <w:bookmarkEnd w:id="197"/>
      <w:bookmarkEnd w:id="198"/>
      <w:bookmarkEnd w:id="199"/>
      <w:bookmarkEnd w:id="200"/>
      <w:bookmarkEnd w:id="201"/>
      <w:bookmarkEnd w:id="202"/>
    </w:p>
    <w:p>
      <w:pPr>
        <w:pStyle w:val="165"/>
      </w:pPr>
      <w:bookmarkStart w:id="203" w:name="_Hlk141365714"/>
      <w:r>
        <w:rPr>
          <w:rFonts w:hint="eastAsia"/>
        </w:rPr>
        <w:t>电缆管理系统发生失电故障时，充电管理系统应断开供电断路器。</w:t>
      </w:r>
    </w:p>
    <w:bookmarkEnd w:id="203"/>
    <w:p>
      <w:pPr>
        <w:pStyle w:val="165"/>
      </w:pPr>
      <w:bookmarkStart w:id="204" w:name="_Hlk137118037"/>
      <w:r>
        <w:rPr>
          <w:rFonts w:hint="eastAsia"/>
        </w:rPr>
        <w:t>电缆管理系统需配备张力计等设施，用于监控电缆的张力和剩余电缆的长度。当电缆张力或剩余长度达到设定的报警阈值时，应发出报警；当电缆张力继续增加或剩余长度继续减少并达到一个更高的设定阈值时，应立即断开供电断路器。</w:t>
      </w:r>
    </w:p>
    <w:bookmarkEnd w:id="204"/>
    <w:p>
      <w:pPr>
        <w:pStyle w:val="105"/>
        <w:spacing w:before="156" w:after="156"/>
        <w:ind w:left="0"/>
      </w:pPr>
      <w:bookmarkStart w:id="205" w:name="_Toc135211566"/>
      <w:bookmarkStart w:id="206" w:name="_Toc135660415"/>
      <w:bookmarkStart w:id="207" w:name="_Toc134629949"/>
      <w:bookmarkStart w:id="208" w:name="_Toc135210798"/>
      <w:bookmarkStart w:id="209" w:name="_Toc135211390"/>
      <w:bookmarkStart w:id="210" w:name="_Toc138077494"/>
      <w:bookmarkStart w:id="211" w:name="_Toc135728721"/>
      <w:bookmarkStart w:id="212" w:name="_Toc141973515"/>
      <w:bookmarkStart w:id="213" w:name="_Toc141973573"/>
      <w:r>
        <w:rPr>
          <w:rFonts w:hint="eastAsia"/>
        </w:rPr>
        <w:t>插头和插座</w:t>
      </w:r>
      <w:bookmarkEnd w:id="205"/>
      <w:bookmarkEnd w:id="206"/>
      <w:bookmarkEnd w:id="207"/>
      <w:bookmarkEnd w:id="208"/>
      <w:bookmarkEnd w:id="209"/>
      <w:bookmarkEnd w:id="210"/>
      <w:bookmarkEnd w:id="211"/>
      <w:bookmarkEnd w:id="212"/>
      <w:bookmarkEnd w:id="213"/>
    </w:p>
    <w:p>
      <w:pPr>
        <w:pStyle w:val="56"/>
        <w:ind w:firstLine="420"/>
      </w:pPr>
      <w:r>
        <w:rPr>
          <w:rFonts w:hint="eastAsia"/>
        </w:rPr>
        <w:t>船舶受电插座处应安装急停按钮、电缆接驳就绪指示灯和充电指示装置。充电故障时，可按下急停按钮，通过安全回路断开电源变换装置设备的输出开关。急停按钮复位前，电源变换装置输出开关不能合闸。</w:t>
      </w:r>
    </w:p>
    <w:p>
      <w:pPr>
        <w:pStyle w:val="104"/>
        <w:spacing w:before="312" w:after="312"/>
      </w:pPr>
      <w:bookmarkStart w:id="214" w:name="_Toc135211392"/>
      <w:bookmarkStart w:id="215" w:name="_Toc135660416"/>
      <w:bookmarkStart w:id="216" w:name="_Toc135210800"/>
      <w:bookmarkStart w:id="217" w:name="_Toc134629951"/>
      <w:bookmarkStart w:id="218" w:name="_Toc135211568"/>
      <w:bookmarkStart w:id="219" w:name="_Toc135728722"/>
      <w:bookmarkStart w:id="220" w:name="_Toc138077495"/>
      <w:bookmarkStart w:id="221" w:name="_Toc141973516"/>
      <w:bookmarkStart w:id="222" w:name="_Toc141973574"/>
      <w:r>
        <w:rPr>
          <w:rFonts w:hint="eastAsia"/>
        </w:rPr>
        <w:t>试验要求</w:t>
      </w:r>
      <w:bookmarkEnd w:id="214"/>
      <w:bookmarkEnd w:id="215"/>
      <w:bookmarkEnd w:id="216"/>
      <w:bookmarkEnd w:id="217"/>
      <w:bookmarkEnd w:id="218"/>
      <w:bookmarkEnd w:id="219"/>
      <w:bookmarkEnd w:id="220"/>
      <w:bookmarkEnd w:id="221"/>
      <w:bookmarkEnd w:id="222"/>
    </w:p>
    <w:p>
      <w:pPr>
        <w:pStyle w:val="105"/>
        <w:spacing w:before="156" w:after="156"/>
        <w:ind w:left="0"/>
      </w:pPr>
      <w:bookmarkStart w:id="223" w:name="_Toc141973575"/>
      <w:bookmarkStart w:id="224" w:name="_Toc134629953"/>
      <w:bookmarkStart w:id="225" w:name="_Toc135210802"/>
      <w:bookmarkStart w:id="226" w:name="_Toc135211394"/>
      <w:bookmarkStart w:id="227" w:name="_Toc138077497"/>
      <w:bookmarkStart w:id="228" w:name="_Toc135211570"/>
      <w:bookmarkStart w:id="229" w:name="_Toc141973517"/>
      <w:bookmarkStart w:id="230" w:name="_Toc135660418"/>
      <w:bookmarkStart w:id="231" w:name="_Toc135728724"/>
      <w:r>
        <w:rPr>
          <w:rFonts w:hint="eastAsia"/>
        </w:rPr>
        <w:t>现场试验</w:t>
      </w:r>
      <w:bookmarkEnd w:id="223"/>
      <w:bookmarkEnd w:id="224"/>
      <w:bookmarkEnd w:id="225"/>
      <w:bookmarkEnd w:id="226"/>
      <w:bookmarkEnd w:id="227"/>
      <w:bookmarkEnd w:id="228"/>
      <w:bookmarkEnd w:id="229"/>
      <w:bookmarkEnd w:id="230"/>
      <w:bookmarkEnd w:id="231"/>
    </w:p>
    <w:p>
      <w:pPr>
        <w:pStyle w:val="165"/>
      </w:pPr>
      <w:r>
        <w:rPr>
          <w:rFonts w:hint="eastAsia"/>
        </w:rPr>
        <w:t>试验程序和方法应符合GB 50150—2016的要求。</w:t>
      </w:r>
    </w:p>
    <w:p>
      <w:pPr>
        <w:pStyle w:val="165"/>
      </w:pPr>
      <w:r>
        <w:rPr>
          <w:rFonts w:hint="eastAsia"/>
        </w:rPr>
        <w:t>试验应采取保护措施，并设置警示标志。</w:t>
      </w:r>
    </w:p>
    <w:p>
      <w:pPr>
        <w:pStyle w:val="165"/>
      </w:pPr>
      <w:r>
        <w:rPr>
          <w:rFonts w:hint="eastAsia"/>
        </w:rPr>
        <w:t>初次供电的检验内容应包括但不限于：</w:t>
      </w:r>
    </w:p>
    <w:p>
      <w:pPr>
        <w:pStyle w:val="174"/>
        <w:numPr>
          <w:ilvl w:val="0"/>
          <w:numId w:val="39"/>
        </w:numPr>
      </w:pPr>
      <w:r>
        <w:rPr>
          <w:rFonts w:hint="eastAsia"/>
        </w:rPr>
        <w:t>外观检测；</w:t>
      </w:r>
    </w:p>
    <w:p>
      <w:pPr>
        <w:pStyle w:val="174"/>
        <w:numPr>
          <w:ilvl w:val="0"/>
          <w:numId w:val="39"/>
        </w:numPr>
      </w:pPr>
      <w:r>
        <w:rPr>
          <w:rFonts w:hint="eastAsia"/>
        </w:rPr>
        <w:t>绝缘检测；</w:t>
      </w:r>
    </w:p>
    <w:p>
      <w:pPr>
        <w:pStyle w:val="174"/>
        <w:numPr>
          <w:ilvl w:val="0"/>
          <w:numId w:val="39"/>
        </w:numPr>
      </w:pPr>
      <w:r>
        <w:rPr>
          <w:rFonts w:hint="eastAsia"/>
        </w:rPr>
        <w:t>接地检测；</w:t>
      </w:r>
    </w:p>
    <w:p>
      <w:pPr>
        <w:pStyle w:val="174"/>
        <w:numPr>
          <w:ilvl w:val="0"/>
          <w:numId w:val="39"/>
        </w:numPr>
      </w:pPr>
      <w:r>
        <w:rPr>
          <w:rFonts w:hint="eastAsia"/>
        </w:rPr>
        <w:t>相序检测；</w:t>
      </w:r>
    </w:p>
    <w:p>
      <w:pPr>
        <w:pStyle w:val="174"/>
        <w:numPr>
          <w:ilvl w:val="0"/>
          <w:numId w:val="39"/>
        </w:numPr>
      </w:pPr>
      <w:r>
        <w:rPr>
          <w:rFonts w:hint="eastAsia"/>
        </w:rPr>
        <w:t>轻载和功能检测；</w:t>
      </w:r>
    </w:p>
    <w:p>
      <w:pPr>
        <w:pStyle w:val="174"/>
        <w:numPr>
          <w:ilvl w:val="0"/>
          <w:numId w:val="39"/>
        </w:numPr>
      </w:pPr>
      <w:r>
        <w:rPr>
          <w:rFonts w:hint="eastAsia"/>
        </w:rPr>
        <w:t>耐压试验。</w:t>
      </w:r>
    </w:p>
    <w:p>
      <w:pPr>
        <w:pStyle w:val="165"/>
      </w:pPr>
      <w:r>
        <w:rPr>
          <w:rFonts w:hint="eastAsia"/>
        </w:rPr>
        <w:t>周期性供电检测应在设备正常使用每12个月或停用3个月后再次使用前进行，检测应包括下列内容:</w:t>
      </w:r>
    </w:p>
    <w:p>
      <w:pPr>
        <w:pStyle w:val="174"/>
        <w:numPr>
          <w:ilvl w:val="0"/>
          <w:numId w:val="40"/>
        </w:numPr>
      </w:pPr>
      <w:r>
        <w:rPr>
          <w:rFonts w:hint="eastAsia"/>
        </w:rPr>
        <w:t>外观检测；</w:t>
      </w:r>
    </w:p>
    <w:p>
      <w:pPr>
        <w:pStyle w:val="174"/>
      </w:pPr>
      <w:r>
        <w:rPr>
          <w:rFonts w:hint="eastAsia"/>
        </w:rPr>
        <w:t>绝缘检测；</w:t>
      </w:r>
    </w:p>
    <w:p>
      <w:pPr>
        <w:pStyle w:val="174"/>
      </w:pPr>
      <w:r>
        <w:rPr>
          <w:rFonts w:hint="eastAsia"/>
        </w:rPr>
        <w:t>接地检测；</w:t>
      </w:r>
    </w:p>
    <w:p>
      <w:pPr>
        <w:pStyle w:val="174"/>
      </w:pPr>
      <w:r>
        <w:rPr>
          <w:rFonts w:hint="eastAsia"/>
        </w:rPr>
        <w:t>功能检测；</w:t>
      </w:r>
    </w:p>
    <w:p>
      <w:pPr>
        <w:pStyle w:val="174"/>
      </w:pPr>
      <w:r>
        <w:rPr>
          <w:rFonts w:hint="eastAsia"/>
        </w:rPr>
        <w:t>耐压试验。</w:t>
      </w:r>
    </w:p>
    <w:p>
      <w:pPr>
        <w:pStyle w:val="165"/>
        <w:numPr>
          <w:ilvl w:val="0"/>
          <w:numId w:val="0"/>
        </w:numPr>
        <w:ind w:left="840"/>
      </w:pPr>
    </w:p>
    <w:p>
      <w:pPr>
        <w:pStyle w:val="165"/>
        <w:numPr>
          <w:ilvl w:val="0"/>
          <w:numId w:val="0"/>
        </w:numPr>
        <w:ind w:left="840"/>
        <w:sectPr>
          <w:pgSz w:w="11906" w:h="16838"/>
          <w:pgMar w:top="1928" w:right="1134" w:bottom="1134" w:left="1134" w:header="1418" w:footer="1134" w:gutter="284"/>
          <w:pgNumType w:start="1"/>
          <w:cols w:space="425" w:num="1"/>
          <w:formProt w:val="0"/>
          <w:docGrid w:type="lines" w:linePitch="312" w:charSpace="0"/>
        </w:sectPr>
      </w:pPr>
    </w:p>
    <w:bookmarkEnd w:id="33"/>
    <w:p>
      <w:pPr>
        <w:pStyle w:val="198"/>
      </w:pPr>
      <w:bookmarkStart w:id="232" w:name="BookMark5"/>
    </w:p>
    <w:p>
      <w:pPr>
        <w:pStyle w:val="199"/>
      </w:pPr>
    </w:p>
    <w:p>
      <w:pPr>
        <w:pStyle w:val="76"/>
        <w:spacing w:after="156"/>
      </w:pPr>
      <w:r>
        <w:br w:type="textWrapping"/>
      </w:r>
      <w:bookmarkStart w:id="233" w:name="_Toc138077498"/>
      <w:bookmarkStart w:id="234" w:name="_Toc141973518"/>
      <w:bookmarkStart w:id="235" w:name="_Toc135211572"/>
      <w:bookmarkStart w:id="236" w:name="_Toc134629955"/>
      <w:bookmarkStart w:id="237" w:name="_Toc135728726"/>
      <w:bookmarkStart w:id="238" w:name="_Toc135211396"/>
      <w:bookmarkStart w:id="239" w:name="_Toc135210804"/>
      <w:bookmarkStart w:id="240" w:name="_Toc141973576"/>
      <w:bookmarkStart w:id="241" w:name="_Toc135660420"/>
      <w:r>
        <w:rPr>
          <w:rFonts w:hint="eastAsia"/>
        </w:rPr>
        <w:t>（资料性）</w:t>
      </w:r>
      <w:r>
        <w:br w:type="textWrapping"/>
      </w:r>
      <w:r>
        <w:rPr>
          <w:rFonts w:hint="eastAsia"/>
        </w:rPr>
        <w:t>直流充电模式</w:t>
      </w:r>
      <w:bookmarkEnd w:id="233"/>
      <w:bookmarkEnd w:id="234"/>
      <w:bookmarkEnd w:id="235"/>
      <w:bookmarkEnd w:id="236"/>
      <w:bookmarkEnd w:id="237"/>
      <w:bookmarkEnd w:id="238"/>
      <w:bookmarkEnd w:id="239"/>
      <w:bookmarkEnd w:id="240"/>
      <w:bookmarkEnd w:id="241"/>
    </w:p>
    <w:p>
      <w:pPr>
        <w:pStyle w:val="56"/>
        <w:ind w:firstLine="420"/>
      </w:pPr>
      <w:bookmarkStart w:id="242" w:name="_Hlk141788453"/>
      <w:r>
        <w:rPr>
          <w:rFonts w:hint="eastAsia"/>
        </w:rPr>
        <w:t>直流充电模式示意见图A.</w:t>
      </w:r>
      <w:r>
        <w:t>1</w:t>
      </w:r>
      <w:r>
        <w:rPr>
          <w:rFonts w:hint="eastAsia"/>
        </w:rPr>
        <w:t>和图A</w:t>
      </w:r>
      <w:r>
        <w:t>.2</w:t>
      </w:r>
      <w:r>
        <w:rPr>
          <w:rFonts w:hint="eastAsia"/>
        </w:rPr>
        <w:t>。</w:t>
      </w:r>
    </w:p>
    <w:p>
      <w:pPr>
        <w:pStyle w:val="56"/>
        <w:ind w:firstLine="0" w:firstLineChars="0"/>
        <w:jc w:val="left"/>
      </w:pPr>
      <w:r>
        <w:drawing>
          <wp:inline distT="0" distB="0" distL="0" distR="0">
            <wp:extent cx="5939790" cy="1851025"/>
            <wp:effectExtent l="0" t="0" r="3810" b="0"/>
            <wp:docPr id="87251718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517188" name="图片 1"/>
                    <pic:cNvPicPr>
                      <a:picLocks noChangeAspect="1"/>
                    </pic:cNvPicPr>
                  </pic:nvPicPr>
                  <pic:blipFill>
                    <a:blip r:embed="rId14"/>
                    <a:stretch>
                      <a:fillRect/>
                    </a:stretch>
                  </pic:blipFill>
                  <pic:spPr>
                    <a:xfrm>
                      <a:off x="0" y="0"/>
                      <a:ext cx="5939790" cy="1851025"/>
                    </a:xfrm>
                    <a:prstGeom prst="rect">
                      <a:avLst/>
                    </a:prstGeom>
                  </pic:spPr>
                </pic:pic>
              </a:graphicData>
            </a:graphic>
          </wp:inline>
        </w:drawing>
      </w:r>
      <w:bookmarkEnd w:id="242"/>
    </w:p>
    <w:p>
      <w:pPr>
        <w:pStyle w:val="56"/>
        <w:ind w:firstLine="0" w:firstLineChars="0"/>
      </w:pPr>
      <w:bookmarkStart w:id="243" w:name="_Hlk141973087"/>
      <w:r>
        <w:rPr>
          <w:rFonts w:hint="eastAsia"/>
        </w:rPr>
        <w:t>标引序号说明：</w:t>
      </w:r>
    </w:p>
    <w:p>
      <w:pPr>
        <w:pStyle w:val="56"/>
        <w:ind w:firstLine="0" w:firstLineChars="0"/>
      </w:pPr>
      <w:r>
        <w:rPr>
          <w:rFonts w:hint="eastAsia"/>
        </w:rPr>
        <w:t xml:space="preserve">1——电源变换装置； </w:t>
      </w:r>
      <w:r>
        <w:t xml:space="preserve">                       4</w:t>
      </w:r>
      <w:r>
        <w:rPr>
          <w:rFonts w:hint="eastAsia"/>
        </w:rPr>
        <w:t>——电缆管理系统；</w:t>
      </w:r>
    </w:p>
    <w:p>
      <w:pPr>
        <w:pStyle w:val="56"/>
        <w:ind w:firstLine="0" w:firstLineChars="0"/>
      </w:pPr>
      <w:r>
        <w:rPr>
          <w:rFonts w:hint="eastAsia"/>
        </w:rPr>
        <w:t xml:space="preserve">2——充电管理系统； </w:t>
      </w:r>
      <w:r>
        <w:t xml:space="preserve">                       5</w:t>
      </w:r>
      <w:r>
        <w:rPr>
          <w:rFonts w:hint="eastAsia"/>
        </w:rPr>
        <w:t>——受电插座；</w:t>
      </w:r>
    </w:p>
    <w:p>
      <w:pPr>
        <w:pStyle w:val="56"/>
        <w:ind w:firstLine="0" w:firstLineChars="0"/>
      </w:pPr>
      <w:r>
        <w:rPr>
          <w:rFonts w:hint="eastAsia"/>
        </w:rPr>
        <w:t xml:space="preserve">3——电缆转接箱； </w:t>
      </w:r>
      <w:r>
        <w:t xml:space="preserve">                         6</w:t>
      </w:r>
      <w:r>
        <w:rPr>
          <w:rFonts w:hint="eastAsia"/>
        </w:rPr>
        <w:t>——蓄电池。</w:t>
      </w:r>
    </w:p>
    <w:bookmarkEnd w:id="243"/>
    <w:p>
      <w:pPr>
        <w:pStyle w:val="56"/>
        <w:ind w:firstLine="0" w:firstLineChars="0"/>
      </w:pPr>
    </w:p>
    <w:p>
      <w:pPr>
        <w:pStyle w:val="56"/>
        <w:ind w:firstLine="0" w:firstLineChars="0"/>
        <w:jc w:val="center"/>
        <w:rPr>
          <w:rFonts w:hAnsi="宋体"/>
        </w:rPr>
      </w:pPr>
      <w:r>
        <w:rPr>
          <w:rFonts w:hint="eastAsia" w:hAnsi="宋体"/>
        </w:rPr>
        <w:t>图A.1　直流充电模式一示意图</w:t>
      </w:r>
    </w:p>
    <w:p>
      <w:pPr>
        <w:pStyle w:val="56"/>
        <w:ind w:firstLine="0" w:firstLineChars="0"/>
      </w:pPr>
    </w:p>
    <w:p>
      <w:pPr>
        <w:pStyle w:val="56"/>
        <w:ind w:firstLine="0" w:firstLineChars="0"/>
      </w:pPr>
      <w:r>
        <w:drawing>
          <wp:inline distT="0" distB="0" distL="0" distR="0">
            <wp:extent cx="5939790" cy="1843405"/>
            <wp:effectExtent l="0" t="0" r="3810" b="4445"/>
            <wp:docPr id="30661608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16083" name="图片 1"/>
                    <pic:cNvPicPr>
                      <a:picLocks noChangeAspect="1"/>
                    </pic:cNvPicPr>
                  </pic:nvPicPr>
                  <pic:blipFill>
                    <a:blip r:embed="rId15"/>
                    <a:stretch>
                      <a:fillRect/>
                    </a:stretch>
                  </pic:blipFill>
                  <pic:spPr>
                    <a:xfrm>
                      <a:off x="0" y="0"/>
                      <a:ext cx="5939790" cy="1843405"/>
                    </a:xfrm>
                    <a:prstGeom prst="rect">
                      <a:avLst/>
                    </a:prstGeom>
                  </pic:spPr>
                </pic:pic>
              </a:graphicData>
            </a:graphic>
          </wp:inline>
        </w:drawing>
      </w:r>
    </w:p>
    <w:p>
      <w:pPr>
        <w:pStyle w:val="56"/>
        <w:ind w:firstLine="0" w:firstLineChars="0"/>
      </w:pPr>
      <w:r>
        <w:rPr>
          <w:rFonts w:hint="eastAsia"/>
        </w:rPr>
        <w:t>标引序号说明：</w:t>
      </w:r>
    </w:p>
    <w:p>
      <w:pPr>
        <w:pStyle w:val="56"/>
        <w:ind w:firstLine="0" w:firstLineChars="0"/>
      </w:pPr>
      <w:r>
        <w:rPr>
          <w:rFonts w:hint="eastAsia"/>
        </w:rPr>
        <w:t xml:space="preserve">1——电源变换装置； </w:t>
      </w:r>
      <w:r>
        <w:t xml:space="preserve">                       4</w:t>
      </w:r>
      <w:r>
        <w:rPr>
          <w:rFonts w:hint="eastAsia"/>
        </w:rPr>
        <w:t>——供电插座；</w:t>
      </w:r>
    </w:p>
    <w:p>
      <w:pPr>
        <w:pStyle w:val="56"/>
        <w:ind w:firstLine="0" w:firstLineChars="0"/>
      </w:pPr>
      <w:r>
        <w:rPr>
          <w:rFonts w:hint="eastAsia"/>
        </w:rPr>
        <w:t xml:space="preserve">2——充电管理系统； </w:t>
      </w:r>
      <w:r>
        <w:t xml:space="preserve">                       5</w:t>
      </w:r>
      <w:r>
        <w:rPr>
          <w:rFonts w:hint="eastAsia"/>
        </w:rPr>
        <w:t>——电缆管理系统；</w:t>
      </w:r>
    </w:p>
    <w:p>
      <w:pPr>
        <w:pStyle w:val="56"/>
        <w:ind w:firstLine="0" w:firstLineChars="0"/>
      </w:pPr>
      <w:r>
        <w:rPr>
          <w:rFonts w:hint="eastAsia"/>
        </w:rPr>
        <w:t xml:space="preserve">3——电缆转接箱； </w:t>
      </w:r>
      <w:r>
        <w:t xml:space="preserve">                         6</w:t>
      </w:r>
      <w:r>
        <w:rPr>
          <w:rFonts w:hint="eastAsia"/>
        </w:rPr>
        <w:t>——蓄电池。</w:t>
      </w:r>
    </w:p>
    <w:p>
      <w:pPr>
        <w:pStyle w:val="56"/>
        <w:ind w:firstLine="0" w:firstLineChars="0"/>
      </w:pPr>
    </w:p>
    <w:p>
      <w:pPr>
        <w:pStyle w:val="56"/>
        <w:ind w:firstLine="0" w:firstLineChars="0"/>
        <w:jc w:val="center"/>
        <w:rPr>
          <w:rFonts w:hAnsi="宋体"/>
        </w:rPr>
      </w:pPr>
      <w:r>
        <w:rPr>
          <w:rFonts w:hint="eastAsia" w:hAnsi="宋体"/>
        </w:rPr>
        <w:t>图A.</w:t>
      </w:r>
      <w:r>
        <w:rPr>
          <w:rFonts w:hAnsi="宋体"/>
        </w:rPr>
        <w:t>2</w:t>
      </w:r>
      <w:r>
        <w:rPr>
          <w:rFonts w:hint="eastAsia" w:hAnsi="宋体"/>
        </w:rPr>
        <w:t>　直流充电模式二示意图</w:t>
      </w:r>
    </w:p>
    <w:p>
      <w:pPr>
        <w:pStyle w:val="56"/>
        <w:ind w:firstLineChars="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pPr>
    </w:p>
    <w:p>
      <w:pPr>
        <w:pStyle w:val="199"/>
      </w:pPr>
    </w:p>
    <w:p>
      <w:pPr>
        <w:pStyle w:val="76"/>
        <w:spacing w:after="156"/>
      </w:pPr>
      <w:r>
        <w:br w:type="textWrapping"/>
      </w:r>
      <w:bookmarkStart w:id="244" w:name="_Toc141973577"/>
      <w:bookmarkStart w:id="245" w:name="_Toc135660421"/>
      <w:bookmarkStart w:id="246" w:name="_Toc135728727"/>
      <w:bookmarkStart w:id="247" w:name="_Toc135210805"/>
      <w:bookmarkStart w:id="248" w:name="_Toc135211397"/>
      <w:bookmarkStart w:id="249" w:name="_Toc134629956"/>
      <w:bookmarkStart w:id="250" w:name="_Toc138077499"/>
      <w:bookmarkStart w:id="251" w:name="_Toc135211573"/>
      <w:bookmarkStart w:id="252" w:name="_Toc141973519"/>
      <w:r>
        <w:rPr>
          <w:rFonts w:hint="eastAsia"/>
        </w:rPr>
        <w:t>（资料性）</w:t>
      </w:r>
      <w:r>
        <w:br w:type="textWrapping"/>
      </w:r>
      <w:r>
        <w:rPr>
          <w:rFonts w:hint="eastAsia"/>
        </w:rPr>
        <w:t>交流充电模式基本组成</w:t>
      </w:r>
      <w:bookmarkEnd w:id="244"/>
      <w:bookmarkEnd w:id="245"/>
      <w:bookmarkEnd w:id="246"/>
      <w:bookmarkEnd w:id="247"/>
      <w:bookmarkEnd w:id="248"/>
      <w:bookmarkEnd w:id="249"/>
      <w:bookmarkEnd w:id="250"/>
      <w:bookmarkEnd w:id="251"/>
      <w:bookmarkEnd w:id="252"/>
    </w:p>
    <w:p>
      <w:pPr>
        <w:pStyle w:val="56"/>
        <w:ind w:firstLine="0" w:firstLineChars="0"/>
      </w:pPr>
      <w:r>
        <w:rPr>
          <w:rFonts w:hint="eastAsia"/>
        </w:rPr>
        <w:t>交流充电模式示意见图B.1和图B.2。</w:t>
      </w:r>
    </w:p>
    <w:p>
      <w:pPr>
        <w:pStyle w:val="56"/>
        <w:ind w:firstLine="0" w:firstLineChars="0"/>
      </w:pPr>
      <w:r>
        <w:drawing>
          <wp:inline distT="0" distB="0" distL="0" distR="0">
            <wp:extent cx="5937885" cy="1896110"/>
            <wp:effectExtent l="0" t="0" r="5715" b="8890"/>
            <wp:docPr id="10998953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895359"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937885" cy="1896110"/>
                    </a:xfrm>
                    <a:prstGeom prst="rect">
                      <a:avLst/>
                    </a:prstGeom>
                    <a:noFill/>
                  </pic:spPr>
                </pic:pic>
              </a:graphicData>
            </a:graphic>
          </wp:inline>
        </w:drawing>
      </w:r>
    </w:p>
    <w:p>
      <w:pPr>
        <w:pStyle w:val="56"/>
        <w:ind w:firstLine="0" w:firstLineChars="0"/>
      </w:pPr>
      <w:bookmarkStart w:id="253" w:name="_Hlk141972691"/>
      <w:r>
        <w:rPr>
          <w:rFonts w:hint="eastAsia"/>
        </w:rPr>
        <w:t>标引序号说明：</w:t>
      </w:r>
    </w:p>
    <w:p>
      <w:pPr>
        <w:pStyle w:val="56"/>
        <w:ind w:firstLine="0" w:firstLineChars="0"/>
      </w:pPr>
      <w:r>
        <w:rPr>
          <w:rFonts w:hint="eastAsia"/>
        </w:rPr>
        <w:t xml:space="preserve">1——电缆转接箱； </w:t>
      </w:r>
      <w:r>
        <w:t xml:space="preserve">                       4</w:t>
      </w:r>
      <w:r>
        <w:rPr>
          <w:rFonts w:hint="eastAsia"/>
        </w:rPr>
        <w:t>——电源变换装置；</w:t>
      </w:r>
    </w:p>
    <w:p>
      <w:pPr>
        <w:pStyle w:val="56"/>
        <w:ind w:firstLine="0" w:firstLineChars="0"/>
      </w:pPr>
      <w:r>
        <w:rPr>
          <w:rFonts w:hint="eastAsia"/>
        </w:rPr>
        <w:t xml:space="preserve">2——电缆管理系统； </w:t>
      </w:r>
      <w:r>
        <w:t xml:space="preserve">                     5</w:t>
      </w:r>
      <w:r>
        <w:rPr>
          <w:rFonts w:hint="eastAsia"/>
        </w:rPr>
        <w:t>——充电管理系统；</w:t>
      </w:r>
    </w:p>
    <w:p>
      <w:pPr>
        <w:pStyle w:val="56"/>
        <w:ind w:firstLine="0" w:firstLineChars="0"/>
      </w:pPr>
      <w:r>
        <w:rPr>
          <w:rFonts w:hint="eastAsia"/>
        </w:rPr>
        <w:t xml:space="preserve">3——受电插座； </w:t>
      </w:r>
      <w:r>
        <w:t xml:space="preserve">                         6</w:t>
      </w:r>
      <w:r>
        <w:rPr>
          <w:rFonts w:hint="eastAsia"/>
        </w:rPr>
        <w:t>——蓄电池。</w:t>
      </w:r>
    </w:p>
    <w:bookmarkEnd w:id="253"/>
    <w:p>
      <w:pPr>
        <w:pStyle w:val="56"/>
        <w:ind w:firstLine="0" w:firstLineChars="0"/>
      </w:pPr>
    </w:p>
    <w:p>
      <w:pPr>
        <w:pStyle w:val="56"/>
        <w:ind w:firstLineChars="0"/>
        <w:jc w:val="center"/>
        <w:rPr>
          <w:rFonts w:hAnsi="宋体"/>
        </w:rPr>
      </w:pPr>
      <w:r>
        <w:rPr>
          <w:rFonts w:hint="eastAsia" w:hAnsi="宋体"/>
        </w:rPr>
        <w:t>图B.1　交流充电模式一示意图</w:t>
      </w:r>
    </w:p>
    <w:p>
      <w:pPr>
        <w:pStyle w:val="56"/>
        <w:ind w:firstLineChars="0"/>
        <w:jc w:val="center"/>
        <w:rPr>
          <w:rFonts w:hAnsi="宋体"/>
        </w:rPr>
      </w:pPr>
    </w:p>
    <w:p>
      <w:pPr>
        <w:pStyle w:val="56"/>
        <w:ind w:firstLineChars="0"/>
        <w:jc w:val="center"/>
        <w:rPr>
          <w:rFonts w:hAnsi="宋体"/>
        </w:rPr>
      </w:pPr>
      <w:r>
        <w:drawing>
          <wp:inline distT="0" distB="0" distL="0" distR="0">
            <wp:extent cx="5939790" cy="1906905"/>
            <wp:effectExtent l="0" t="0" r="3810" b="0"/>
            <wp:docPr id="167988867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888677" name="图片 1"/>
                    <pic:cNvPicPr>
                      <a:picLocks noChangeAspect="1"/>
                    </pic:cNvPicPr>
                  </pic:nvPicPr>
                  <pic:blipFill>
                    <a:blip r:embed="rId17"/>
                    <a:stretch>
                      <a:fillRect/>
                    </a:stretch>
                  </pic:blipFill>
                  <pic:spPr>
                    <a:xfrm>
                      <a:off x="0" y="0"/>
                      <a:ext cx="5939790" cy="1906905"/>
                    </a:xfrm>
                    <a:prstGeom prst="rect">
                      <a:avLst/>
                    </a:prstGeom>
                  </pic:spPr>
                </pic:pic>
              </a:graphicData>
            </a:graphic>
          </wp:inline>
        </w:drawing>
      </w:r>
    </w:p>
    <w:p>
      <w:pPr>
        <w:pStyle w:val="56"/>
        <w:ind w:firstLine="0" w:firstLineChars="0"/>
      </w:pPr>
      <w:r>
        <w:rPr>
          <w:rFonts w:hint="eastAsia"/>
        </w:rPr>
        <w:t>标引序号说明：</w:t>
      </w:r>
    </w:p>
    <w:p>
      <w:pPr>
        <w:pStyle w:val="56"/>
        <w:ind w:firstLine="0" w:firstLineChars="0"/>
      </w:pPr>
      <w:r>
        <w:rPr>
          <w:rFonts w:hint="eastAsia"/>
        </w:rPr>
        <w:t xml:space="preserve">1——电缆转接箱； </w:t>
      </w:r>
      <w:r>
        <w:t xml:space="preserve">                           4</w:t>
      </w:r>
      <w:r>
        <w:rPr>
          <w:rFonts w:hint="eastAsia"/>
        </w:rPr>
        <w:t>——电源变换装置；</w:t>
      </w:r>
    </w:p>
    <w:p>
      <w:pPr>
        <w:pStyle w:val="56"/>
        <w:ind w:firstLine="0" w:firstLineChars="0"/>
      </w:pPr>
      <w:r>
        <w:rPr>
          <w:rFonts w:hint="eastAsia"/>
        </w:rPr>
        <w:t xml:space="preserve">2——供电插座； </w:t>
      </w:r>
      <w:r>
        <w:t xml:space="preserve">                             5</w:t>
      </w:r>
      <w:r>
        <w:rPr>
          <w:rFonts w:hint="eastAsia"/>
        </w:rPr>
        <w:t>——充电管理系统；</w:t>
      </w:r>
    </w:p>
    <w:p>
      <w:pPr>
        <w:pStyle w:val="56"/>
        <w:ind w:firstLine="0" w:firstLineChars="0"/>
      </w:pPr>
      <w:r>
        <w:rPr>
          <w:rFonts w:hint="eastAsia"/>
        </w:rPr>
        <w:t xml:space="preserve">3——电缆管理系统； </w:t>
      </w:r>
      <w:r>
        <w:t xml:space="preserve">                         6</w:t>
      </w:r>
      <w:r>
        <w:rPr>
          <w:rFonts w:hint="eastAsia"/>
        </w:rPr>
        <w:t>——蓄电池。</w:t>
      </w:r>
    </w:p>
    <w:p>
      <w:pPr>
        <w:pStyle w:val="56"/>
        <w:ind w:firstLine="0" w:firstLineChars="0"/>
        <w:rPr>
          <w:rFonts w:ascii="黑体" w:hAnsi="黑体" w:eastAsia="黑体"/>
        </w:rPr>
      </w:pPr>
    </w:p>
    <w:p>
      <w:pPr>
        <w:pStyle w:val="56"/>
        <w:ind w:firstLine="0" w:firstLineChars="0"/>
        <w:jc w:val="center"/>
        <w:rPr>
          <w:rFonts w:hAnsi="宋体"/>
        </w:rPr>
      </w:pPr>
      <w:r>
        <w:rPr>
          <w:rFonts w:hint="eastAsia" w:hAnsi="宋体"/>
        </w:rPr>
        <w:t>图B.2　交流充电模式二示意图</w:t>
      </w:r>
    </w:p>
    <w:p>
      <w:pPr>
        <w:pStyle w:val="56"/>
        <w:ind w:firstLine="0" w:firstLineChars="0"/>
      </w:pPr>
    </w:p>
    <w:p>
      <w:pPr>
        <w:tabs>
          <w:tab w:val="left" w:pos="3120"/>
        </w:tabs>
      </w:pPr>
    </w:p>
    <w:bookmarkEnd w:id="232"/>
    <w:p>
      <w:pPr>
        <w:tabs>
          <w:tab w:val="left" w:pos="3120"/>
        </w:tabs>
        <w:sectPr>
          <w:pgSz w:w="11906" w:h="16838"/>
          <w:pgMar w:top="1928" w:right="1134" w:bottom="1134" w:left="1134" w:header="1418" w:footer="1134" w:gutter="284"/>
          <w:cols w:space="425" w:num="1"/>
          <w:formProt w:val="0"/>
          <w:docGrid w:type="lines" w:linePitch="312" w:charSpace="0"/>
        </w:sectPr>
      </w:pPr>
      <w:bookmarkStart w:id="254" w:name="BookMark6"/>
    </w:p>
    <w:p>
      <w:pPr>
        <w:pStyle w:val="63"/>
        <w:spacing w:after="156"/>
      </w:pPr>
      <w:bookmarkStart w:id="255" w:name="_Toc141973578"/>
      <w:bookmarkStart w:id="256" w:name="_Toc141973520"/>
      <w:r>
        <w:rPr>
          <w:rFonts w:hint="eastAsia"/>
          <w:spacing w:val="105"/>
        </w:rPr>
        <w:t>参考文</w:t>
      </w:r>
      <w:r>
        <w:rPr>
          <w:rFonts w:hint="eastAsia"/>
        </w:rPr>
        <w:t>献</w:t>
      </w:r>
      <w:bookmarkEnd w:id="255"/>
      <w:bookmarkEnd w:id="256"/>
    </w:p>
    <w:p>
      <w:pPr>
        <w:pStyle w:val="56"/>
        <w:ind w:firstLine="420"/>
      </w:pPr>
      <w:r>
        <w:t>[1]</w:t>
      </w:r>
      <w:r>
        <w:rPr>
          <w:rFonts w:hint="eastAsia"/>
        </w:rPr>
        <w:t xml:space="preserve">　GB/T </w:t>
      </w:r>
      <w:r>
        <w:t>19596</w:t>
      </w:r>
      <w:r>
        <w:rPr>
          <w:rFonts w:hint="eastAsia"/>
        </w:rPr>
        <w:t>—201</w:t>
      </w:r>
      <w:r>
        <w:t>7</w:t>
      </w:r>
      <w:r>
        <w:rPr>
          <w:rFonts w:hint="eastAsia"/>
        </w:rPr>
        <w:t>　电动汽车术语</w:t>
      </w:r>
    </w:p>
    <w:p>
      <w:pPr>
        <w:pStyle w:val="56"/>
        <w:ind w:firstLine="420"/>
      </w:pPr>
      <w:r>
        <w:t>[2]</w:t>
      </w:r>
      <w:r>
        <w:rPr>
          <w:rFonts w:hint="eastAsia"/>
        </w:rPr>
        <w:t>　GB/T 41999—2022　港口岸电设施术语</w:t>
      </w:r>
    </w:p>
    <w:bookmarkEnd w:id="254"/>
    <w:p>
      <w:pPr>
        <w:tabs>
          <w:tab w:val="left" w:pos="3120"/>
        </w:tabs>
      </w:pPr>
    </w:p>
    <w:p>
      <w:pPr>
        <w:pStyle w:val="231"/>
        <w:framePr w:wrap="around" w:y="1"/>
      </w:pPr>
      <w:r>
        <w:t>_____________________________</w:t>
      </w:r>
    </w:p>
    <w:p>
      <w:pPr>
        <w:tabs>
          <w:tab w:val="left" w:pos="3120"/>
        </w:tabs>
      </w:pPr>
      <w:bookmarkStart w:id="257" w:name="_GoBack"/>
      <w:bookmarkEnd w:id="257"/>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E-BZ">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DB32/TXXXX—2023</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3773"/>
        </w:tabs>
        <w:ind w:left="3773" w:hanging="648"/>
      </w:pPr>
    </w:lvl>
    <w:lvl w:ilvl="1" w:tentative="0">
      <w:start w:val="1"/>
      <w:numFmt w:val="lowerLetter"/>
      <w:lvlText w:val="%2)"/>
      <w:lvlJc w:val="left"/>
      <w:pPr>
        <w:tabs>
          <w:tab w:val="left" w:pos="3965"/>
        </w:tabs>
        <w:ind w:left="3965" w:hanging="420"/>
      </w:pPr>
    </w:lvl>
    <w:lvl w:ilvl="2" w:tentative="0">
      <w:start w:val="1"/>
      <w:numFmt w:val="lowerRoman"/>
      <w:lvlText w:val="%3."/>
      <w:lvlJc w:val="right"/>
      <w:pPr>
        <w:tabs>
          <w:tab w:val="left" w:pos="4385"/>
        </w:tabs>
        <w:ind w:left="4385" w:hanging="420"/>
      </w:pPr>
    </w:lvl>
    <w:lvl w:ilvl="3" w:tentative="0">
      <w:start w:val="1"/>
      <w:numFmt w:val="decimal"/>
      <w:lvlText w:val="%4."/>
      <w:lvlJc w:val="left"/>
      <w:pPr>
        <w:tabs>
          <w:tab w:val="left" w:pos="4805"/>
        </w:tabs>
        <w:ind w:left="4805" w:hanging="420"/>
      </w:pPr>
    </w:lvl>
    <w:lvl w:ilvl="4" w:tentative="0">
      <w:start w:val="1"/>
      <w:numFmt w:val="lowerLetter"/>
      <w:lvlText w:val="%5)"/>
      <w:lvlJc w:val="left"/>
      <w:pPr>
        <w:tabs>
          <w:tab w:val="left" w:pos="5225"/>
        </w:tabs>
        <w:ind w:left="5225" w:hanging="420"/>
      </w:pPr>
    </w:lvl>
    <w:lvl w:ilvl="5" w:tentative="0">
      <w:start w:val="1"/>
      <w:numFmt w:val="lowerRoman"/>
      <w:lvlText w:val="%6."/>
      <w:lvlJc w:val="right"/>
      <w:pPr>
        <w:tabs>
          <w:tab w:val="left" w:pos="5645"/>
        </w:tabs>
        <w:ind w:left="5645" w:hanging="420"/>
      </w:pPr>
    </w:lvl>
    <w:lvl w:ilvl="6" w:tentative="0">
      <w:start w:val="1"/>
      <w:numFmt w:val="decimal"/>
      <w:lvlText w:val="%7."/>
      <w:lvlJc w:val="left"/>
      <w:pPr>
        <w:tabs>
          <w:tab w:val="left" w:pos="6065"/>
        </w:tabs>
        <w:ind w:left="6065" w:hanging="420"/>
      </w:pPr>
    </w:lvl>
    <w:lvl w:ilvl="7" w:tentative="0">
      <w:start w:val="1"/>
      <w:numFmt w:val="lowerLetter"/>
      <w:lvlText w:val="%8)"/>
      <w:lvlJc w:val="left"/>
      <w:pPr>
        <w:tabs>
          <w:tab w:val="left" w:pos="6485"/>
        </w:tabs>
        <w:ind w:left="6485" w:hanging="420"/>
      </w:pPr>
    </w:lvl>
    <w:lvl w:ilvl="8" w:tentative="0">
      <w:start w:val="1"/>
      <w:numFmt w:val="lowerRoman"/>
      <w:lvlText w:val="%9."/>
      <w:lvlJc w:val="right"/>
      <w:pPr>
        <w:tabs>
          <w:tab w:val="left" w:pos="6905"/>
        </w:tabs>
        <w:ind w:left="6905"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CFE7019"/>
    <w:multiLevelType w:val="multilevel"/>
    <w:tmpl w:val="1CFE7019"/>
    <w:lvl w:ilvl="0" w:tentative="0">
      <w:start w:val="1"/>
      <w:numFmt w:val="lowerLetter"/>
      <w:lvlText w:val="%1)"/>
      <w:lvlJc w:val="left"/>
      <w:pPr>
        <w:tabs>
          <w:tab w:val="left" w:pos="851"/>
        </w:tabs>
        <w:ind w:left="851" w:hanging="426"/>
      </w:pPr>
      <w:rPr>
        <w:rFonts w:hint="eastAsia"/>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3828"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2269"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851" w:firstLine="0"/>
      </w:pPr>
      <w:rPr>
        <w:rFonts w:hint="eastAsia" w:ascii="黑体" w:eastAsia="黑体"/>
        <w:b w:val="0"/>
        <w:i w:val="0"/>
        <w:sz w:val="21"/>
      </w:rPr>
    </w:lvl>
    <w:lvl w:ilvl="4" w:tentative="0">
      <w:start w:val="1"/>
      <w:numFmt w:val="decimal"/>
      <w:pStyle w:val="94"/>
      <w:suff w:val="nothing"/>
      <w:lvlText w:val="%1%2.%3.%4.%5　"/>
      <w:lvlJc w:val="left"/>
      <w:pPr>
        <w:ind w:left="2552"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SK51rsrgXuwPm3b4rR6oqXfDg0JXLLb786dXl/WqXrhDRETYG/7uhFv7KNw8s3G7LVJgA2z4QCqEVqB20QSC5Q==" w:salt="ZLbaD+F6kytnAP8JgKQyq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D77"/>
    <w:rsid w:val="0000040A"/>
    <w:rsid w:val="00000A94"/>
    <w:rsid w:val="00000D0D"/>
    <w:rsid w:val="00000EC7"/>
    <w:rsid w:val="00001972"/>
    <w:rsid w:val="00001D9A"/>
    <w:rsid w:val="00007B3A"/>
    <w:rsid w:val="000107E0"/>
    <w:rsid w:val="00011FDE"/>
    <w:rsid w:val="00012FFD"/>
    <w:rsid w:val="00014162"/>
    <w:rsid w:val="00014340"/>
    <w:rsid w:val="000164BF"/>
    <w:rsid w:val="00016A9C"/>
    <w:rsid w:val="00022184"/>
    <w:rsid w:val="00022762"/>
    <w:rsid w:val="000238E0"/>
    <w:rsid w:val="000249DB"/>
    <w:rsid w:val="0002595E"/>
    <w:rsid w:val="000303C3"/>
    <w:rsid w:val="00031FE6"/>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DAC"/>
    <w:rsid w:val="00055FE2"/>
    <w:rsid w:val="0005616F"/>
    <w:rsid w:val="00060C2E"/>
    <w:rsid w:val="00061033"/>
    <w:rsid w:val="000619E9"/>
    <w:rsid w:val="000622D4"/>
    <w:rsid w:val="0006357D"/>
    <w:rsid w:val="00064BAC"/>
    <w:rsid w:val="00067F1E"/>
    <w:rsid w:val="0007024C"/>
    <w:rsid w:val="000703F0"/>
    <w:rsid w:val="00071CC0"/>
    <w:rsid w:val="00073C8C"/>
    <w:rsid w:val="00074C56"/>
    <w:rsid w:val="000767CF"/>
    <w:rsid w:val="00077B64"/>
    <w:rsid w:val="00080A1C"/>
    <w:rsid w:val="00082317"/>
    <w:rsid w:val="00083D2C"/>
    <w:rsid w:val="00086AA1"/>
    <w:rsid w:val="00087A77"/>
    <w:rsid w:val="0009000F"/>
    <w:rsid w:val="00090CA6"/>
    <w:rsid w:val="00092B8A"/>
    <w:rsid w:val="00092FB0"/>
    <w:rsid w:val="000934C5"/>
    <w:rsid w:val="00093D25"/>
    <w:rsid w:val="00093DAB"/>
    <w:rsid w:val="00094D73"/>
    <w:rsid w:val="00096D63"/>
    <w:rsid w:val="000A0808"/>
    <w:rsid w:val="000A0B60"/>
    <w:rsid w:val="000A0EB8"/>
    <w:rsid w:val="000A19FC"/>
    <w:rsid w:val="000A296B"/>
    <w:rsid w:val="000A5D5B"/>
    <w:rsid w:val="000A7311"/>
    <w:rsid w:val="000B060F"/>
    <w:rsid w:val="000B1592"/>
    <w:rsid w:val="000B1FF2"/>
    <w:rsid w:val="000B373F"/>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BCC"/>
    <w:rsid w:val="000D753B"/>
    <w:rsid w:val="000E1F6C"/>
    <w:rsid w:val="000E262C"/>
    <w:rsid w:val="000E305C"/>
    <w:rsid w:val="000E4C9E"/>
    <w:rsid w:val="000E6FD7"/>
    <w:rsid w:val="000F06E1"/>
    <w:rsid w:val="000F0E3C"/>
    <w:rsid w:val="000F19D5"/>
    <w:rsid w:val="000F1FFC"/>
    <w:rsid w:val="000F26A2"/>
    <w:rsid w:val="000F4AEA"/>
    <w:rsid w:val="000F633F"/>
    <w:rsid w:val="000F67E9"/>
    <w:rsid w:val="000F779B"/>
    <w:rsid w:val="001016D0"/>
    <w:rsid w:val="00104926"/>
    <w:rsid w:val="00113B1E"/>
    <w:rsid w:val="00115E8F"/>
    <w:rsid w:val="00116AD0"/>
    <w:rsid w:val="0011711C"/>
    <w:rsid w:val="0012059C"/>
    <w:rsid w:val="00120CA4"/>
    <w:rsid w:val="00124E4F"/>
    <w:rsid w:val="0012597F"/>
    <w:rsid w:val="001260B7"/>
    <w:rsid w:val="001265CB"/>
    <w:rsid w:val="0013179C"/>
    <w:rsid w:val="001321C6"/>
    <w:rsid w:val="001325C4"/>
    <w:rsid w:val="00133010"/>
    <w:rsid w:val="001338EE"/>
    <w:rsid w:val="00133AAE"/>
    <w:rsid w:val="001345E1"/>
    <w:rsid w:val="00135323"/>
    <w:rsid w:val="001356C4"/>
    <w:rsid w:val="00141114"/>
    <w:rsid w:val="00141EBB"/>
    <w:rsid w:val="0014207E"/>
    <w:rsid w:val="00142969"/>
    <w:rsid w:val="001446C2"/>
    <w:rsid w:val="001457E7"/>
    <w:rsid w:val="00145D9D"/>
    <w:rsid w:val="00146388"/>
    <w:rsid w:val="001529E5"/>
    <w:rsid w:val="00152DA3"/>
    <w:rsid w:val="00153C7E"/>
    <w:rsid w:val="001551B7"/>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E78"/>
    <w:rsid w:val="0017340B"/>
    <w:rsid w:val="00173FB1"/>
    <w:rsid w:val="00176DFD"/>
    <w:rsid w:val="001852C9"/>
    <w:rsid w:val="00190087"/>
    <w:rsid w:val="001913C4"/>
    <w:rsid w:val="0019203B"/>
    <w:rsid w:val="0019348F"/>
    <w:rsid w:val="00193A07"/>
    <w:rsid w:val="00194C95"/>
    <w:rsid w:val="00195C34"/>
    <w:rsid w:val="00196EF5"/>
    <w:rsid w:val="001973A9"/>
    <w:rsid w:val="001A1A53"/>
    <w:rsid w:val="001A234A"/>
    <w:rsid w:val="001A4CF3"/>
    <w:rsid w:val="001A7590"/>
    <w:rsid w:val="001B00E9"/>
    <w:rsid w:val="001B06E8"/>
    <w:rsid w:val="001B4D62"/>
    <w:rsid w:val="001B71D0"/>
    <w:rsid w:val="001B71EE"/>
    <w:rsid w:val="001C04A8"/>
    <w:rsid w:val="001C0B58"/>
    <w:rsid w:val="001C1D17"/>
    <w:rsid w:val="001C2A4A"/>
    <w:rsid w:val="001C2C03"/>
    <w:rsid w:val="001C42F7"/>
    <w:rsid w:val="001C49E5"/>
    <w:rsid w:val="001C680C"/>
    <w:rsid w:val="001C7FEA"/>
    <w:rsid w:val="001D0499"/>
    <w:rsid w:val="001D0BBE"/>
    <w:rsid w:val="001D0ED4"/>
    <w:rsid w:val="001D212F"/>
    <w:rsid w:val="001D29D7"/>
    <w:rsid w:val="001D2DE7"/>
    <w:rsid w:val="001D3275"/>
    <w:rsid w:val="001D411C"/>
    <w:rsid w:val="001E1B6A"/>
    <w:rsid w:val="001E2484"/>
    <w:rsid w:val="001E3CC4"/>
    <w:rsid w:val="001E4882"/>
    <w:rsid w:val="001E5394"/>
    <w:rsid w:val="001E73AB"/>
    <w:rsid w:val="001F092D"/>
    <w:rsid w:val="001F143A"/>
    <w:rsid w:val="001F1605"/>
    <w:rsid w:val="001F1741"/>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308C"/>
    <w:rsid w:val="00223E62"/>
    <w:rsid w:val="00224702"/>
    <w:rsid w:val="002253A1"/>
    <w:rsid w:val="00225CF8"/>
    <w:rsid w:val="0022794E"/>
    <w:rsid w:val="00232E9E"/>
    <w:rsid w:val="00233D00"/>
    <w:rsid w:val="00233D64"/>
    <w:rsid w:val="002344C0"/>
    <w:rsid w:val="0023482A"/>
    <w:rsid w:val="002359CB"/>
    <w:rsid w:val="00243540"/>
    <w:rsid w:val="0024497B"/>
    <w:rsid w:val="0024515B"/>
    <w:rsid w:val="00246021"/>
    <w:rsid w:val="0024666E"/>
    <w:rsid w:val="00247F52"/>
    <w:rsid w:val="00250B25"/>
    <w:rsid w:val="00250BBE"/>
    <w:rsid w:val="002515C2"/>
    <w:rsid w:val="0025194F"/>
    <w:rsid w:val="002527E0"/>
    <w:rsid w:val="0026148A"/>
    <w:rsid w:val="00262696"/>
    <w:rsid w:val="002627A5"/>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97961"/>
    <w:rsid w:val="002A084B"/>
    <w:rsid w:val="002A1260"/>
    <w:rsid w:val="002A1589"/>
    <w:rsid w:val="002A1608"/>
    <w:rsid w:val="002A25DC"/>
    <w:rsid w:val="002A3AAB"/>
    <w:rsid w:val="002A4B9D"/>
    <w:rsid w:val="002A4CEA"/>
    <w:rsid w:val="002A53AE"/>
    <w:rsid w:val="002A5977"/>
    <w:rsid w:val="002A5A13"/>
    <w:rsid w:val="002A757F"/>
    <w:rsid w:val="002A7F44"/>
    <w:rsid w:val="002B0C40"/>
    <w:rsid w:val="002B1966"/>
    <w:rsid w:val="002B4508"/>
    <w:rsid w:val="002B5779"/>
    <w:rsid w:val="002B7332"/>
    <w:rsid w:val="002B7F51"/>
    <w:rsid w:val="002C09E7"/>
    <w:rsid w:val="002C1E06"/>
    <w:rsid w:val="002C1E1C"/>
    <w:rsid w:val="002C2A0D"/>
    <w:rsid w:val="002C3F07"/>
    <w:rsid w:val="002C5278"/>
    <w:rsid w:val="002C7EBB"/>
    <w:rsid w:val="002D06C1"/>
    <w:rsid w:val="002D22AE"/>
    <w:rsid w:val="002D42B5"/>
    <w:rsid w:val="002D4F1A"/>
    <w:rsid w:val="002D6EC6"/>
    <w:rsid w:val="002D79AC"/>
    <w:rsid w:val="002E039D"/>
    <w:rsid w:val="002E49F6"/>
    <w:rsid w:val="002E4D5A"/>
    <w:rsid w:val="002E6326"/>
    <w:rsid w:val="002F30E0"/>
    <w:rsid w:val="002F35E4"/>
    <w:rsid w:val="002F3730"/>
    <w:rsid w:val="002F38E1"/>
    <w:rsid w:val="002F7AF6"/>
    <w:rsid w:val="00300884"/>
    <w:rsid w:val="00300E63"/>
    <w:rsid w:val="00302F5F"/>
    <w:rsid w:val="0030441D"/>
    <w:rsid w:val="00306063"/>
    <w:rsid w:val="00313B85"/>
    <w:rsid w:val="00316146"/>
    <w:rsid w:val="003166C6"/>
    <w:rsid w:val="00317988"/>
    <w:rsid w:val="003221B4"/>
    <w:rsid w:val="0032258D"/>
    <w:rsid w:val="00322E62"/>
    <w:rsid w:val="00324D13"/>
    <w:rsid w:val="00324D2A"/>
    <w:rsid w:val="00324EDD"/>
    <w:rsid w:val="003325C7"/>
    <w:rsid w:val="003331E4"/>
    <w:rsid w:val="00336C64"/>
    <w:rsid w:val="00337162"/>
    <w:rsid w:val="0034194F"/>
    <w:rsid w:val="00344605"/>
    <w:rsid w:val="003474AA"/>
    <w:rsid w:val="00350418"/>
    <w:rsid w:val="00350D1D"/>
    <w:rsid w:val="00352C83"/>
    <w:rsid w:val="0035549E"/>
    <w:rsid w:val="003615D2"/>
    <w:rsid w:val="00363BE1"/>
    <w:rsid w:val="0036429C"/>
    <w:rsid w:val="00364A53"/>
    <w:rsid w:val="003654CB"/>
    <w:rsid w:val="00365AA9"/>
    <w:rsid w:val="00365F86"/>
    <w:rsid w:val="00365F87"/>
    <w:rsid w:val="00366E89"/>
    <w:rsid w:val="003705F4"/>
    <w:rsid w:val="00370D58"/>
    <w:rsid w:val="00371316"/>
    <w:rsid w:val="00374A21"/>
    <w:rsid w:val="00375466"/>
    <w:rsid w:val="00376713"/>
    <w:rsid w:val="00381815"/>
    <w:rsid w:val="003819AF"/>
    <w:rsid w:val="003820E9"/>
    <w:rsid w:val="00382DE7"/>
    <w:rsid w:val="00384FFC"/>
    <w:rsid w:val="003872FC"/>
    <w:rsid w:val="00387ADC"/>
    <w:rsid w:val="00390020"/>
    <w:rsid w:val="003903D6"/>
    <w:rsid w:val="00390EE6"/>
    <w:rsid w:val="0039118F"/>
    <w:rsid w:val="003929BF"/>
    <w:rsid w:val="00392AD7"/>
    <w:rsid w:val="003938D9"/>
    <w:rsid w:val="00394376"/>
    <w:rsid w:val="003943FF"/>
    <w:rsid w:val="00395700"/>
    <w:rsid w:val="00397304"/>
    <w:rsid w:val="003974EB"/>
    <w:rsid w:val="00397CC5"/>
    <w:rsid w:val="003A14E0"/>
    <w:rsid w:val="003A1582"/>
    <w:rsid w:val="003A3F3E"/>
    <w:rsid w:val="003A4077"/>
    <w:rsid w:val="003A69D6"/>
    <w:rsid w:val="003A7727"/>
    <w:rsid w:val="003B09AD"/>
    <w:rsid w:val="003B1F18"/>
    <w:rsid w:val="003B5BF0"/>
    <w:rsid w:val="003B5DAF"/>
    <w:rsid w:val="003B60BF"/>
    <w:rsid w:val="003B6BE3"/>
    <w:rsid w:val="003C010C"/>
    <w:rsid w:val="003C0A6C"/>
    <w:rsid w:val="003C14F8"/>
    <w:rsid w:val="003C5A43"/>
    <w:rsid w:val="003D0519"/>
    <w:rsid w:val="003D0FF6"/>
    <w:rsid w:val="003D10B9"/>
    <w:rsid w:val="003D262C"/>
    <w:rsid w:val="003D6D61"/>
    <w:rsid w:val="003D79C6"/>
    <w:rsid w:val="003E091D"/>
    <w:rsid w:val="003E1C53"/>
    <w:rsid w:val="003E2A69"/>
    <w:rsid w:val="003E2D49"/>
    <w:rsid w:val="003E2FD4"/>
    <w:rsid w:val="003E3EC6"/>
    <w:rsid w:val="003E49F6"/>
    <w:rsid w:val="003E660F"/>
    <w:rsid w:val="003F0841"/>
    <w:rsid w:val="003F23D3"/>
    <w:rsid w:val="003F3F08"/>
    <w:rsid w:val="003F4378"/>
    <w:rsid w:val="003F476A"/>
    <w:rsid w:val="003F49F1"/>
    <w:rsid w:val="003F5146"/>
    <w:rsid w:val="003F6272"/>
    <w:rsid w:val="00400B7B"/>
    <w:rsid w:val="00400E72"/>
    <w:rsid w:val="00401400"/>
    <w:rsid w:val="00403D8E"/>
    <w:rsid w:val="00404869"/>
    <w:rsid w:val="00405884"/>
    <w:rsid w:val="00407D39"/>
    <w:rsid w:val="0041477A"/>
    <w:rsid w:val="004167A3"/>
    <w:rsid w:val="00417964"/>
    <w:rsid w:val="00421640"/>
    <w:rsid w:val="00423FDA"/>
    <w:rsid w:val="00432DAA"/>
    <w:rsid w:val="00434305"/>
    <w:rsid w:val="00435DF7"/>
    <w:rsid w:val="0044083F"/>
    <w:rsid w:val="00441AE7"/>
    <w:rsid w:val="00445574"/>
    <w:rsid w:val="004467FB"/>
    <w:rsid w:val="00452D6B"/>
    <w:rsid w:val="00454484"/>
    <w:rsid w:val="0045517B"/>
    <w:rsid w:val="00460D9E"/>
    <w:rsid w:val="00461B0D"/>
    <w:rsid w:val="00463B77"/>
    <w:rsid w:val="00463C7B"/>
    <w:rsid w:val="004644A6"/>
    <w:rsid w:val="004659BD"/>
    <w:rsid w:val="00470775"/>
    <w:rsid w:val="004746B1"/>
    <w:rsid w:val="0047583F"/>
    <w:rsid w:val="00475B22"/>
    <w:rsid w:val="00475DE8"/>
    <w:rsid w:val="00481C44"/>
    <w:rsid w:val="004839CB"/>
    <w:rsid w:val="00484936"/>
    <w:rsid w:val="00485C89"/>
    <w:rsid w:val="00486BE3"/>
    <w:rsid w:val="004905E4"/>
    <w:rsid w:val="00490A89"/>
    <w:rsid w:val="00490AB4"/>
    <w:rsid w:val="00492F02"/>
    <w:rsid w:val="004939AE"/>
    <w:rsid w:val="004A12DF"/>
    <w:rsid w:val="004A17E6"/>
    <w:rsid w:val="004A1BA8"/>
    <w:rsid w:val="004A2010"/>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6E32"/>
    <w:rsid w:val="004F391A"/>
    <w:rsid w:val="004F3CFB"/>
    <w:rsid w:val="004F6456"/>
    <w:rsid w:val="004F696E"/>
    <w:rsid w:val="004F6C71"/>
    <w:rsid w:val="00501139"/>
    <w:rsid w:val="00501F35"/>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CF1"/>
    <w:rsid w:val="0053264A"/>
    <w:rsid w:val="00533D04"/>
    <w:rsid w:val="00534804"/>
    <w:rsid w:val="00534BDF"/>
    <w:rsid w:val="005354EA"/>
    <w:rsid w:val="00535509"/>
    <w:rsid w:val="0053585F"/>
    <w:rsid w:val="00535EC4"/>
    <w:rsid w:val="00535ED9"/>
    <w:rsid w:val="0053692B"/>
    <w:rsid w:val="00541853"/>
    <w:rsid w:val="00543BDA"/>
    <w:rsid w:val="005441CC"/>
    <w:rsid w:val="00544564"/>
    <w:rsid w:val="005479DA"/>
    <w:rsid w:val="00547BCC"/>
    <w:rsid w:val="0055013B"/>
    <w:rsid w:val="00550945"/>
    <w:rsid w:val="005519B3"/>
    <w:rsid w:val="00551F6F"/>
    <w:rsid w:val="00555044"/>
    <w:rsid w:val="00561475"/>
    <w:rsid w:val="0056487B"/>
    <w:rsid w:val="00564FB9"/>
    <w:rsid w:val="005677CC"/>
    <w:rsid w:val="00573D9E"/>
    <w:rsid w:val="005801E3"/>
    <w:rsid w:val="00581802"/>
    <w:rsid w:val="005836A8"/>
    <w:rsid w:val="0058409C"/>
    <w:rsid w:val="00584262"/>
    <w:rsid w:val="00586630"/>
    <w:rsid w:val="00587ADD"/>
    <w:rsid w:val="0059114E"/>
    <w:rsid w:val="0059178E"/>
    <w:rsid w:val="00591E27"/>
    <w:rsid w:val="0059249C"/>
    <w:rsid w:val="00596160"/>
    <w:rsid w:val="005966E2"/>
    <w:rsid w:val="00597007"/>
    <w:rsid w:val="005A0966"/>
    <w:rsid w:val="005A11B7"/>
    <w:rsid w:val="005A2031"/>
    <w:rsid w:val="005A260B"/>
    <w:rsid w:val="005A3694"/>
    <w:rsid w:val="005A49DF"/>
    <w:rsid w:val="005A4A1B"/>
    <w:rsid w:val="005A7830"/>
    <w:rsid w:val="005A7FCE"/>
    <w:rsid w:val="005B0F3F"/>
    <w:rsid w:val="005B313F"/>
    <w:rsid w:val="005B4903"/>
    <w:rsid w:val="005B4EC3"/>
    <w:rsid w:val="005B51CE"/>
    <w:rsid w:val="005B5885"/>
    <w:rsid w:val="005B5CD7"/>
    <w:rsid w:val="005B63DF"/>
    <w:rsid w:val="005B6CF6"/>
    <w:rsid w:val="005B7422"/>
    <w:rsid w:val="005C29B8"/>
    <w:rsid w:val="005C53BD"/>
    <w:rsid w:val="005C56C3"/>
    <w:rsid w:val="005C5F21"/>
    <w:rsid w:val="005C7156"/>
    <w:rsid w:val="005D0C75"/>
    <w:rsid w:val="005D4171"/>
    <w:rsid w:val="005D6A95"/>
    <w:rsid w:val="005D6B2C"/>
    <w:rsid w:val="005D6D9C"/>
    <w:rsid w:val="005E2335"/>
    <w:rsid w:val="005E34CA"/>
    <w:rsid w:val="005E3C18"/>
    <w:rsid w:val="005E584E"/>
    <w:rsid w:val="005E6812"/>
    <w:rsid w:val="005E7881"/>
    <w:rsid w:val="005E78E0"/>
    <w:rsid w:val="005F0D9C"/>
    <w:rsid w:val="005F284E"/>
    <w:rsid w:val="005F4712"/>
    <w:rsid w:val="006015CE"/>
    <w:rsid w:val="00604784"/>
    <w:rsid w:val="00604CC2"/>
    <w:rsid w:val="00606419"/>
    <w:rsid w:val="00607D29"/>
    <w:rsid w:val="00612952"/>
    <w:rsid w:val="006137BB"/>
    <w:rsid w:val="00614CC1"/>
    <w:rsid w:val="00615A9D"/>
    <w:rsid w:val="00617387"/>
    <w:rsid w:val="006205D6"/>
    <w:rsid w:val="006211A6"/>
    <w:rsid w:val="006252D8"/>
    <w:rsid w:val="006259BC"/>
    <w:rsid w:val="0062636B"/>
    <w:rsid w:val="00630D15"/>
    <w:rsid w:val="0063111C"/>
    <w:rsid w:val="00632182"/>
    <w:rsid w:val="00632AE0"/>
    <w:rsid w:val="00633C17"/>
    <w:rsid w:val="00634521"/>
    <w:rsid w:val="00634D9E"/>
    <w:rsid w:val="00636E3E"/>
    <w:rsid w:val="006379F7"/>
    <w:rsid w:val="00637E4D"/>
    <w:rsid w:val="00640620"/>
    <w:rsid w:val="00641A1F"/>
    <w:rsid w:val="00642F86"/>
    <w:rsid w:val="00645904"/>
    <w:rsid w:val="00651ACB"/>
    <w:rsid w:val="00651C47"/>
    <w:rsid w:val="00652AB2"/>
    <w:rsid w:val="00653FED"/>
    <w:rsid w:val="00654EC0"/>
    <w:rsid w:val="0065525B"/>
    <w:rsid w:val="00655D4F"/>
    <w:rsid w:val="00656D29"/>
    <w:rsid w:val="006640E5"/>
    <w:rsid w:val="006646F1"/>
    <w:rsid w:val="006646FB"/>
    <w:rsid w:val="00664929"/>
    <w:rsid w:val="00664F62"/>
    <w:rsid w:val="006655E1"/>
    <w:rsid w:val="0066796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1369"/>
    <w:rsid w:val="006B2672"/>
    <w:rsid w:val="006B54BF"/>
    <w:rsid w:val="006B5F44"/>
    <w:rsid w:val="006B5F90"/>
    <w:rsid w:val="006B62E4"/>
    <w:rsid w:val="006B7EB5"/>
    <w:rsid w:val="006C05E9"/>
    <w:rsid w:val="006C1BBA"/>
    <w:rsid w:val="006C2079"/>
    <w:rsid w:val="006C5A62"/>
    <w:rsid w:val="006C5D68"/>
    <w:rsid w:val="006C6976"/>
    <w:rsid w:val="006C6DD0"/>
    <w:rsid w:val="006D04EA"/>
    <w:rsid w:val="006D0AB7"/>
    <w:rsid w:val="006D16C4"/>
    <w:rsid w:val="006D3E96"/>
    <w:rsid w:val="006D4515"/>
    <w:rsid w:val="006D4BB1"/>
    <w:rsid w:val="006D6593"/>
    <w:rsid w:val="006E1F9A"/>
    <w:rsid w:val="006E23EA"/>
    <w:rsid w:val="006F03A8"/>
    <w:rsid w:val="006F2ACA"/>
    <w:rsid w:val="006F2ADC"/>
    <w:rsid w:val="006F2BFE"/>
    <w:rsid w:val="006F31E9"/>
    <w:rsid w:val="006F6284"/>
    <w:rsid w:val="007002C5"/>
    <w:rsid w:val="00704387"/>
    <w:rsid w:val="00707669"/>
    <w:rsid w:val="00707A92"/>
    <w:rsid w:val="00711CBA"/>
    <w:rsid w:val="00711FB5"/>
    <w:rsid w:val="00712A01"/>
    <w:rsid w:val="00714F58"/>
    <w:rsid w:val="007215F9"/>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50A"/>
    <w:rsid w:val="00753680"/>
    <w:rsid w:val="00753ABF"/>
    <w:rsid w:val="00755402"/>
    <w:rsid w:val="00756B26"/>
    <w:rsid w:val="00756EDF"/>
    <w:rsid w:val="007600E3"/>
    <w:rsid w:val="007616B6"/>
    <w:rsid w:val="00765C43"/>
    <w:rsid w:val="00765EFB"/>
    <w:rsid w:val="007671CA"/>
    <w:rsid w:val="00767C61"/>
    <w:rsid w:val="0077008A"/>
    <w:rsid w:val="00773C1F"/>
    <w:rsid w:val="00774DA4"/>
    <w:rsid w:val="00775BBA"/>
    <w:rsid w:val="00776599"/>
    <w:rsid w:val="0078114B"/>
    <w:rsid w:val="00781DD2"/>
    <w:rsid w:val="0078317F"/>
    <w:rsid w:val="00783ECF"/>
    <w:rsid w:val="0078413A"/>
    <w:rsid w:val="007904F2"/>
    <w:rsid w:val="00792FC7"/>
    <w:rsid w:val="00794D32"/>
    <w:rsid w:val="007959E8"/>
    <w:rsid w:val="00795E9C"/>
    <w:rsid w:val="007A0521"/>
    <w:rsid w:val="007A2E12"/>
    <w:rsid w:val="007A3475"/>
    <w:rsid w:val="007A370F"/>
    <w:rsid w:val="007A41C8"/>
    <w:rsid w:val="007A54CE"/>
    <w:rsid w:val="007A6FD9"/>
    <w:rsid w:val="007A7FFA"/>
    <w:rsid w:val="007B04EB"/>
    <w:rsid w:val="007B0D4F"/>
    <w:rsid w:val="007B5A3D"/>
    <w:rsid w:val="007B5B95"/>
    <w:rsid w:val="007B68EA"/>
    <w:rsid w:val="007B7453"/>
    <w:rsid w:val="007C1E8B"/>
    <w:rsid w:val="007C2D89"/>
    <w:rsid w:val="007C4593"/>
    <w:rsid w:val="007C4923"/>
    <w:rsid w:val="007C5309"/>
    <w:rsid w:val="007C6069"/>
    <w:rsid w:val="007C67BB"/>
    <w:rsid w:val="007D06C4"/>
    <w:rsid w:val="007D1352"/>
    <w:rsid w:val="007D2508"/>
    <w:rsid w:val="007D346A"/>
    <w:rsid w:val="007D47D5"/>
    <w:rsid w:val="007D6518"/>
    <w:rsid w:val="007D76BD"/>
    <w:rsid w:val="007E0BF1"/>
    <w:rsid w:val="007E15DF"/>
    <w:rsid w:val="007F0ED8"/>
    <w:rsid w:val="007F0F63"/>
    <w:rsid w:val="007F1FF7"/>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BC2"/>
    <w:rsid w:val="008269DD"/>
    <w:rsid w:val="00830621"/>
    <w:rsid w:val="0083348C"/>
    <w:rsid w:val="008373D3"/>
    <w:rsid w:val="00840617"/>
    <w:rsid w:val="00840F84"/>
    <w:rsid w:val="00842A47"/>
    <w:rsid w:val="00843C13"/>
    <w:rsid w:val="008454F8"/>
    <w:rsid w:val="00847423"/>
    <w:rsid w:val="0085173A"/>
    <w:rsid w:val="00855777"/>
    <w:rsid w:val="00856316"/>
    <w:rsid w:val="008603CE"/>
    <w:rsid w:val="00860B3A"/>
    <w:rsid w:val="00860CD6"/>
    <w:rsid w:val="008620FC"/>
    <w:rsid w:val="008627A5"/>
    <w:rsid w:val="00863E05"/>
    <w:rsid w:val="00865ACA"/>
    <w:rsid w:val="00865D28"/>
    <w:rsid w:val="00865F85"/>
    <w:rsid w:val="00867C10"/>
    <w:rsid w:val="00870439"/>
    <w:rsid w:val="00870DA1"/>
    <w:rsid w:val="00871C73"/>
    <w:rsid w:val="0087313D"/>
    <w:rsid w:val="00883F93"/>
    <w:rsid w:val="00884DB3"/>
    <w:rsid w:val="00885A9D"/>
    <w:rsid w:val="008864F6"/>
    <w:rsid w:val="0089049D"/>
    <w:rsid w:val="008928C9"/>
    <w:rsid w:val="008930CB"/>
    <w:rsid w:val="00893188"/>
    <w:rsid w:val="008938DC"/>
    <w:rsid w:val="00893FD1"/>
    <w:rsid w:val="00894836"/>
    <w:rsid w:val="00895172"/>
    <w:rsid w:val="00895680"/>
    <w:rsid w:val="00896DFF"/>
    <w:rsid w:val="0089762C"/>
    <w:rsid w:val="008A1893"/>
    <w:rsid w:val="008A3215"/>
    <w:rsid w:val="008A57E6"/>
    <w:rsid w:val="008A5C4A"/>
    <w:rsid w:val="008A6F81"/>
    <w:rsid w:val="008A769A"/>
    <w:rsid w:val="008B0C9C"/>
    <w:rsid w:val="008B166D"/>
    <w:rsid w:val="008B17F4"/>
    <w:rsid w:val="008B3615"/>
    <w:rsid w:val="008B46CE"/>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0FA"/>
    <w:rsid w:val="008F70BD"/>
    <w:rsid w:val="008F788F"/>
    <w:rsid w:val="008F7EA2"/>
    <w:rsid w:val="009025DD"/>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24FF"/>
    <w:rsid w:val="0096322A"/>
    <w:rsid w:val="009636FE"/>
    <w:rsid w:val="0096381A"/>
    <w:rsid w:val="00965C05"/>
    <w:rsid w:val="00965E04"/>
    <w:rsid w:val="009674AD"/>
    <w:rsid w:val="00970CDC"/>
    <w:rsid w:val="009763F9"/>
    <w:rsid w:val="00977010"/>
    <w:rsid w:val="00977D02"/>
    <w:rsid w:val="009809BB"/>
    <w:rsid w:val="0098364B"/>
    <w:rsid w:val="00983C7E"/>
    <w:rsid w:val="009911AF"/>
    <w:rsid w:val="00991875"/>
    <w:rsid w:val="00991F92"/>
    <w:rsid w:val="00992985"/>
    <w:rsid w:val="00993889"/>
    <w:rsid w:val="0099551B"/>
    <w:rsid w:val="00997BF1"/>
    <w:rsid w:val="009A089C"/>
    <w:rsid w:val="009A118E"/>
    <w:rsid w:val="009A2011"/>
    <w:rsid w:val="009A21CD"/>
    <w:rsid w:val="009A278C"/>
    <w:rsid w:val="009A2BC2"/>
    <w:rsid w:val="009A3DF8"/>
    <w:rsid w:val="009A42C1"/>
    <w:rsid w:val="009A5429"/>
    <w:rsid w:val="009A72AD"/>
    <w:rsid w:val="009B09E0"/>
    <w:rsid w:val="009B0BC5"/>
    <w:rsid w:val="009B1247"/>
    <w:rsid w:val="009B3E86"/>
    <w:rsid w:val="009B46F9"/>
    <w:rsid w:val="009B6029"/>
    <w:rsid w:val="009B6971"/>
    <w:rsid w:val="009C27F1"/>
    <w:rsid w:val="009C3152"/>
    <w:rsid w:val="009C4CFA"/>
    <w:rsid w:val="009C5070"/>
    <w:rsid w:val="009D1042"/>
    <w:rsid w:val="009D112C"/>
    <w:rsid w:val="009D26B5"/>
    <w:rsid w:val="009D47FA"/>
    <w:rsid w:val="009D4C5B"/>
    <w:rsid w:val="009D50D2"/>
    <w:rsid w:val="009D6BCA"/>
    <w:rsid w:val="009E0C7E"/>
    <w:rsid w:val="009E0F62"/>
    <w:rsid w:val="009E23C7"/>
    <w:rsid w:val="009E4A58"/>
    <w:rsid w:val="009E5A2D"/>
    <w:rsid w:val="009E5AB2"/>
    <w:rsid w:val="009E6219"/>
    <w:rsid w:val="009E7527"/>
    <w:rsid w:val="009F03B3"/>
    <w:rsid w:val="009F5CE0"/>
    <w:rsid w:val="00A0096C"/>
    <w:rsid w:val="00A01757"/>
    <w:rsid w:val="00A0238E"/>
    <w:rsid w:val="00A028C0"/>
    <w:rsid w:val="00A02BAE"/>
    <w:rsid w:val="00A05868"/>
    <w:rsid w:val="00A06A6B"/>
    <w:rsid w:val="00A07E47"/>
    <w:rsid w:val="00A10638"/>
    <w:rsid w:val="00A129D0"/>
    <w:rsid w:val="00A12C33"/>
    <w:rsid w:val="00A138BA"/>
    <w:rsid w:val="00A14C8E"/>
    <w:rsid w:val="00A153D9"/>
    <w:rsid w:val="00A15F09"/>
    <w:rsid w:val="00A169B6"/>
    <w:rsid w:val="00A204EE"/>
    <w:rsid w:val="00A213DF"/>
    <w:rsid w:val="00A2271D"/>
    <w:rsid w:val="00A237D5"/>
    <w:rsid w:val="00A30A46"/>
    <w:rsid w:val="00A30EFC"/>
    <w:rsid w:val="00A3110B"/>
    <w:rsid w:val="00A31984"/>
    <w:rsid w:val="00A32D73"/>
    <w:rsid w:val="00A3367B"/>
    <w:rsid w:val="00A336CB"/>
    <w:rsid w:val="00A3597D"/>
    <w:rsid w:val="00A36DD1"/>
    <w:rsid w:val="00A4006C"/>
    <w:rsid w:val="00A40091"/>
    <w:rsid w:val="00A4030F"/>
    <w:rsid w:val="00A41C79"/>
    <w:rsid w:val="00A41CB5"/>
    <w:rsid w:val="00A42CDF"/>
    <w:rsid w:val="00A4452E"/>
    <w:rsid w:val="00A4472C"/>
    <w:rsid w:val="00A44E69"/>
    <w:rsid w:val="00A4661E"/>
    <w:rsid w:val="00A46FEA"/>
    <w:rsid w:val="00A55BD6"/>
    <w:rsid w:val="00A55D50"/>
    <w:rsid w:val="00A57142"/>
    <w:rsid w:val="00A648CD"/>
    <w:rsid w:val="00A65101"/>
    <w:rsid w:val="00A6537A"/>
    <w:rsid w:val="00A67866"/>
    <w:rsid w:val="00A67F27"/>
    <w:rsid w:val="00A70B07"/>
    <w:rsid w:val="00A722BA"/>
    <w:rsid w:val="00A723F8"/>
    <w:rsid w:val="00A77CCB"/>
    <w:rsid w:val="00A8335F"/>
    <w:rsid w:val="00A83D8D"/>
    <w:rsid w:val="00A8446B"/>
    <w:rsid w:val="00A8473F"/>
    <w:rsid w:val="00A862D6"/>
    <w:rsid w:val="00A8715E"/>
    <w:rsid w:val="00A915B9"/>
    <w:rsid w:val="00A9295B"/>
    <w:rsid w:val="00A93B09"/>
    <w:rsid w:val="00A94247"/>
    <w:rsid w:val="00A94C7E"/>
    <w:rsid w:val="00A952D7"/>
    <w:rsid w:val="00A963F7"/>
    <w:rsid w:val="00A96AD8"/>
    <w:rsid w:val="00AA052C"/>
    <w:rsid w:val="00AA0C65"/>
    <w:rsid w:val="00AA1E45"/>
    <w:rsid w:val="00AA4286"/>
    <w:rsid w:val="00AA456B"/>
    <w:rsid w:val="00AA57F5"/>
    <w:rsid w:val="00AA5F82"/>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23C0"/>
    <w:rsid w:val="00B049AF"/>
    <w:rsid w:val="00B05BC7"/>
    <w:rsid w:val="00B07242"/>
    <w:rsid w:val="00B10534"/>
    <w:rsid w:val="00B113DB"/>
    <w:rsid w:val="00B11D8A"/>
    <w:rsid w:val="00B12981"/>
    <w:rsid w:val="00B147DD"/>
    <w:rsid w:val="00B156FD"/>
    <w:rsid w:val="00B16D77"/>
    <w:rsid w:val="00B21F61"/>
    <w:rsid w:val="00B261F1"/>
    <w:rsid w:val="00B265BC"/>
    <w:rsid w:val="00B27A4B"/>
    <w:rsid w:val="00B31FB1"/>
    <w:rsid w:val="00B32D63"/>
    <w:rsid w:val="00B33952"/>
    <w:rsid w:val="00B33C5E"/>
    <w:rsid w:val="00B342F4"/>
    <w:rsid w:val="00B34369"/>
    <w:rsid w:val="00B34DC2"/>
    <w:rsid w:val="00B35755"/>
    <w:rsid w:val="00B378E5"/>
    <w:rsid w:val="00B41D07"/>
    <w:rsid w:val="00B4346D"/>
    <w:rsid w:val="00B43F13"/>
    <w:rsid w:val="00B440F4"/>
    <w:rsid w:val="00B447A5"/>
    <w:rsid w:val="00B46306"/>
    <w:rsid w:val="00B4654C"/>
    <w:rsid w:val="00B46AF0"/>
    <w:rsid w:val="00B47293"/>
    <w:rsid w:val="00B47F8B"/>
    <w:rsid w:val="00B50E50"/>
    <w:rsid w:val="00B52120"/>
    <w:rsid w:val="00B54ABC"/>
    <w:rsid w:val="00B54DDE"/>
    <w:rsid w:val="00B56FBE"/>
    <w:rsid w:val="00B60ACF"/>
    <w:rsid w:val="00B62B58"/>
    <w:rsid w:val="00B65149"/>
    <w:rsid w:val="00B66567"/>
    <w:rsid w:val="00B66F52"/>
    <w:rsid w:val="00B66FE5"/>
    <w:rsid w:val="00B72880"/>
    <w:rsid w:val="00B72ED9"/>
    <w:rsid w:val="00B758BF"/>
    <w:rsid w:val="00B77EC8"/>
    <w:rsid w:val="00B827A6"/>
    <w:rsid w:val="00B82B8D"/>
    <w:rsid w:val="00B831CE"/>
    <w:rsid w:val="00B86677"/>
    <w:rsid w:val="00B87131"/>
    <w:rsid w:val="00B939B1"/>
    <w:rsid w:val="00B96D40"/>
    <w:rsid w:val="00B97386"/>
    <w:rsid w:val="00BA263B"/>
    <w:rsid w:val="00BA35F7"/>
    <w:rsid w:val="00BA42B2"/>
    <w:rsid w:val="00BA58D4"/>
    <w:rsid w:val="00BA5B9E"/>
    <w:rsid w:val="00BA60CA"/>
    <w:rsid w:val="00BA7C9A"/>
    <w:rsid w:val="00BB203B"/>
    <w:rsid w:val="00BB5F8F"/>
    <w:rsid w:val="00BB657A"/>
    <w:rsid w:val="00BC1423"/>
    <w:rsid w:val="00BC1A4E"/>
    <w:rsid w:val="00BC37BF"/>
    <w:rsid w:val="00BC4790"/>
    <w:rsid w:val="00BC5DC7"/>
    <w:rsid w:val="00BC6B8B"/>
    <w:rsid w:val="00BC73D8"/>
    <w:rsid w:val="00BD2A87"/>
    <w:rsid w:val="00BD3A70"/>
    <w:rsid w:val="00BD52D7"/>
    <w:rsid w:val="00BD5AD2"/>
    <w:rsid w:val="00BE1848"/>
    <w:rsid w:val="00BE22F3"/>
    <w:rsid w:val="00BE489F"/>
    <w:rsid w:val="00BE5B52"/>
    <w:rsid w:val="00BE7B8D"/>
    <w:rsid w:val="00BF0211"/>
    <w:rsid w:val="00BF0993"/>
    <w:rsid w:val="00BF10A9"/>
    <w:rsid w:val="00BF1703"/>
    <w:rsid w:val="00BF231C"/>
    <w:rsid w:val="00BF51E5"/>
    <w:rsid w:val="00BF74A6"/>
    <w:rsid w:val="00C013AD"/>
    <w:rsid w:val="00C040AD"/>
    <w:rsid w:val="00C04904"/>
    <w:rsid w:val="00C05638"/>
    <w:rsid w:val="00C056B3"/>
    <w:rsid w:val="00C074BD"/>
    <w:rsid w:val="00C103E5"/>
    <w:rsid w:val="00C13319"/>
    <w:rsid w:val="00C1362B"/>
    <w:rsid w:val="00C13EE9"/>
    <w:rsid w:val="00C21540"/>
    <w:rsid w:val="00C21906"/>
    <w:rsid w:val="00C21BFA"/>
    <w:rsid w:val="00C22148"/>
    <w:rsid w:val="00C24C8D"/>
    <w:rsid w:val="00C2507E"/>
    <w:rsid w:val="00C25FE2"/>
    <w:rsid w:val="00C26B53"/>
    <w:rsid w:val="00C279B2"/>
    <w:rsid w:val="00C339D9"/>
    <w:rsid w:val="00C33E50"/>
    <w:rsid w:val="00C34C20"/>
    <w:rsid w:val="00C35A3E"/>
    <w:rsid w:val="00C35A80"/>
    <w:rsid w:val="00C42130"/>
    <w:rsid w:val="00C423A4"/>
    <w:rsid w:val="00C44BF5"/>
    <w:rsid w:val="00C45FE4"/>
    <w:rsid w:val="00C521D6"/>
    <w:rsid w:val="00C522D3"/>
    <w:rsid w:val="00C55232"/>
    <w:rsid w:val="00C553A4"/>
    <w:rsid w:val="00C55A06"/>
    <w:rsid w:val="00C55D03"/>
    <w:rsid w:val="00C601BC"/>
    <w:rsid w:val="00C60834"/>
    <w:rsid w:val="00C6329F"/>
    <w:rsid w:val="00C63340"/>
    <w:rsid w:val="00C63E48"/>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5B3B"/>
    <w:rsid w:val="00CA662A"/>
    <w:rsid w:val="00CA7AFD"/>
    <w:rsid w:val="00CA7C3C"/>
    <w:rsid w:val="00CB0189"/>
    <w:rsid w:val="00CB0BA2"/>
    <w:rsid w:val="00CB1A42"/>
    <w:rsid w:val="00CB1B0C"/>
    <w:rsid w:val="00CB25B3"/>
    <w:rsid w:val="00CB2C0B"/>
    <w:rsid w:val="00CB517D"/>
    <w:rsid w:val="00CC038D"/>
    <w:rsid w:val="00CC08DB"/>
    <w:rsid w:val="00CC2293"/>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41D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C81"/>
    <w:rsid w:val="00D21E81"/>
    <w:rsid w:val="00D223DE"/>
    <w:rsid w:val="00D25E37"/>
    <w:rsid w:val="00D2661A"/>
    <w:rsid w:val="00D27582"/>
    <w:rsid w:val="00D27EC4"/>
    <w:rsid w:val="00D32719"/>
    <w:rsid w:val="00D33333"/>
    <w:rsid w:val="00D33457"/>
    <w:rsid w:val="00D352A2"/>
    <w:rsid w:val="00D3660F"/>
    <w:rsid w:val="00D4158E"/>
    <w:rsid w:val="00D4162B"/>
    <w:rsid w:val="00D43C2C"/>
    <w:rsid w:val="00D4514F"/>
    <w:rsid w:val="00D451E2"/>
    <w:rsid w:val="00D45E89"/>
    <w:rsid w:val="00D45E8D"/>
    <w:rsid w:val="00D466AE"/>
    <w:rsid w:val="00D4734F"/>
    <w:rsid w:val="00D51BF3"/>
    <w:rsid w:val="00D63ED5"/>
    <w:rsid w:val="00D66846"/>
    <w:rsid w:val="00D675FB"/>
    <w:rsid w:val="00D71F25"/>
    <w:rsid w:val="00D72A9C"/>
    <w:rsid w:val="00D77031"/>
    <w:rsid w:val="00D83108"/>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10A2"/>
    <w:rsid w:val="00DC14FF"/>
    <w:rsid w:val="00DC25D9"/>
    <w:rsid w:val="00DC3067"/>
    <w:rsid w:val="00DC370B"/>
    <w:rsid w:val="00DC5B90"/>
    <w:rsid w:val="00DD00FF"/>
    <w:rsid w:val="00DD0619"/>
    <w:rsid w:val="00DD07FB"/>
    <w:rsid w:val="00DD25C6"/>
    <w:rsid w:val="00DD3703"/>
    <w:rsid w:val="00DD4FE5"/>
    <w:rsid w:val="00DD54B0"/>
    <w:rsid w:val="00DD57EE"/>
    <w:rsid w:val="00DD6BCC"/>
    <w:rsid w:val="00DE0A4B"/>
    <w:rsid w:val="00DE2410"/>
    <w:rsid w:val="00DE2939"/>
    <w:rsid w:val="00DE6E81"/>
    <w:rsid w:val="00DE703F"/>
    <w:rsid w:val="00DE7595"/>
    <w:rsid w:val="00DF1961"/>
    <w:rsid w:val="00DF44DE"/>
    <w:rsid w:val="00DF5F11"/>
    <w:rsid w:val="00DF61EC"/>
    <w:rsid w:val="00DF77B4"/>
    <w:rsid w:val="00E01138"/>
    <w:rsid w:val="00E01BA2"/>
    <w:rsid w:val="00E02DFB"/>
    <w:rsid w:val="00E030F9"/>
    <w:rsid w:val="00E0311A"/>
    <w:rsid w:val="00E03138"/>
    <w:rsid w:val="00E06404"/>
    <w:rsid w:val="00E065D2"/>
    <w:rsid w:val="00E11A85"/>
    <w:rsid w:val="00E12495"/>
    <w:rsid w:val="00E15CCD"/>
    <w:rsid w:val="00E202EF"/>
    <w:rsid w:val="00E210B5"/>
    <w:rsid w:val="00E23D99"/>
    <w:rsid w:val="00E2552F"/>
    <w:rsid w:val="00E27699"/>
    <w:rsid w:val="00E30303"/>
    <w:rsid w:val="00E3137A"/>
    <w:rsid w:val="00E31A0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D79"/>
    <w:rsid w:val="00E664CC"/>
    <w:rsid w:val="00E70388"/>
    <w:rsid w:val="00E70F92"/>
    <w:rsid w:val="00E71DA5"/>
    <w:rsid w:val="00E74484"/>
    <w:rsid w:val="00E74C54"/>
    <w:rsid w:val="00E77A03"/>
    <w:rsid w:val="00E822E8"/>
    <w:rsid w:val="00E82554"/>
    <w:rsid w:val="00E82606"/>
    <w:rsid w:val="00E846C8"/>
    <w:rsid w:val="00E84957"/>
    <w:rsid w:val="00E84A55"/>
    <w:rsid w:val="00E85BFF"/>
    <w:rsid w:val="00E90391"/>
    <w:rsid w:val="00E906C2"/>
    <w:rsid w:val="00E91BA9"/>
    <w:rsid w:val="00E9311F"/>
    <w:rsid w:val="00E934D1"/>
    <w:rsid w:val="00E94AF0"/>
    <w:rsid w:val="00E95D13"/>
    <w:rsid w:val="00E95DD3"/>
    <w:rsid w:val="00E96985"/>
    <w:rsid w:val="00E969D5"/>
    <w:rsid w:val="00E97A66"/>
    <w:rsid w:val="00EA58D1"/>
    <w:rsid w:val="00EA61BC"/>
    <w:rsid w:val="00EA681A"/>
    <w:rsid w:val="00EA735B"/>
    <w:rsid w:val="00EB17DE"/>
    <w:rsid w:val="00EB1E69"/>
    <w:rsid w:val="00EB2086"/>
    <w:rsid w:val="00EB2A81"/>
    <w:rsid w:val="00EB51A6"/>
    <w:rsid w:val="00EB5EDF"/>
    <w:rsid w:val="00EB60FE"/>
    <w:rsid w:val="00EB74DB"/>
    <w:rsid w:val="00EC32CB"/>
    <w:rsid w:val="00EC5359"/>
    <w:rsid w:val="00EC562A"/>
    <w:rsid w:val="00ED067A"/>
    <w:rsid w:val="00ED2B50"/>
    <w:rsid w:val="00EE0350"/>
    <w:rsid w:val="00EE0719"/>
    <w:rsid w:val="00EE0E80"/>
    <w:rsid w:val="00EE34C3"/>
    <w:rsid w:val="00EE54A6"/>
    <w:rsid w:val="00EE613F"/>
    <w:rsid w:val="00EE7295"/>
    <w:rsid w:val="00EE7869"/>
    <w:rsid w:val="00EE79DF"/>
    <w:rsid w:val="00EF054A"/>
    <w:rsid w:val="00EF3235"/>
    <w:rsid w:val="00EF7153"/>
    <w:rsid w:val="00EF7E72"/>
    <w:rsid w:val="00F050AA"/>
    <w:rsid w:val="00F06D37"/>
    <w:rsid w:val="00F07B9D"/>
    <w:rsid w:val="00F11586"/>
    <w:rsid w:val="00F1183B"/>
    <w:rsid w:val="00F11C9F"/>
    <w:rsid w:val="00F12263"/>
    <w:rsid w:val="00F1409D"/>
    <w:rsid w:val="00F14214"/>
    <w:rsid w:val="00F157A9"/>
    <w:rsid w:val="00F25A42"/>
    <w:rsid w:val="00F25BB6"/>
    <w:rsid w:val="00F26B7E"/>
    <w:rsid w:val="00F27A3B"/>
    <w:rsid w:val="00F3175C"/>
    <w:rsid w:val="00F33817"/>
    <w:rsid w:val="00F420D5"/>
    <w:rsid w:val="00F451EA"/>
    <w:rsid w:val="00F45447"/>
    <w:rsid w:val="00F456C6"/>
    <w:rsid w:val="00F4577B"/>
    <w:rsid w:val="00F46496"/>
    <w:rsid w:val="00F474D0"/>
    <w:rsid w:val="00F50179"/>
    <w:rsid w:val="00F5134E"/>
    <w:rsid w:val="00F515EE"/>
    <w:rsid w:val="00F56511"/>
    <w:rsid w:val="00F6194E"/>
    <w:rsid w:val="00F623AC"/>
    <w:rsid w:val="00F6412A"/>
    <w:rsid w:val="00F65893"/>
    <w:rsid w:val="00F66A4A"/>
    <w:rsid w:val="00F70A09"/>
    <w:rsid w:val="00F71E22"/>
    <w:rsid w:val="00F72142"/>
    <w:rsid w:val="00F72A4B"/>
    <w:rsid w:val="00F72AE7"/>
    <w:rsid w:val="00F81141"/>
    <w:rsid w:val="00F833BA"/>
    <w:rsid w:val="00F84FD0"/>
    <w:rsid w:val="00F859A8"/>
    <w:rsid w:val="00F86D87"/>
    <w:rsid w:val="00F9108B"/>
    <w:rsid w:val="00F91349"/>
    <w:rsid w:val="00F933D8"/>
    <w:rsid w:val="00F93A8A"/>
    <w:rsid w:val="00F95248"/>
    <w:rsid w:val="00F956A9"/>
    <w:rsid w:val="00F963ED"/>
    <w:rsid w:val="00F966CF"/>
    <w:rsid w:val="00F96CAE"/>
    <w:rsid w:val="00F97C99"/>
    <w:rsid w:val="00FA44C7"/>
    <w:rsid w:val="00FA4DAC"/>
    <w:rsid w:val="00FA662D"/>
    <w:rsid w:val="00FA73B1"/>
    <w:rsid w:val="00FB0CB9"/>
    <w:rsid w:val="00FB231D"/>
    <w:rsid w:val="00FB45F1"/>
    <w:rsid w:val="00FB4A72"/>
    <w:rsid w:val="00FB54E8"/>
    <w:rsid w:val="00FB7054"/>
    <w:rsid w:val="00FC0FA8"/>
    <w:rsid w:val="00FC17B7"/>
    <w:rsid w:val="00FC2CB7"/>
    <w:rsid w:val="00FC4090"/>
    <w:rsid w:val="00FC50CF"/>
    <w:rsid w:val="00FC55B4"/>
    <w:rsid w:val="00FD00E6"/>
    <w:rsid w:val="00FD09A1"/>
    <w:rsid w:val="00FD2A7C"/>
    <w:rsid w:val="00FD59EB"/>
    <w:rsid w:val="00FD7299"/>
    <w:rsid w:val="00FE1FBE"/>
    <w:rsid w:val="00FE3901"/>
    <w:rsid w:val="00FE39D3"/>
    <w:rsid w:val="00FE4BCE"/>
    <w:rsid w:val="00FE54AE"/>
    <w:rsid w:val="00FE576A"/>
    <w:rsid w:val="00FE5B83"/>
    <w:rsid w:val="00FE7E79"/>
    <w:rsid w:val="00FF0A10"/>
    <w:rsid w:val="00FF3E7D"/>
    <w:rsid w:val="00FF5B99"/>
    <w:rsid w:val="00FF730C"/>
    <w:rsid w:val="00FF73F4"/>
    <w:rsid w:val="00FF7CE4"/>
    <w:rsid w:val="00FF7E39"/>
    <w:rsid w:val="7D101A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pPr>
      <w:tabs>
        <w:tab w:val="right" w:leader="dot" w:pos="9344"/>
      </w:tabs>
      <w:jc w:val="left"/>
    </w:pPr>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left="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ind w:left="0"/>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Lines="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ind w:left="2552"/>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Revision"/>
    <w:hidden/>
    <w:semiHidden/>
    <w:uiPriority w:val="99"/>
    <w:rPr>
      <w:rFonts w:ascii="Calibri" w:hAnsi="Calibri" w:eastAsia="宋体" w:cs="Times New Roman"/>
      <w:kern w:val="2"/>
      <w:sz w:val="21"/>
      <w:szCs w:val="21"/>
      <w:lang w:val="en-US" w:eastAsia="zh-CN" w:bidi="ar-SA"/>
    </w:rPr>
  </w:style>
  <w:style w:type="paragraph" w:customStyle="1" w:styleId="231">
    <w:name w:val="终结线"/>
    <w:basedOn w:val="1"/>
    <w:qFormat/>
    <w:uiPriority w:val="0"/>
    <w:pPr>
      <w:framePr w:hSpace="181" w:vSpace="181" w:wrap="around" w:vAnchor="text" w:hAnchor="margin" w:xAlign="center" w:y="285"/>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D569234CFB42E588F72C67C36BC0A1"/>
        <w:style w:val=""/>
        <w:category>
          <w:name w:val="常规"/>
          <w:gallery w:val="placeholder"/>
        </w:category>
        <w:types>
          <w:type w:val="bbPlcHdr"/>
        </w:types>
        <w:behaviors>
          <w:behavior w:val="content"/>
        </w:behaviors>
        <w:description w:val=""/>
        <w:guid w:val="{A6C4F957-99F3-46A7-9AE3-F3D58286CF2D}"/>
      </w:docPartPr>
      <w:docPartBody>
        <w:p>
          <w:pPr>
            <w:pStyle w:val="5"/>
          </w:pPr>
          <w:r>
            <w:rPr>
              <w:rStyle w:val="4"/>
              <w:rFonts w:hint="eastAsia"/>
            </w:rPr>
            <w:t>单击或点击此处输入文字。</w:t>
          </w:r>
        </w:p>
      </w:docPartBody>
    </w:docPart>
    <w:docPart>
      <w:docPartPr>
        <w:name w:val="00EEFF53F6EC4A3F98E2E96BF744EB5A"/>
        <w:style w:val=""/>
        <w:category>
          <w:name w:val="常规"/>
          <w:gallery w:val="placeholder"/>
        </w:category>
        <w:types>
          <w:type w:val="bbPlcHdr"/>
        </w:types>
        <w:behaviors>
          <w:behavior w:val="content"/>
        </w:behaviors>
        <w:description w:val=""/>
        <w:guid w:val="{159D0B9D-73FC-4B91-93BC-63C64EAC54E1}"/>
      </w:docPartPr>
      <w:docPartBody>
        <w:p>
          <w:pPr>
            <w:pStyle w:val="6"/>
          </w:pPr>
          <w:r>
            <w:rPr>
              <w:rStyle w:val="4"/>
              <w:rFonts w:hint="eastAsia"/>
            </w:rPr>
            <w:t>选择一项。</w:t>
          </w:r>
        </w:p>
      </w:docPartBody>
    </w:docPart>
    <w:docPart>
      <w:docPartPr>
        <w:name w:val="4388E5B26A624A879089FB9BE9F070E3"/>
        <w:style w:val=""/>
        <w:category>
          <w:name w:val="常规"/>
          <w:gallery w:val="placeholder"/>
        </w:category>
        <w:types>
          <w:type w:val="bbPlcHdr"/>
        </w:types>
        <w:behaviors>
          <w:behavior w:val="content"/>
        </w:behaviors>
        <w:description w:val=""/>
        <w:guid w:val="{B801E6D8-9ACD-40CB-97AD-807B2980797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F23AD9"/>
    <w:rsid w:val="0000647C"/>
    <w:rsid w:val="00044573"/>
    <w:rsid w:val="000768E5"/>
    <w:rsid w:val="00082F3C"/>
    <w:rsid w:val="000B05B3"/>
    <w:rsid w:val="000B630E"/>
    <w:rsid w:val="000B74C8"/>
    <w:rsid w:val="00114CB7"/>
    <w:rsid w:val="001C75CF"/>
    <w:rsid w:val="001D2563"/>
    <w:rsid w:val="002344B3"/>
    <w:rsid w:val="0023595A"/>
    <w:rsid w:val="00295928"/>
    <w:rsid w:val="003A4448"/>
    <w:rsid w:val="00445B08"/>
    <w:rsid w:val="00553103"/>
    <w:rsid w:val="00635067"/>
    <w:rsid w:val="00651B9B"/>
    <w:rsid w:val="00672ECD"/>
    <w:rsid w:val="00735CB4"/>
    <w:rsid w:val="007C0355"/>
    <w:rsid w:val="00812ABC"/>
    <w:rsid w:val="00B44602"/>
    <w:rsid w:val="00BB7ABF"/>
    <w:rsid w:val="00C214B8"/>
    <w:rsid w:val="00C95FB3"/>
    <w:rsid w:val="00CC3D61"/>
    <w:rsid w:val="00D0446F"/>
    <w:rsid w:val="00D42918"/>
    <w:rsid w:val="00DA0ACA"/>
    <w:rsid w:val="00DA2BA3"/>
    <w:rsid w:val="00F23A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DD569234CFB42E588F72C67C36BC0A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0EEFF53F6EC4A3F98E2E96BF744EB5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388E5B26A624A879089FB9BE9F070E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13</Pages>
  <Words>1427</Words>
  <Characters>8140</Characters>
  <Lines>67</Lines>
  <Paragraphs>19</Paragraphs>
  <TotalTime>0</TotalTime>
  <ScaleCrop>false</ScaleCrop>
  <LinksUpToDate>false</LinksUpToDate>
  <CharactersWithSpaces>9548</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2023-08-08T03:10:00Z</dcterms:created>
  <dc:creator>杨苏航</dc:creator>
  <dc:description>&lt;config cover="true" show_menu="true" version="1.0.0" doctype="SDKXY"&gt;_x000d_
&lt;/config&gt;</dc:description>
  <cp:lastModifiedBy>DELL</cp:lastModifiedBy>
  <cp:lastPrinted>2023-08-07T06:11:00Z</cp:lastPrinted>
  <dcterms:modified xsi:type="dcterms:W3CDTF">2023-08-11T02:14:59Z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2052-11.8.2.9067</vt:lpwstr>
  </property>
</Properties>
</file>