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93.080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84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徐州市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城市轨道交通客运服务规范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of Urban Rail Pssenger Transport Service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（本草案完成时间：2023年8月28日）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徐州市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"_Toc144126657" </w:instrText>
      </w:r>
      <w:r>
        <w:fldChar w:fldCharType="separate"/>
      </w:r>
      <w:r>
        <w:rPr>
          <w:rStyle w:val="32"/>
          <w:rFonts w:hint="eastAsia"/>
        </w:rPr>
        <w:t>前言</w:t>
      </w:r>
      <w:r>
        <w:tab/>
      </w:r>
      <w:r>
        <w:fldChar w:fldCharType="begin"/>
      </w:r>
      <w:r>
        <w:instrText xml:space="preserve"> PAGEREF _Toc144126657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"_Toc144126658" </w:instrText>
      </w:r>
      <w:r>
        <w:fldChar w:fldCharType="separate"/>
      </w:r>
      <w:r>
        <w:rPr>
          <w:rStyle w:val="32"/>
        </w:rPr>
        <w:t xml:space="preserve">1 </w:t>
      </w:r>
      <w:r>
        <w:rPr>
          <w:rStyle w:val="32"/>
          <w:rFonts w:hint="eastAsia"/>
        </w:rPr>
        <w:t xml:space="preserve"> 范围</w:t>
      </w:r>
      <w:r>
        <w:tab/>
      </w:r>
      <w:r>
        <w:fldChar w:fldCharType="begin"/>
      </w:r>
      <w:r>
        <w:instrText xml:space="preserve"> PAGEREF _Toc144126658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"_Toc144126659"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_Toc144126659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"_Toc144126660"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_Toc144126660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"_Toc144126661" </w:instrText>
      </w:r>
      <w:r>
        <w:fldChar w:fldCharType="separate"/>
      </w:r>
      <w:r>
        <w:rPr>
          <w:rStyle w:val="32"/>
          <w14:scene3d w14:prst="orthographicFront">
            <w14:lightRig w14:rig="threePt" w14:dir="t">
              <w14:rot w14:lat="0" w14:lon="0" w14:rev="0"/>
            </w14:lightRig>
          </w14:scene3d>
        </w:rPr>
        <w:t xml:space="preserve">3.1 </w:t>
      </w:r>
      <w:r>
        <w:rPr>
          <w:rStyle w:val="32"/>
          <w:rFonts w:hint="eastAsia"/>
        </w:rPr>
        <w:t xml:space="preserve"> 乘客</w:t>
      </w:r>
      <w:r>
        <w:tab/>
      </w:r>
      <w:r>
        <w:fldChar w:fldCharType="begin"/>
      </w:r>
      <w:r>
        <w:instrText xml:space="preserve"> PAGEREF _Toc144126661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"_Toc144126662" </w:instrText>
      </w:r>
      <w:r>
        <w:fldChar w:fldCharType="separate"/>
      </w:r>
      <w:r>
        <w:rPr>
          <w:rStyle w:val="32"/>
          <w14:scene3d w14:prst="orthographicFront">
            <w14:lightRig w14:rig="threePt" w14:dir="t">
              <w14:rot w14:lat="0" w14:lon="0" w14:rev="0"/>
            </w14:lightRig>
          </w14:scene3d>
        </w:rPr>
        <w:t xml:space="preserve">3.2 </w:t>
      </w:r>
      <w:r>
        <w:rPr>
          <w:rStyle w:val="32"/>
          <w:rFonts w:hint="eastAsia"/>
        </w:rPr>
        <w:t xml:space="preserve"> 运营单位</w:t>
      </w:r>
      <w:r>
        <w:tab/>
      </w:r>
      <w:r>
        <w:fldChar w:fldCharType="begin"/>
      </w:r>
      <w:r>
        <w:instrText xml:space="preserve"> PAGEREF _Toc144126662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"_Toc144126663" </w:instrText>
      </w:r>
      <w:r>
        <w:fldChar w:fldCharType="separate"/>
      </w:r>
      <w:r>
        <w:rPr>
          <w:rStyle w:val="32"/>
          <w14:scene3d w14:prst="orthographicFront">
            <w14:lightRig w14:rig="threePt" w14:dir="t">
              <w14:rot w14:lat="0" w14:lon="0" w14:rev="0"/>
            </w14:lightRig>
          </w14:scene3d>
        </w:rPr>
        <w:t xml:space="preserve">3.3 </w:t>
      </w:r>
      <w:r>
        <w:rPr>
          <w:rStyle w:val="32"/>
          <w:rFonts w:hint="eastAsia"/>
        </w:rPr>
        <w:t xml:space="preserve"> 服务设施</w:t>
      </w:r>
      <w:r>
        <w:tab/>
      </w:r>
      <w:r>
        <w:fldChar w:fldCharType="begin"/>
      </w:r>
      <w:r>
        <w:instrText xml:space="preserve"> PAGEREF _Toc144126663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"_Toc144126664" </w:instrText>
      </w:r>
      <w:r>
        <w:fldChar w:fldCharType="separate"/>
      </w:r>
      <w:r>
        <w:rPr>
          <w:rStyle w:val="32"/>
          <w14:scene3d w14:prst="orthographicFront">
            <w14:lightRig w14:rig="threePt" w14:dir="t">
              <w14:rot w14:lat="0" w14:lon="0" w14:rev="0"/>
            </w14:lightRig>
          </w14:scene3d>
        </w:rPr>
        <w:t xml:space="preserve">3.4 </w:t>
      </w:r>
      <w:r>
        <w:rPr>
          <w:rStyle w:val="32"/>
          <w:rFonts w:hint="eastAsia"/>
        </w:rPr>
        <w:t xml:space="preserve"> 服务人员</w:t>
      </w:r>
      <w:r>
        <w:tab/>
      </w:r>
      <w:r>
        <w:fldChar w:fldCharType="begin"/>
      </w:r>
      <w:r>
        <w:instrText xml:space="preserve"> PAGEREF _Toc144126664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"_Toc144126665" </w:instrText>
      </w:r>
      <w:r>
        <w:fldChar w:fldCharType="separate"/>
      </w:r>
      <w:r>
        <w:rPr>
          <w:rStyle w:val="32"/>
          <w14:scene3d w14:prst="orthographicFront">
            <w14:lightRig w14:rig="threePt" w14:dir="t">
              <w14:rot w14:lat="0" w14:lon="0" w14:rev="0"/>
            </w14:lightRig>
          </w14:scene3d>
        </w:rPr>
        <w:t xml:space="preserve">3.5 </w:t>
      </w:r>
      <w:r>
        <w:rPr>
          <w:rStyle w:val="32"/>
          <w:rFonts w:hint="eastAsia"/>
        </w:rPr>
        <w:t xml:space="preserve"> 客运组织</w:t>
      </w:r>
      <w:r>
        <w:tab/>
      </w:r>
      <w:r>
        <w:fldChar w:fldCharType="begin"/>
      </w:r>
      <w:r>
        <w:instrText xml:space="preserve"> PAGEREF _Toc144126665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"_Toc144126666" </w:instrText>
      </w:r>
      <w:r>
        <w:fldChar w:fldCharType="separate"/>
      </w:r>
      <w:r>
        <w:rPr>
          <w:rStyle w:val="32"/>
        </w:rPr>
        <w:t xml:space="preserve">4 </w:t>
      </w:r>
      <w:r>
        <w:rPr>
          <w:rStyle w:val="32"/>
          <w:rFonts w:hint="eastAsia"/>
        </w:rPr>
        <w:t xml:space="preserve"> 服务要求</w:t>
      </w:r>
      <w:r>
        <w:tab/>
      </w:r>
      <w:r>
        <w:fldChar w:fldCharType="begin"/>
      </w:r>
      <w:r>
        <w:instrText xml:space="preserve"> PAGEREF _Toc144126666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"_Toc144126667" </w:instrText>
      </w:r>
      <w:r>
        <w:fldChar w:fldCharType="separate"/>
      </w:r>
      <w:r>
        <w:rPr>
          <w:rStyle w:val="32"/>
          <w14:scene3d w14:prst="orthographicFront">
            <w14:lightRig w14:rig="threePt" w14:dir="t">
              <w14:rot w14:lat="0" w14:lon="0" w14:rev="0"/>
            </w14:lightRig>
          </w14:scene3d>
        </w:rPr>
        <w:t xml:space="preserve">4.1 </w:t>
      </w:r>
      <w:r>
        <w:rPr>
          <w:rStyle w:val="32"/>
          <w:rFonts w:hint="eastAsia"/>
        </w:rPr>
        <w:t xml:space="preserve"> 基本要求</w:t>
      </w:r>
      <w:r>
        <w:tab/>
      </w:r>
      <w:r>
        <w:fldChar w:fldCharType="begin"/>
      </w:r>
      <w:r>
        <w:instrText xml:space="preserve"> PAGEREF _Toc144126667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"_Toc144126668" </w:instrText>
      </w:r>
      <w:r>
        <w:fldChar w:fldCharType="separate"/>
      </w:r>
      <w:r>
        <w:rPr>
          <w:rStyle w:val="32"/>
          <w14:scene3d w14:prst="orthographicFront">
            <w14:lightRig w14:rig="threePt" w14:dir="t">
              <w14:rot w14:lat="0" w14:lon="0" w14:rev="0"/>
            </w14:lightRig>
          </w14:scene3d>
        </w:rPr>
        <w:t xml:space="preserve">4.2 </w:t>
      </w:r>
      <w:r>
        <w:rPr>
          <w:rStyle w:val="32"/>
          <w:rFonts w:hint="eastAsia"/>
        </w:rPr>
        <w:t xml:space="preserve"> 行车组织</w:t>
      </w:r>
      <w:r>
        <w:tab/>
      </w:r>
      <w:r>
        <w:fldChar w:fldCharType="begin"/>
      </w:r>
      <w:r>
        <w:instrText xml:space="preserve"> PAGEREF _Toc144126668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"_Toc144126669" </w:instrText>
      </w:r>
      <w:r>
        <w:fldChar w:fldCharType="separate"/>
      </w:r>
      <w:r>
        <w:rPr>
          <w:rStyle w:val="32"/>
          <w14:scene3d w14:prst="orthographicFront">
            <w14:lightRig w14:rig="threePt" w14:dir="t">
              <w14:rot w14:lat="0" w14:lon="0" w14:rev="0"/>
            </w14:lightRig>
          </w14:scene3d>
        </w:rPr>
        <w:t xml:space="preserve">4.3 </w:t>
      </w:r>
      <w:r>
        <w:rPr>
          <w:rStyle w:val="32"/>
          <w:rFonts w:hint="eastAsia"/>
        </w:rPr>
        <w:t xml:space="preserve"> 乘客服务</w:t>
      </w:r>
      <w:r>
        <w:tab/>
      </w:r>
      <w:r>
        <w:fldChar w:fldCharType="begin"/>
      </w:r>
      <w:r>
        <w:instrText xml:space="preserve"> PAGEREF _Toc144126669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"_Toc144126670" </w:instrText>
      </w:r>
      <w:r>
        <w:fldChar w:fldCharType="separate"/>
      </w:r>
      <w:r>
        <w:rPr>
          <w:rStyle w:val="32"/>
          <w14:scene3d w14:prst="orthographicFront">
            <w14:lightRig w14:rig="threePt" w14:dir="t">
              <w14:rot w14:lat="0" w14:lon="0" w14:rev="0"/>
            </w14:lightRig>
          </w14:scene3d>
        </w:rPr>
        <w:t xml:space="preserve">4.4 </w:t>
      </w:r>
      <w:r>
        <w:rPr>
          <w:rStyle w:val="32"/>
          <w:rFonts w:hint="eastAsia"/>
        </w:rPr>
        <w:t xml:space="preserve"> 安全应急管理</w:t>
      </w:r>
      <w:r>
        <w:tab/>
      </w:r>
      <w:r>
        <w:fldChar w:fldCharType="begin"/>
      </w:r>
      <w:r>
        <w:instrText xml:space="preserve"> PAGEREF _Toc144126670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"_Toc144126671" </w:instrText>
      </w:r>
      <w:r>
        <w:fldChar w:fldCharType="separate"/>
      </w:r>
      <w:r>
        <w:rPr>
          <w:rStyle w:val="32"/>
        </w:rPr>
        <w:t xml:space="preserve">5 </w:t>
      </w:r>
      <w:r>
        <w:rPr>
          <w:rStyle w:val="32"/>
          <w:rFonts w:hint="eastAsia"/>
        </w:rPr>
        <w:t xml:space="preserve"> 服务保障</w:t>
      </w:r>
      <w:r>
        <w:tab/>
      </w:r>
      <w:r>
        <w:fldChar w:fldCharType="begin"/>
      </w:r>
      <w:r>
        <w:instrText xml:space="preserve"> PAGEREF _Toc144126671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"_Toc144126672" </w:instrText>
      </w:r>
      <w:r>
        <w:fldChar w:fldCharType="separate"/>
      </w:r>
      <w:r>
        <w:rPr>
          <w:rStyle w:val="32"/>
          <w14:scene3d w14:prst="orthographicFront">
            <w14:lightRig w14:rig="threePt" w14:dir="t">
              <w14:rot w14:lat="0" w14:lon="0" w14:rev="0"/>
            </w14:lightRig>
          </w14:scene3d>
        </w:rPr>
        <w:t xml:space="preserve">5.1 </w:t>
      </w:r>
      <w:r>
        <w:rPr>
          <w:rStyle w:val="32"/>
          <w:rFonts w:hint="eastAsia"/>
        </w:rPr>
        <w:t xml:space="preserve"> 服务人员</w:t>
      </w:r>
      <w:r>
        <w:tab/>
      </w:r>
      <w:r>
        <w:fldChar w:fldCharType="begin"/>
      </w:r>
      <w:r>
        <w:instrText xml:space="preserve"> PAGEREF _Toc144126672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"_Toc144126673" </w:instrText>
      </w:r>
      <w:r>
        <w:fldChar w:fldCharType="separate"/>
      </w:r>
      <w:r>
        <w:rPr>
          <w:rStyle w:val="32"/>
          <w14:scene3d w14:prst="orthographicFront">
            <w14:lightRig w14:rig="threePt" w14:dir="t">
              <w14:rot w14:lat="0" w14:lon="0" w14:rev="0"/>
            </w14:lightRig>
          </w14:scene3d>
        </w:rPr>
        <w:t xml:space="preserve">5.2 </w:t>
      </w:r>
      <w:r>
        <w:rPr>
          <w:rStyle w:val="32"/>
          <w:rFonts w:hint="eastAsia"/>
        </w:rPr>
        <w:t xml:space="preserve"> 服务设施设备</w:t>
      </w:r>
      <w:r>
        <w:tab/>
      </w:r>
      <w:r>
        <w:fldChar w:fldCharType="begin"/>
      </w:r>
      <w:r>
        <w:instrText xml:space="preserve"> PAGEREF _Toc144126673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"_Toc144126674" </w:instrText>
      </w:r>
      <w:r>
        <w:fldChar w:fldCharType="separate"/>
      </w:r>
      <w:r>
        <w:rPr>
          <w:rStyle w:val="32"/>
          <w14:scene3d w14:prst="orthographicFront">
            <w14:lightRig w14:rig="threePt" w14:dir="t">
              <w14:rot w14:lat="0" w14:lon="0" w14:rev="0"/>
            </w14:lightRig>
          </w14:scene3d>
        </w:rPr>
        <w:t xml:space="preserve">5.3 </w:t>
      </w:r>
      <w:r>
        <w:rPr>
          <w:rStyle w:val="32"/>
          <w:rFonts w:hint="eastAsia"/>
        </w:rPr>
        <w:t xml:space="preserve"> 标志标识</w:t>
      </w:r>
      <w:r>
        <w:tab/>
      </w:r>
      <w:r>
        <w:fldChar w:fldCharType="begin"/>
      </w:r>
      <w:r>
        <w:instrText xml:space="preserve"> PAGEREF _Toc144126674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"_Toc144126675" </w:instrText>
      </w:r>
      <w:r>
        <w:fldChar w:fldCharType="separate"/>
      </w:r>
      <w:r>
        <w:rPr>
          <w:rStyle w:val="32"/>
          <w14:scene3d w14:prst="orthographicFront">
            <w14:lightRig w14:rig="threePt" w14:dir="t">
              <w14:rot w14:lat="0" w14:lon="0" w14:rev="0"/>
            </w14:lightRig>
          </w14:scene3d>
        </w:rPr>
        <w:t xml:space="preserve">5.4 </w:t>
      </w:r>
      <w:r>
        <w:rPr>
          <w:rStyle w:val="32"/>
          <w:rFonts w:hint="eastAsia"/>
        </w:rPr>
        <w:t xml:space="preserve"> 环境与卫生</w:t>
      </w:r>
      <w:r>
        <w:tab/>
      </w:r>
      <w:r>
        <w:fldChar w:fldCharType="begin"/>
      </w:r>
      <w:r>
        <w:instrText xml:space="preserve"> PAGEREF _Toc144126675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"_Toc144126676" </w:instrText>
      </w:r>
      <w:r>
        <w:fldChar w:fldCharType="separate"/>
      </w:r>
      <w:r>
        <w:rPr>
          <w:rStyle w:val="32"/>
        </w:rPr>
        <w:t xml:space="preserve">6 </w:t>
      </w:r>
      <w:r>
        <w:rPr>
          <w:rStyle w:val="32"/>
          <w:rFonts w:hint="eastAsia"/>
        </w:rPr>
        <w:t xml:space="preserve"> 服务质量管理</w:t>
      </w:r>
      <w:r>
        <w:tab/>
      </w:r>
      <w:r>
        <w:fldChar w:fldCharType="begin"/>
      </w:r>
      <w:r>
        <w:instrText xml:space="preserve"> PAGEREF _Toc144126676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"_Toc144126677" </w:instrText>
      </w:r>
      <w:r>
        <w:fldChar w:fldCharType="separate"/>
      </w:r>
      <w:r>
        <w:rPr>
          <w:rStyle w:val="32"/>
          <w14:scene3d w14:prst="orthographicFront">
            <w14:lightRig w14:rig="threePt" w14:dir="t">
              <w14:rot w14:lat="0" w14:lon="0" w14:rev="0"/>
            </w14:lightRig>
          </w14:scene3d>
        </w:rPr>
        <w:t xml:space="preserve">6.1 </w:t>
      </w:r>
      <w:r>
        <w:rPr>
          <w:rStyle w:val="32"/>
          <w:rFonts w:hint="eastAsia"/>
        </w:rPr>
        <w:t xml:space="preserve"> 服务质量承诺</w:t>
      </w:r>
      <w:r>
        <w:tab/>
      </w:r>
      <w:r>
        <w:fldChar w:fldCharType="begin"/>
      </w:r>
      <w:r>
        <w:instrText xml:space="preserve"> PAGEREF _Toc144126677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"_Toc144126678" </w:instrText>
      </w:r>
      <w:r>
        <w:fldChar w:fldCharType="separate"/>
      </w:r>
      <w:r>
        <w:rPr>
          <w:rStyle w:val="32"/>
          <w14:scene3d w14:prst="orthographicFront">
            <w14:lightRig w14:rig="threePt" w14:dir="t">
              <w14:rot w14:lat="0" w14:lon="0" w14:rev="0"/>
            </w14:lightRig>
          </w14:scene3d>
        </w:rPr>
        <w:t xml:space="preserve">6.2 </w:t>
      </w:r>
      <w:r>
        <w:rPr>
          <w:rStyle w:val="32"/>
          <w:rFonts w:hint="eastAsia"/>
        </w:rPr>
        <w:t xml:space="preserve"> 服务质量监督与改进</w:t>
      </w:r>
      <w:r>
        <w:tab/>
      </w:r>
      <w:r>
        <w:fldChar w:fldCharType="begin"/>
      </w:r>
      <w:r>
        <w:instrText xml:space="preserve"> PAGEREF _Toc144126678 \h </w:instrText>
      </w:r>
      <w:r>
        <w:fldChar w:fldCharType="separate"/>
      </w:r>
      <w:r>
        <w:t>5</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44126657"/>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w:t>
      </w:r>
      <w:r>
        <w:rPr>
          <w:rFonts w:ascii="Times New Roman"/>
        </w:rPr>
        <w:t>徐州</w:t>
      </w:r>
      <w:r>
        <w:rPr>
          <w:rFonts w:hint="eastAsia" w:ascii="Times New Roman"/>
        </w:rPr>
        <w:t>市交通运输局</w:t>
      </w:r>
      <w:r>
        <w:rPr>
          <w:rFonts w:hint="eastAsia"/>
        </w:rPr>
        <w:t>提出。</w:t>
      </w:r>
    </w:p>
    <w:p>
      <w:pPr>
        <w:pStyle w:val="56"/>
        <w:ind w:firstLine="420"/>
      </w:pPr>
      <w:r>
        <w:rPr>
          <w:rFonts w:hint="eastAsia"/>
        </w:rPr>
        <w:t>本文件由</w:t>
      </w:r>
      <w:r>
        <w:rPr>
          <w:rFonts w:ascii="Times New Roman"/>
        </w:rPr>
        <w:t>徐州</w:t>
      </w:r>
      <w:r>
        <w:rPr>
          <w:rFonts w:hint="eastAsia" w:ascii="Times New Roman"/>
        </w:rPr>
        <w:t>市交通运输局</w:t>
      </w:r>
      <w:r>
        <w:rPr>
          <w:rFonts w:hint="eastAsia"/>
        </w:rPr>
        <w:t>归口。</w:t>
      </w:r>
    </w:p>
    <w:p>
      <w:pPr>
        <w:pStyle w:val="56"/>
        <w:ind w:firstLine="420"/>
      </w:pPr>
      <w:r>
        <w:rPr>
          <w:rFonts w:hint="eastAsia"/>
        </w:rPr>
        <w:t>本文件起草单位：</w:t>
      </w:r>
      <w:r>
        <w:rPr>
          <w:rFonts w:hint="eastAsia" w:ascii="Times New Roman"/>
        </w:rPr>
        <w:t>徐州市交通运输局、徐州地铁运营有限公司、江苏建筑职业</w:t>
      </w:r>
      <w:bookmarkStart w:id="68" w:name="_GoBack"/>
      <w:bookmarkEnd w:id="68"/>
      <w:r>
        <w:rPr>
          <w:rFonts w:hint="eastAsia" w:ascii="Times New Roman"/>
        </w:rPr>
        <w:t>技术学院。</w:t>
      </w:r>
    </w:p>
    <w:p>
      <w:pPr>
        <w:pStyle w:val="56"/>
        <w:ind w:firstLine="420"/>
      </w:pPr>
      <w:r>
        <w:rPr>
          <w:rFonts w:hint="eastAsia"/>
        </w:rPr>
        <w:t>本文件主要起草人：马雪敏、</w:t>
      </w:r>
      <w:r>
        <w:rPr>
          <w:rFonts w:hint="eastAsia" w:ascii="Times New Roman"/>
        </w:rPr>
        <w:t>徐树亮、刘波、申丽、王辉、李令婷、刘通、</w:t>
      </w:r>
      <w:r>
        <w:rPr>
          <w:rFonts w:hint="eastAsia" w:ascii="Times New Roman"/>
          <w:lang w:val="en-US" w:eastAsia="zh-CN"/>
        </w:rPr>
        <w:t>李鑫、</w:t>
      </w:r>
      <w:r>
        <w:rPr>
          <w:rFonts w:hint="eastAsia" w:ascii="Times New Roman"/>
        </w:rPr>
        <w:t>倪蓉、白洋、贺建华。</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59BE8373A25401B80C1E372900BA131"/>
        </w:placeholder>
      </w:sdtPr>
      <w:sdtContent>
        <w:p>
          <w:pPr>
            <w:pStyle w:val="177"/>
            <w:spacing w:before="3" w:beforeLines="1" w:after="686" w:afterLines="220"/>
          </w:pPr>
          <w:bookmarkStart w:id="25" w:name="NEW_STAND_NAME"/>
          <w:r>
            <w:rPr>
              <w:rFonts w:hint="eastAsia"/>
            </w:rPr>
            <w:t>城市轨道交通客运服务规范</w:t>
          </w:r>
        </w:p>
      </w:sdtContent>
    </w:sdt>
    <w:bookmarkEnd w:id="25"/>
    <w:p>
      <w:pPr>
        <w:pStyle w:val="104"/>
        <w:spacing w:before="312" w:after="312"/>
      </w:pPr>
      <w:bookmarkStart w:id="26" w:name="_Toc17233333"/>
      <w:bookmarkStart w:id="27" w:name="_Toc17233325"/>
      <w:bookmarkStart w:id="28" w:name="_Toc24884218"/>
      <w:bookmarkStart w:id="29" w:name="_Toc97191423"/>
      <w:bookmarkStart w:id="30" w:name="_Toc26648465"/>
      <w:bookmarkStart w:id="31" w:name="_Toc24884211"/>
      <w:bookmarkStart w:id="32" w:name="_Toc26718930"/>
      <w:bookmarkStart w:id="33" w:name="_Toc26986771"/>
      <w:bookmarkStart w:id="34" w:name="_Toc26986530"/>
      <w:bookmarkStart w:id="35" w:name="_Toc144126658"/>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bookmarkStart w:id="36" w:name="_Toc17233326"/>
      <w:bookmarkStart w:id="37" w:name="_Toc17233334"/>
      <w:bookmarkStart w:id="38" w:name="_Toc24884212"/>
      <w:bookmarkStart w:id="39" w:name="_Toc24884219"/>
      <w:bookmarkStart w:id="40" w:name="_Toc26648466"/>
      <w:r>
        <w:rPr>
          <w:rFonts w:hint="eastAsia"/>
        </w:rPr>
        <w:t>本文件规定了城市轨道交通客运服务的服务要求、服务保障以及服务质量管理的要求。</w:t>
      </w:r>
    </w:p>
    <w:p>
      <w:pPr>
        <w:pStyle w:val="56"/>
        <w:ind w:firstLine="420"/>
      </w:pPr>
      <w:r>
        <w:rPr>
          <w:rFonts w:hint="eastAsia"/>
        </w:rPr>
        <w:t>本文件适用于徐州市轨道交通客运服务的实施与管理。</w:t>
      </w:r>
    </w:p>
    <w:p>
      <w:pPr>
        <w:pStyle w:val="104"/>
        <w:spacing w:before="312" w:after="312"/>
      </w:pPr>
      <w:bookmarkStart w:id="41" w:name="_Toc144126659"/>
      <w:bookmarkStart w:id="42" w:name="_Toc97191424"/>
      <w:bookmarkStart w:id="43" w:name="_Toc26718931"/>
      <w:bookmarkStart w:id="44" w:name="_Toc26986772"/>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53842C561A846B7B13D665CAE49A3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22486-2022     《城市轨道交通客运服务规范》</w:t>
      </w:r>
    </w:p>
    <w:p>
      <w:pPr>
        <w:pStyle w:val="56"/>
        <w:ind w:firstLine="420"/>
      </w:pPr>
      <w:r>
        <w:rPr>
          <w:rFonts w:hint="eastAsia"/>
        </w:rPr>
        <w:t>GB/T 18574-2008     《城市轨道交通客运服务标志》</w:t>
      </w:r>
    </w:p>
    <w:p>
      <w:pPr>
        <w:pStyle w:val="56"/>
        <w:ind w:firstLine="420"/>
      </w:pPr>
      <w:r>
        <w:rPr>
          <w:rFonts w:hint="eastAsia"/>
        </w:rPr>
        <w:t>GB/T 30012          《城市轨道交通运营管理规范》</w:t>
      </w:r>
    </w:p>
    <w:p>
      <w:pPr>
        <w:pStyle w:val="104"/>
        <w:spacing w:before="312" w:after="312"/>
      </w:pPr>
      <w:bookmarkStart w:id="46" w:name="_Toc144126660"/>
      <w:bookmarkStart w:id="47" w:name="_Toc97191425"/>
      <w:r>
        <w:rPr>
          <w:rFonts w:hint="eastAsia"/>
        </w:rPr>
        <w:t>术语和定义</w:t>
      </w:r>
      <w:bookmarkEnd w:id="46"/>
      <w:bookmarkEnd w:id="47"/>
    </w:p>
    <w:sdt>
      <w:sdtPr>
        <w:id w:val="-1909835108"/>
        <w:placeholder>
          <w:docPart w:val="E8AEACC39BBD4F1699DE8D9AE3AB732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ascii="黑体" w:hAnsi="黑体" w:eastAsia="黑体"/>
        </w:rPr>
      </w:pPr>
      <w:bookmarkStart w:id="49" w:name="_Toc144126661"/>
      <w:r>
        <w:rPr>
          <w:rFonts w:ascii="黑体" w:hAnsi="黑体" w:eastAsia="黑体"/>
        </w:rPr>
        <w:br w:type="textWrapping"/>
      </w:r>
      <w:r>
        <w:rPr>
          <w:rFonts w:hint="eastAsia" w:ascii="黑体" w:hAnsi="黑体" w:eastAsia="黑体"/>
        </w:rPr>
        <w:t>乘客</w:t>
      </w:r>
      <w:bookmarkEnd w:id="49"/>
    </w:p>
    <w:p>
      <w:pPr>
        <w:pStyle w:val="56"/>
        <w:ind w:firstLine="420"/>
      </w:pPr>
      <w:r>
        <w:rPr>
          <w:rFonts w:hint="eastAsia"/>
        </w:rPr>
        <w:t>乘坐交通工作的顾客。</w:t>
      </w:r>
    </w:p>
    <w:p>
      <w:pPr>
        <w:pStyle w:val="223"/>
        <w:ind w:left="420" w:hanging="420" w:hangingChars="200"/>
        <w:rPr>
          <w:rFonts w:ascii="黑体" w:hAnsi="黑体" w:eastAsia="黑体"/>
        </w:rPr>
      </w:pPr>
      <w:bookmarkStart w:id="50" w:name="_Toc144126662"/>
      <w:r>
        <w:rPr>
          <w:rFonts w:ascii="黑体" w:hAnsi="黑体" w:eastAsia="黑体"/>
        </w:rPr>
        <w:br w:type="textWrapping"/>
      </w:r>
      <w:r>
        <w:rPr>
          <w:rFonts w:hint="eastAsia" w:ascii="黑体" w:hAnsi="黑体" w:eastAsia="黑体"/>
        </w:rPr>
        <w:t>运营单位</w:t>
      </w:r>
      <w:bookmarkEnd w:id="50"/>
    </w:p>
    <w:p>
      <w:pPr>
        <w:pStyle w:val="56"/>
        <w:ind w:firstLine="420"/>
      </w:pPr>
      <w:r>
        <w:rPr>
          <w:rFonts w:hint="eastAsia"/>
        </w:rPr>
        <w:t>经营城市轨道交通运营业务的单位。</w:t>
      </w:r>
    </w:p>
    <w:p>
      <w:pPr>
        <w:pStyle w:val="223"/>
        <w:ind w:left="420" w:hanging="420" w:hangingChars="200"/>
        <w:rPr>
          <w:rFonts w:ascii="黑体" w:hAnsi="黑体" w:eastAsia="黑体"/>
        </w:rPr>
      </w:pPr>
      <w:bookmarkStart w:id="51" w:name="_Toc144126663"/>
      <w:r>
        <w:rPr>
          <w:rFonts w:ascii="黑体" w:hAnsi="黑体" w:eastAsia="黑体"/>
        </w:rPr>
        <w:br w:type="textWrapping"/>
      </w:r>
      <w:r>
        <w:rPr>
          <w:rFonts w:hint="eastAsia" w:ascii="黑体" w:hAnsi="黑体" w:eastAsia="黑体"/>
        </w:rPr>
        <w:t>服务设施</w:t>
      </w:r>
      <w:bookmarkEnd w:id="51"/>
    </w:p>
    <w:p>
      <w:pPr>
        <w:pStyle w:val="56"/>
        <w:ind w:firstLine="420"/>
      </w:pPr>
      <w:r>
        <w:rPr>
          <w:rFonts w:hint="eastAsia"/>
        </w:rPr>
        <w:t>在城市轨道交通设置的，直接为乘客提供服务的设施。</w:t>
      </w:r>
    </w:p>
    <w:p>
      <w:pPr>
        <w:pStyle w:val="223"/>
        <w:ind w:left="420" w:hanging="420" w:hangingChars="200"/>
        <w:rPr>
          <w:rFonts w:ascii="黑体" w:hAnsi="黑体" w:eastAsia="黑体"/>
        </w:rPr>
      </w:pPr>
      <w:bookmarkStart w:id="52" w:name="_Toc144126664"/>
      <w:r>
        <w:rPr>
          <w:rFonts w:ascii="黑体" w:hAnsi="黑体" w:eastAsia="黑体"/>
        </w:rPr>
        <w:br w:type="textWrapping"/>
      </w:r>
      <w:r>
        <w:rPr>
          <w:rFonts w:hint="eastAsia" w:ascii="黑体" w:hAnsi="黑体" w:eastAsia="黑体"/>
        </w:rPr>
        <w:t>服务人员</w:t>
      </w:r>
      <w:bookmarkEnd w:id="52"/>
    </w:p>
    <w:p>
      <w:pPr>
        <w:pStyle w:val="56"/>
        <w:ind w:firstLine="420"/>
      </w:pPr>
      <w:r>
        <w:rPr>
          <w:rFonts w:hint="eastAsia"/>
        </w:rPr>
        <w:t>在运营单位中，为乘客提供客运服务的人员。</w:t>
      </w:r>
    </w:p>
    <w:p>
      <w:pPr>
        <w:pStyle w:val="223"/>
        <w:ind w:left="420" w:hanging="420" w:hangingChars="200"/>
        <w:rPr>
          <w:rFonts w:ascii="黑体" w:hAnsi="黑体" w:eastAsia="黑体"/>
        </w:rPr>
      </w:pPr>
      <w:bookmarkStart w:id="53" w:name="_Toc144126665"/>
      <w:r>
        <w:rPr>
          <w:rFonts w:ascii="黑体" w:hAnsi="黑体" w:eastAsia="黑体"/>
        </w:rPr>
        <w:br w:type="textWrapping"/>
      </w:r>
      <w:r>
        <w:rPr>
          <w:rFonts w:hint="eastAsia" w:ascii="黑体" w:hAnsi="黑体" w:eastAsia="黑体"/>
        </w:rPr>
        <w:t>客运组织</w:t>
      </w:r>
      <w:bookmarkEnd w:id="53"/>
    </w:p>
    <w:p>
      <w:pPr>
        <w:pStyle w:val="56"/>
        <w:ind w:firstLine="420"/>
      </w:pPr>
      <w:r>
        <w:rPr>
          <w:rFonts w:hint="eastAsia"/>
        </w:rPr>
        <w:t>为保证车站的正常秩序、乘客的人身安全，车站进行的人员组织、客流疏导、安全宣传等工作。</w:t>
      </w:r>
    </w:p>
    <w:p>
      <w:pPr>
        <w:pStyle w:val="104"/>
        <w:spacing w:before="312" w:after="312"/>
      </w:pPr>
      <w:bookmarkStart w:id="54" w:name="_Toc144126666"/>
      <w:r>
        <w:rPr>
          <w:rFonts w:hint="eastAsia"/>
        </w:rPr>
        <w:t>服务要求</w:t>
      </w:r>
      <w:bookmarkEnd w:id="54"/>
    </w:p>
    <w:p>
      <w:pPr>
        <w:pStyle w:val="105"/>
        <w:spacing w:before="156" w:after="156"/>
      </w:pPr>
      <w:bookmarkStart w:id="55" w:name="_Toc144126667"/>
      <w:r>
        <w:rPr>
          <w:rFonts w:hint="eastAsia"/>
        </w:rPr>
        <w:t>基本要求</w:t>
      </w:r>
      <w:bookmarkEnd w:id="55"/>
    </w:p>
    <w:p>
      <w:pPr>
        <w:pStyle w:val="165"/>
      </w:pPr>
      <w:r>
        <w:rPr>
          <w:rFonts w:hint="eastAsia"/>
        </w:rPr>
        <w:t>运营单位应为乘客提供规范、有效、及时的运营信息，在应急情况下提供避险指引和必要的疏散帮助。</w:t>
      </w:r>
    </w:p>
    <w:p>
      <w:pPr>
        <w:pStyle w:val="165"/>
      </w:pPr>
      <w:r>
        <w:rPr>
          <w:rFonts w:hint="eastAsia"/>
        </w:rPr>
        <w:t>运营单位应根据线路实际，科学设置服务人员岗位，制定各岗位工作职责及工作标准，建立健全服务人员培训制度。</w:t>
      </w:r>
    </w:p>
    <w:p>
      <w:pPr>
        <w:pStyle w:val="165"/>
      </w:pPr>
      <w:r>
        <w:rPr>
          <w:rFonts w:hint="eastAsia"/>
        </w:rPr>
        <w:t>运营单位应建立客运组织与服务质量管理体系，以安全、准时、便捷、舒适、文明为目标，为乘客提供持续改进的服务。</w:t>
      </w:r>
    </w:p>
    <w:p>
      <w:pPr>
        <w:pStyle w:val="165"/>
      </w:pPr>
      <w:r>
        <w:rPr>
          <w:rFonts w:hint="eastAsia"/>
        </w:rPr>
        <w:t>运营单位应制定并持续完善工作日、节假日、重要活动以及突发事件的车站客运组织方案与应急预案，做到“一站一方案”。</w:t>
      </w:r>
    </w:p>
    <w:p>
      <w:pPr>
        <w:pStyle w:val="105"/>
        <w:spacing w:before="156" w:after="156"/>
      </w:pPr>
      <w:bookmarkStart w:id="56" w:name="_Toc144126668"/>
      <w:r>
        <w:rPr>
          <w:rFonts w:hint="eastAsia"/>
        </w:rPr>
        <w:t>行车组织</w:t>
      </w:r>
      <w:bookmarkEnd w:id="56"/>
    </w:p>
    <w:p>
      <w:pPr>
        <w:pStyle w:val="165"/>
      </w:pPr>
      <w:r>
        <w:rPr>
          <w:rFonts w:hint="eastAsia"/>
        </w:rPr>
        <w:t>轨道交通线路全天运营时间不少于15h，运营期间遇重要节假日、大型活动、恶劣天气等特殊情况的，应适当延长运营时间。正式运营期间线路始发站的首班车发车时间不宜迟于6:30，末班车发车时间不宜早于21:30。</w:t>
      </w:r>
    </w:p>
    <w:p>
      <w:pPr>
        <w:pStyle w:val="165"/>
      </w:pPr>
      <w:r>
        <w:rPr>
          <w:rFonts w:hint="eastAsia"/>
        </w:rPr>
        <w:t>同一线路，采用不同交路组织行车的，同一断面的交路数量不宜超过2个。</w:t>
      </w:r>
    </w:p>
    <w:p>
      <w:pPr>
        <w:pStyle w:val="165"/>
      </w:pPr>
      <w:r>
        <w:rPr>
          <w:rFonts w:hint="eastAsia"/>
        </w:rPr>
        <w:t>市域范围内的列车运行班次间隔不宜超过 10 min，运营期间遇重要节假日、大型活动、恶劣天气等特殊情况的，应根据客流情况适当调整运行间隔。</w:t>
      </w:r>
    </w:p>
    <w:p>
      <w:pPr>
        <w:pStyle w:val="165"/>
      </w:pPr>
      <w:r>
        <w:rPr>
          <w:rFonts w:hint="eastAsia"/>
        </w:rPr>
        <w:t>车站应安排专人负责站台乘车秩序，遇紧急情况及时触发紧急停车装置。</w:t>
      </w:r>
    </w:p>
    <w:p>
      <w:pPr>
        <w:pStyle w:val="165"/>
      </w:pPr>
      <w:r>
        <w:rPr>
          <w:rFonts w:hint="eastAsia"/>
        </w:rPr>
        <w:t>列车按照《列车运行图》运行，在中间站停站时间不少于10s。</w:t>
      </w:r>
    </w:p>
    <w:p>
      <w:pPr>
        <w:pStyle w:val="165"/>
      </w:pPr>
      <w:r>
        <w:rPr>
          <w:rFonts w:hint="eastAsia"/>
        </w:rPr>
        <w:t>运营单位应根据线路情况和客流规律，合理编制列车运行计划，并向行业主管部门备案。运营期间，按照列车运行计划按时开行列车载客，并向公众提供列车开行时间查询功能。</w:t>
      </w:r>
    </w:p>
    <w:p>
      <w:pPr>
        <w:pStyle w:val="165"/>
      </w:pPr>
      <w:r>
        <w:rPr>
          <w:rFonts w:hint="eastAsia"/>
        </w:rPr>
        <w:t>每日载客运营前，运营单位应核对线路、设备、人员状态，确认安全正常后方可开始当日运营。</w:t>
      </w:r>
    </w:p>
    <w:p>
      <w:pPr>
        <w:pStyle w:val="165"/>
      </w:pPr>
      <w:r>
        <w:rPr>
          <w:rFonts w:hint="eastAsia"/>
        </w:rPr>
        <w:t>运营单位遇到外部施工、设备更新、突发事件等情况影响运营时，需要对运营时间、运行间隔、开放出入口作临时调整，应提前向社会公告。</w:t>
      </w:r>
    </w:p>
    <w:p>
      <w:pPr>
        <w:pStyle w:val="165"/>
      </w:pPr>
      <w:r>
        <w:rPr>
          <w:rFonts w:hint="eastAsia"/>
        </w:rPr>
        <w:t>运营单位应建立车站及列车客流监测机制。遇大客流应及时增加运力或调整运营组织，必要时可采取限制进站、甩站等方式确保运营安全。</w:t>
      </w:r>
    </w:p>
    <w:p>
      <w:pPr>
        <w:pStyle w:val="165"/>
      </w:pPr>
      <w:r>
        <w:rPr>
          <w:rFonts w:hint="eastAsia"/>
        </w:rPr>
        <w:t>列车需要越站运行时，列车驾驶员应至少提前一站告知本班车的乘客。首班车、末班车及乘客无返乘条件的列车不应越站，同方向连续两列载客列车不应在同一车站越站。</w:t>
      </w:r>
    </w:p>
    <w:p>
      <w:pPr>
        <w:pStyle w:val="165"/>
      </w:pPr>
      <w:r>
        <w:rPr>
          <w:rFonts w:hint="eastAsia"/>
        </w:rPr>
        <w:t>临时清客时，应通过广播或者其他方式告知车内乘客和站内乘客，车站工作人员应上车引导乘客下车，清客完毕后报告列车驾驶员关闭车门。</w:t>
      </w:r>
    </w:p>
    <w:p>
      <w:pPr>
        <w:pStyle w:val="105"/>
        <w:spacing w:before="156" w:after="156"/>
      </w:pPr>
      <w:bookmarkStart w:id="57" w:name="_Toc144126669"/>
      <w:r>
        <w:rPr>
          <w:rFonts w:hint="eastAsia"/>
        </w:rPr>
        <w:t>乘客服务</w:t>
      </w:r>
      <w:bookmarkEnd w:id="57"/>
    </w:p>
    <w:p>
      <w:pPr>
        <w:pStyle w:val="165"/>
      </w:pPr>
      <w:r>
        <w:rPr>
          <w:rFonts w:hint="eastAsia"/>
        </w:rPr>
        <w:t>运营单位应建立客运组织体系，制定客运规则、客运设施设备管理、票务管理、信息发布制度，明确客运服务标准，持续提升服务质量。</w:t>
      </w:r>
    </w:p>
    <w:p>
      <w:pPr>
        <w:pStyle w:val="165"/>
      </w:pPr>
      <w:r>
        <w:rPr>
          <w:rFonts w:hint="eastAsia"/>
        </w:rPr>
        <w:t>运营单位应确保车站的各项服务设施设备满足乘客进站、查询、购票、检票、候车、乘车、出站等需求。</w:t>
      </w:r>
    </w:p>
    <w:p>
      <w:pPr>
        <w:pStyle w:val="165"/>
      </w:pPr>
      <w:r>
        <w:rPr>
          <w:rFonts w:hint="eastAsia"/>
        </w:rPr>
        <w:t>运营单位应建立官方信息发布渠道，公开发布列车运行计划、票价政策、出行安全提示等运营服务信息。</w:t>
      </w:r>
    </w:p>
    <w:p>
      <w:pPr>
        <w:pStyle w:val="165"/>
      </w:pPr>
      <w:r>
        <w:rPr>
          <w:rFonts w:hint="eastAsia"/>
        </w:rPr>
        <w:t>运营单位应设置乘客遗失物品报失平台，建立无人认领遗失物品处置制度，定期向社会公示遗失物品名录。</w:t>
      </w:r>
    </w:p>
    <w:p>
      <w:pPr>
        <w:pStyle w:val="165"/>
      </w:pPr>
      <w:r>
        <w:rPr>
          <w:rFonts w:hint="eastAsia"/>
        </w:rPr>
        <w:t>车站应建立定期巡视制度，对出入口、站厅、站台及重要设施设备定期巡视，巡视间隔不超过3h/次，大客流、设备故障、恶劣天气期间应提高巡视频次。</w:t>
      </w:r>
    </w:p>
    <w:p>
      <w:pPr>
        <w:pStyle w:val="165"/>
      </w:pPr>
      <w:r>
        <w:rPr>
          <w:rFonts w:hint="eastAsia"/>
        </w:rPr>
        <w:t>车站应配置安全检查设备和人员，对乘客及其携带的物品进行安全检查，乘客拒不配合的可拒绝其进站乘车。</w:t>
      </w:r>
    </w:p>
    <w:p>
      <w:pPr>
        <w:pStyle w:val="165"/>
      </w:pPr>
      <w:r>
        <w:rPr>
          <w:rFonts w:hint="eastAsia"/>
        </w:rPr>
        <w:t>按照相关规定享受免费或折扣乘坐轨道交通优待的乘客，运营单位应提供正常进站、乘车、票务处理服务，不应附加其他条件。</w:t>
      </w:r>
    </w:p>
    <w:p>
      <w:pPr>
        <w:pStyle w:val="165"/>
      </w:pPr>
      <w:r>
        <w:rPr>
          <w:rFonts w:hint="eastAsia"/>
        </w:rPr>
        <w:t>乘客因票卡故障、超程、超时等票务原因导致无法正常进出站的，车站应提供票务处理服务。</w:t>
      </w:r>
    </w:p>
    <w:p>
      <w:pPr>
        <w:pStyle w:val="165"/>
      </w:pPr>
      <w:r>
        <w:rPr>
          <w:rFonts w:hint="eastAsia"/>
        </w:rPr>
        <w:t>每座车站均应设置至少1个客服中心，提供车票出售、乘客问询、票务问题处理等服务。</w:t>
      </w:r>
    </w:p>
    <w:p>
      <w:pPr>
        <w:pStyle w:val="165"/>
      </w:pPr>
      <w:r>
        <w:rPr>
          <w:rFonts w:hint="eastAsia"/>
        </w:rPr>
        <w:t>车站的商业设备、便民服务设施、广告展示位不应对车站客流产生干扰。</w:t>
      </w:r>
    </w:p>
    <w:p>
      <w:pPr>
        <w:pStyle w:val="105"/>
        <w:spacing w:before="156" w:after="156"/>
      </w:pPr>
      <w:bookmarkStart w:id="58" w:name="_Toc144126670"/>
      <w:r>
        <w:rPr>
          <w:rFonts w:hint="eastAsia"/>
        </w:rPr>
        <w:t>安全应急管理</w:t>
      </w:r>
      <w:bookmarkEnd w:id="58"/>
    </w:p>
    <w:p>
      <w:pPr>
        <w:pStyle w:val="165"/>
      </w:pPr>
      <w:r>
        <w:rPr>
          <w:rFonts w:hint="eastAsia"/>
        </w:rPr>
        <w:t>运营单位应设置安全管理机构，配备专职安全管理人员，建立健全安全应急管理制度，制定并定期演练专项应急预案、现场处置方案。</w:t>
      </w:r>
    </w:p>
    <w:p>
      <w:pPr>
        <w:pStyle w:val="165"/>
      </w:pPr>
      <w:r>
        <w:rPr>
          <w:rFonts w:hint="eastAsia"/>
        </w:rPr>
        <w:t>运营单位应落实安全生产风险分级管控和隐患排查治理双重预防体系，定期开展安全检查，及时整改安全隐患。</w:t>
      </w:r>
    </w:p>
    <w:p>
      <w:pPr>
        <w:pStyle w:val="165"/>
      </w:pPr>
      <w:r>
        <w:rPr>
          <w:rFonts w:hint="eastAsia"/>
        </w:rPr>
        <w:t>设备故障导致运营调整，运营单位应遵循“先通后复”原则，优先保障正线列车运营，再进行设备故障维修。</w:t>
      </w:r>
    </w:p>
    <w:p>
      <w:pPr>
        <w:pStyle w:val="165"/>
      </w:pPr>
      <w:r>
        <w:rPr>
          <w:rFonts w:hint="eastAsia"/>
        </w:rPr>
        <w:t>运营期间如遇突发事件，运营单位应第一时间启动应急预案，及时告知并引导乘客安全撤离或换乘，组织力量排除故障，尽快恢复运行并按规定报告相关政府部门。</w:t>
      </w:r>
    </w:p>
    <w:p>
      <w:pPr>
        <w:pStyle w:val="165"/>
      </w:pPr>
      <w:r>
        <w:rPr>
          <w:rFonts w:hint="eastAsia"/>
        </w:rPr>
        <w:t>轨道交通线路因故无法正常运营时可暂停线路或某区段运营，运营单位应及时将暂停信息告知公众，需要组织乘客离站的，安全有序引导乘客出站。</w:t>
      </w:r>
    </w:p>
    <w:p>
      <w:pPr>
        <w:pStyle w:val="165"/>
      </w:pPr>
      <w:r>
        <w:rPr>
          <w:rFonts w:hint="eastAsia"/>
        </w:rPr>
        <w:t>运营单位应以海报、广播、视频、网络等多种方式向乘客提供安全提示和应急逃生宣传。</w:t>
      </w:r>
    </w:p>
    <w:p>
      <w:pPr>
        <w:pStyle w:val="104"/>
        <w:spacing w:before="312" w:after="312"/>
      </w:pPr>
      <w:bookmarkStart w:id="59" w:name="_Toc144126671"/>
      <w:r>
        <w:rPr>
          <w:rFonts w:hint="eastAsia"/>
        </w:rPr>
        <w:t>服务保障</w:t>
      </w:r>
      <w:bookmarkEnd w:id="59"/>
    </w:p>
    <w:p>
      <w:pPr>
        <w:pStyle w:val="105"/>
        <w:spacing w:before="156" w:after="156"/>
      </w:pPr>
      <w:bookmarkStart w:id="60" w:name="_Toc144126672"/>
      <w:r>
        <w:rPr>
          <w:rFonts w:hint="eastAsia"/>
        </w:rPr>
        <w:t>服务人员</w:t>
      </w:r>
      <w:bookmarkEnd w:id="60"/>
    </w:p>
    <w:p>
      <w:pPr>
        <w:pStyle w:val="165"/>
      </w:pPr>
      <w:r>
        <w:rPr>
          <w:rFonts w:hint="eastAsia"/>
        </w:rPr>
        <w:t>运营单位应配置满足运营需求数量的服务人员，服务人员应进行岗前培训，并进行在岗技能培训。</w:t>
      </w:r>
    </w:p>
    <w:p>
      <w:pPr>
        <w:pStyle w:val="165"/>
      </w:pPr>
      <w:r>
        <w:rPr>
          <w:rFonts w:hint="eastAsia"/>
        </w:rPr>
        <w:t>服务人员应统一着装，保持衣着、外貌、妆面整洁大方，各类服务标志佩戴标准、统一。</w:t>
      </w:r>
    </w:p>
    <w:p>
      <w:pPr>
        <w:pStyle w:val="165"/>
      </w:pPr>
      <w:r>
        <w:rPr>
          <w:rFonts w:hint="eastAsia"/>
        </w:rPr>
        <w:t>服务人员应履行首问责任制，礼貌热情，规范用语，并对有需要的乘客主动服务。</w:t>
      </w:r>
    </w:p>
    <w:p>
      <w:pPr>
        <w:pStyle w:val="165"/>
      </w:pPr>
      <w:r>
        <w:rPr>
          <w:rFonts w:hint="eastAsia"/>
        </w:rPr>
        <w:t>服务人员应严守制度、不应擅离职守，遇突发事件及时采取广播、乘客信息系统等引导乘客有序疏散。</w:t>
      </w:r>
    </w:p>
    <w:p>
      <w:pPr>
        <w:pStyle w:val="165"/>
      </w:pPr>
      <w:r>
        <w:rPr>
          <w:rFonts w:hint="eastAsia"/>
        </w:rPr>
        <w:t>服务人员与乘客交谈、接听电话或使用人工广播时，应使用普通话（乘客使用方言或外语提问的除外），吐字清晰、语速适中、音量适宜。</w:t>
      </w:r>
    </w:p>
    <w:p>
      <w:pPr>
        <w:pStyle w:val="165"/>
      </w:pPr>
      <w:r>
        <w:rPr>
          <w:rFonts w:hint="eastAsia"/>
        </w:rPr>
        <w:t>电客车驾驶员、行车调度员、行车值班员、信号楼值班员等行车关键岗位应定期开展人员状态摸排和心理疏导，发现异常应暂时调离本岗位。</w:t>
      </w:r>
    </w:p>
    <w:p>
      <w:pPr>
        <w:pStyle w:val="165"/>
      </w:pPr>
      <w:r>
        <w:rPr>
          <w:rFonts w:hint="eastAsia"/>
        </w:rPr>
        <w:t>支援人员、志愿者等临时服务人员应通过培训后上岗，具备基本乘客服务能力和突发情况下报告险情的能力。</w:t>
      </w:r>
    </w:p>
    <w:p>
      <w:pPr>
        <w:pStyle w:val="105"/>
        <w:spacing w:before="156" w:after="156"/>
      </w:pPr>
      <w:bookmarkStart w:id="61" w:name="_Toc144126673"/>
      <w:r>
        <w:rPr>
          <w:rFonts w:hint="eastAsia"/>
        </w:rPr>
        <w:t>服务设施设备</w:t>
      </w:r>
      <w:bookmarkEnd w:id="61"/>
    </w:p>
    <w:p>
      <w:pPr>
        <w:pStyle w:val="165"/>
      </w:pPr>
      <w:r>
        <w:rPr>
          <w:rFonts w:hint="eastAsia"/>
        </w:rPr>
        <w:t>运营期间服务设施设备的调整和变化不应降低现场服务水平或减少必要的服务内容。</w:t>
      </w:r>
    </w:p>
    <w:p>
      <w:pPr>
        <w:pStyle w:val="165"/>
      </w:pPr>
      <w:r>
        <w:rPr>
          <w:rFonts w:hint="eastAsia"/>
        </w:rPr>
        <w:t>设施设备宜采用节能化、信息化、智能化以及易于维护、更新的技术和措施。</w:t>
      </w:r>
    </w:p>
    <w:p>
      <w:pPr>
        <w:pStyle w:val="165"/>
      </w:pPr>
      <w:r>
        <w:rPr>
          <w:rFonts w:hint="eastAsia"/>
        </w:rPr>
        <w:t>运营单位应制定各系统设备的维修保养计划，根据运行状况调整检修周期，保障各类设施设备完好。</w:t>
      </w:r>
    </w:p>
    <w:p>
      <w:pPr>
        <w:pStyle w:val="165"/>
      </w:pPr>
      <w:r>
        <w:rPr>
          <w:rFonts w:hint="eastAsia"/>
        </w:rPr>
        <w:t>因车站服务设施设备故障导致乘客无法乘车时，运营单位应对受影响乘客所持车票进行退款。</w:t>
      </w:r>
    </w:p>
    <w:p>
      <w:pPr>
        <w:pStyle w:val="165"/>
      </w:pPr>
      <w:r>
        <w:rPr>
          <w:rFonts w:hint="eastAsia"/>
        </w:rPr>
        <w:t>列车上的空调、采暖、通风、监控、广播系统等设备应保持状态良好，并按规定开启。</w:t>
      </w:r>
    </w:p>
    <w:p>
      <w:pPr>
        <w:pStyle w:val="165"/>
      </w:pPr>
      <w:r>
        <w:rPr>
          <w:rFonts w:hint="eastAsia"/>
        </w:rPr>
        <w:t>自动售检票、乘客信息系统等设施设备应实现系统互联互通、兼容共享，宜推广智能运维、节能设备。</w:t>
      </w:r>
    </w:p>
    <w:p>
      <w:pPr>
        <w:pStyle w:val="165"/>
      </w:pPr>
      <w:r>
        <w:rPr>
          <w:rFonts w:hint="eastAsia"/>
        </w:rPr>
        <w:t>电梯、自动扶梯应有明确的运行方向指示，在醒目位置张贴或播放安全注意事项，故障时立即停止使用并设置现场防护。</w:t>
      </w:r>
    </w:p>
    <w:p>
      <w:pPr>
        <w:pStyle w:val="165"/>
      </w:pPr>
      <w:r>
        <w:rPr>
          <w:rFonts w:hint="eastAsia"/>
        </w:rPr>
        <w:t>车站自动售检票设备应附有使用说明，每站正常使用的售票机不少于2台，每组进出站检票机正常使用通道不少于2个（每站宽通道不少于1处），不可用的设备旁应设明显指引标识引导乘客使用其他可用设备。</w:t>
      </w:r>
    </w:p>
    <w:p>
      <w:pPr>
        <w:pStyle w:val="165"/>
      </w:pPr>
      <w:r>
        <w:rPr>
          <w:rFonts w:hint="eastAsia"/>
        </w:rPr>
        <w:t>站台门与车门联动应准确可靠，并具备关门声光提示功能，在显著位置设置安全标志和紧急操作说明，站台门无法关闭时应安排专人值守。</w:t>
      </w:r>
    </w:p>
    <w:p>
      <w:pPr>
        <w:pStyle w:val="165"/>
      </w:pPr>
      <w:r>
        <w:rPr>
          <w:rFonts w:hint="eastAsia"/>
        </w:rPr>
        <w:t>车站内应配备急救箱、轮椅、担架等急救设备，以供乘客身体不适或受伤时使用。</w:t>
      </w:r>
    </w:p>
    <w:p>
      <w:pPr>
        <w:pStyle w:val="165"/>
      </w:pPr>
      <w:r>
        <w:rPr>
          <w:rFonts w:hint="eastAsia"/>
        </w:rPr>
        <w:t>车站宜配置无障碍卫生间、母婴室等便民服务设施设备，并设置相应引导标识。</w:t>
      </w:r>
    </w:p>
    <w:p>
      <w:pPr>
        <w:pStyle w:val="105"/>
        <w:spacing w:before="156" w:after="156"/>
      </w:pPr>
      <w:bookmarkStart w:id="62" w:name="_Toc144126674"/>
      <w:r>
        <w:rPr>
          <w:rFonts w:hint="eastAsia"/>
        </w:rPr>
        <w:t>标志标识</w:t>
      </w:r>
      <w:bookmarkEnd w:id="62"/>
    </w:p>
    <w:p>
      <w:pPr>
        <w:pStyle w:val="165"/>
      </w:pPr>
      <w:r>
        <w:rPr>
          <w:rFonts w:hint="eastAsia"/>
        </w:rPr>
        <w:t>运营单位应在车站内、车站周边、列车内设置完善的客运服务标志，标志应醒目、明确、连续。</w:t>
      </w:r>
    </w:p>
    <w:p>
      <w:pPr>
        <w:pStyle w:val="165"/>
      </w:pPr>
      <w:r>
        <w:rPr>
          <w:rFonts w:hint="eastAsia"/>
        </w:rPr>
        <w:t>运营单位应在车站醒目位置张贴或显示首末班车时间、行车间隔、服务热线电话、车站信息、票务规则、禁止携带目录等信息。</w:t>
      </w:r>
    </w:p>
    <w:p>
      <w:pPr>
        <w:pStyle w:val="165"/>
      </w:pPr>
      <w:r>
        <w:rPr>
          <w:rFonts w:hint="eastAsia"/>
        </w:rPr>
        <w:t>运营单位应在列车内张贴或显示线网示意图、列车运行方向、站点设置、安全警示、服务监督电话等标志标识。</w:t>
      </w:r>
    </w:p>
    <w:p>
      <w:pPr>
        <w:pStyle w:val="165"/>
      </w:pPr>
      <w:r>
        <w:rPr>
          <w:rFonts w:hint="eastAsia"/>
        </w:rPr>
        <w:t>车站及列车内应设置清晰、醒目的无障碍设施标志，包括爱心座椅、无障碍车厢、轮椅渡板等专用服务标志。</w:t>
      </w:r>
    </w:p>
    <w:p>
      <w:pPr>
        <w:pStyle w:val="165"/>
      </w:pPr>
      <w:r>
        <w:rPr>
          <w:rFonts w:hint="eastAsia"/>
        </w:rPr>
        <w:t>车站紧急停车按钮、端门、消防设施、列车车门等可能存在安全风险处，应设置安全警示标识，应急设备旁应设置使用说明和非警勿动提示。</w:t>
      </w:r>
    </w:p>
    <w:p>
      <w:pPr>
        <w:pStyle w:val="165"/>
      </w:pPr>
      <w:r>
        <w:rPr>
          <w:rFonts w:hint="eastAsia"/>
        </w:rPr>
        <w:t>车站客流组织发生变化时，应设置清晰、连续的临时性引导标识。</w:t>
      </w:r>
    </w:p>
    <w:p>
      <w:pPr>
        <w:pStyle w:val="165"/>
      </w:pPr>
      <w:r>
        <w:rPr>
          <w:rFonts w:hint="eastAsia"/>
        </w:rPr>
        <w:t>运营单位公共场所悬挂的横幅、标语、通知公告等临时性标志，规格应统一、平整、干净，不应有撕角或破损。</w:t>
      </w:r>
    </w:p>
    <w:p>
      <w:pPr>
        <w:pStyle w:val="165"/>
      </w:pPr>
      <w:r>
        <w:rPr>
          <w:rFonts w:hint="eastAsia"/>
        </w:rPr>
        <w:t>车站及列车内的张贴、悬挂的标语、广告、横幅等不应遮挡安全警示、标志标识、通知公告，不应影响乘客使用服务设施。</w:t>
      </w:r>
    </w:p>
    <w:p>
      <w:pPr>
        <w:pStyle w:val="105"/>
        <w:spacing w:before="156" w:after="156"/>
      </w:pPr>
      <w:bookmarkStart w:id="63" w:name="_Toc144126675"/>
      <w:r>
        <w:rPr>
          <w:rFonts w:hint="eastAsia"/>
        </w:rPr>
        <w:t>环境与卫生</w:t>
      </w:r>
      <w:bookmarkEnd w:id="63"/>
    </w:p>
    <w:p>
      <w:pPr>
        <w:pStyle w:val="165"/>
      </w:pPr>
      <w:r>
        <w:rPr>
          <w:rFonts w:hint="eastAsia"/>
        </w:rPr>
        <w:t>运营单位应制定车站、列车车厢卫生保洁制度，及时清除垃圾、污物，为乘客提供适宜的候车和乘车环境。</w:t>
      </w:r>
    </w:p>
    <w:p>
      <w:pPr>
        <w:pStyle w:val="165"/>
      </w:pPr>
      <w:r>
        <w:rPr>
          <w:rFonts w:hint="eastAsia"/>
        </w:rPr>
        <w:t>公共洗手间应保持干净、无明显异味，无明显的垃圾、污物、涂鸦、小广告、杂物堆放等情况。</w:t>
      </w:r>
    </w:p>
    <w:p>
      <w:pPr>
        <w:pStyle w:val="165"/>
      </w:pPr>
      <w:r>
        <w:rPr>
          <w:rFonts w:hint="eastAsia"/>
        </w:rPr>
        <w:t>自动售票机、电扶梯、座椅、扶手等与乘客直接接触的服务设施以及循环使用的车票应定期清洁、消毒。</w:t>
      </w:r>
    </w:p>
    <w:p>
      <w:pPr>
        <w:pStyle w:val="165"/>
      </w:pPr>
      <w:r>
        <w:rPr>
          <w:rFonts w:hint="eastAsia"/>
        </w:rPr>
        <w:t>运营单位应建立环境、卫生和传染性疾病防范的管理机制，配备应对突发公共卫生事件的设施设备。</w:t>
      </w:r>
    </w:p>
    <w:p>
      <w:pPr>
        <w:pStyle w:val="165"/>
      </w:pPr>
      <w:r>
        <w:rPr>
          <w:rFonts w:hint="eastAsia"/>
        </w:rPr>
        <w:t>运营单位应保持公共区域通风换气，列车内采用空调系统时，其新风口和风道设置应确保制冷效果及乘客舒适性的要求，符合国家标准。</w:t>
      </w:r>
    </w:p>
    <w:p>
      <w:pPr>
        <w:pStyle w:val="165"/>
      </w:pPr>
      <w:r>
        <w:rPr>
          <w:rFonts w:hint="eastAsia"/>
        </w:rPr>
        <w:t>运营单位应采取技术管理等手段降低候车和乘车环境的噪声，列车内噪声地上线路不高于75dB，地下线路不高于83dB，站台噪声不高于80dB。</w:t>
      </w:r>
    </w:p>
    <w:p>
      <w:pPr>
        <w:pStyle w:val="165"/>
      </w:pPr>
      <w:r>
        <w:rPr>
          <w:rFonts w:hint="eastAsia"/>
        </w:rPr>
        <w:t>车站及列车内照明灯具布置的位置、数量应满足光线柔和不刺眼的要求，正常照明的平均照度不低于200lx，最低值不低于150lx。</w:t>
      </w:r>
    </w:p>
    <w:p>
      <w:pPr>
        <w:pStyle w:val="104"/>
        <w:spacing w:before="312" w:after="312"/>
      </w:pPr>
      <w:bookmarkStart w:id="64" w:name="_Toc144126676"/>
      <w:r>
        <w:t>服务质量管理</w:t>
      </w:r>
      <w:bookmarkEnd w:id="64"/>
    </w:p>
    <w:p>
      <w:pPr>
        <w:pStyle w:val="105"/>
        <w:spacing w:before="156" w:after="156"/>
      </w:pPr>
      <w:bookmarkStart w:id="65" w:name="_Toc144126677"/>
      <w:r>
        <w:rPr>
          <w:rFonts w:hint="eastAsia"/>
        </w:rPr>
        <w:t>服务质量承诺</w:t>
      </w:r>
      <w:bookmarkEnd w:id="65"/>
    </w:p>
    <w:p>
      <w:pPr>
        <w:pStyle w:val="165"/>
      </w:pPr>
      <w:r>
        <w:rPr>
          <w:rFonts w:hint="eastAsia"/>
        </w:rPr>
        <w:t>运营单位应每年公布服务质量承诺，并向交通主管部门定期报告服务质量承诺履行情况。</w:t>
      </w:r>
    </w:p>
    <w:p>
      <w:pPr>
        <w:pStyle w:val="165"/>
      </w:pPr>
      <w:r>
        <w:rPr>
          <w:rFonts w:hint="eastAsia"/>
        </w:rPr>
        <w:t xml:space="preserve">服务承诺至少应包括： </w:t>
      </w:r>
    </w:p>
    <w:p>
      <w:pPr>
        <w:pStyle w:val="174"/>
      </w:pPr>
      <w:r>
        <w:rPr>
          <w:rFonts w:hint="eastAsia"/>
        </w:rPr>
        <w:t>列车正点率、列车运行图兑现率等列车运行指标；</w:t>
      </w:r>
    </w:p>
    <w:p>
      <w:pPr>
        <w:pStyle w:val="174"/>
      </w:pPr>
      <w:r>
        <w:rPr>
          <w:rFonts w:hint="eastAsia"/>
        </w:rPr>
        <w:t>客运服务设备设施可靠度应符合国标要求；</w:t>
      </w:r>
    </w:p>
    <w:p>
      <w:pPr>
        <w:pStyle w:val="174"/>
      </w:pPr>
      <w:r>
        <w:rPr>
          <w:rFonts w:hint="eastAsia"/>
        </w:rPr>
        <w:t>乘客投诉、意见、建议的受理渠道和处理时限；</w:t>
      </w:r>
    </w:p>
    <w:p>
      <w:pPr>
        <w:pStyle w:val="174"/>
      </w:pPr>
      <w:r>
        <w:rPr>
          <w:rFonts w:hint="eastAsia"/>
        </w:rPr>
        <w:t xml:space="preserve">服务改进的举措和计划。 </w:t>
      </w:r>
    </w:p>
    <w:p>
      <w:pPr>
        <w:pStyle w:val="105"/>
        <w:spacing w:before="156" w:after="156"/>
      </w:pPr>
      <w:bookmarkStart w:id="66" w:name="_Toc144126678"/>
      <w:r>
        <w:rPr>
          <w:rFonts w:hint="eastAsia"/>
        </w:rPr>
        <w:t>服务质量监督与改进</w:t>
      </w:r>
      <w:bookmarkEnd w:id="66"/>
    </w:p>
    <w:p>
      <w:pPr>
        <w:pStyle w:val="165"/>
      </w:pPr>
      <w:r>
        <w:rPr>
          <w:rFonts w:hint="eastAsia"/>
        </w:rPr>
        <w:t>运营单位应建立服务质量管理机构，建立健全质量监督体系，定期开展服务自查、考评、整改，制定服务质量改进计划。</w:t>
      </w:r>
    </w:p>
    <w:p>
      <w:pPr>
        <w:pStyle w:val="165"/>
      </w:pPr>
      <w:r>
        <w:rPr>
          <w:rFonts w:hint="eastAsia"/>
        </w:rPr>
        <w:t>运营单位应接受社会对服务的监督，建立投诉、建议收集制度，畅通意见、建议、投诉等反馈途径，设专人值守服务热线。对于乘客的建议，运营单位应及时回复；对于乘客的投诉，运营单位应在7个工作日内处理完毕，并将处理结果告知乘客。</w:t>
      </w:r>
    </w:p>
    <w:p>
      <w:pPr>
        <w:pStyle w:val="165"/>
      </w:pPr>
      <w:r>
        <w:rPr>
          <w:rFonts w:hint="eastAsia"/>
        </w:rPr>
        <w:t>运营单位应在车站或列车内公示服务监督投诉电话。</w:t>
      </w:r>
    </w:p>
    <w:p>
      <w:pPr>
        <w:pStyle w:val="165"/>
      </w:pPr>
      <w:r>
        <w:rPr>
          <w:rFonts w:hint="eastAsia"/>
        </w:rPr>
        <w:t>运营单位应定期进行服务质量内部检查，并根据检查情况有针对的改进服务薄弱环节，提升服务质量。</w:t>
      </w:r>
    </w:p>
    <w:p>
      <w:pPr>
        <w:pStyle w:val="165"/>
      </w:pPr>
      <w:r>
        <w:rPr>
          <w:rFonts w:hint="eastAsia"/>
        </w:rPr>
        <w:t>运营单位应配合交通主管部门对各线路的服务质量评价，并根据服务质量评价结果制定服务整改措施。</w:t>
      </w:r>
    </w:p>
    <w:bookmarkEnd w:id="24"/>
    <w:p>
      <w:pPr>
        <w:pStyle w:val="56"/>
        <w:ind w:firstLine="0" w:firstLineChars="0"/>
        <w:jc w:val="center"/>
      </w:pPr>
      <w:bookmarkStart w:id="6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230"/>
      <w:suff w:val="nothing"/>
      <w:lvlText w:val="%1.%2　"/>
      <w:lvlJc w:val="left"/>
      <w:pPr>
        <w:ind w:left="0"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142"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85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SfV5pyVkjliAPF0LPkxlkqmYlp26F0hrxYxmOqL2buOBbCFZ5zdeP8aKxBvxxx00jWkHQ8KWhRS6yVfb1NwXYQ==" w:salt="Ox5MZsdrUHhfOHBHOlh61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OGRlNTEyMDEyZjM5NTE0YTM5M2EzMzUzNzkyYzUifQ=="/>
  </w:docVars>
  <w:rsids>
    <w:rsidRoot w:val="003D0A4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C9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5973"/>
    <w:rsid w:val="00141114"/>
    <w:rsid w:val="00142969"/>
    <w:rsid w:val="001446C2"/>
    <w:rsid w:val="001457E7"/>
    <w:rsid w:val="00145D9D"/>
    <w:rsid w:val="00146388"/>
    <w:rsid w:val="001529E5"/>
    <w:rsid w:val="00153C7E"/>
    <w:rsid w:val="00156B25"/>
    <w:rsid w:val="00156E1A"/>
    <w:rsid w:val="00157894"/>
    <w:rsid w:val="00157AD7"/>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F15"/>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A7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23E"/>
    <w:rsid w:val="00336C64"/>
    <w:rsid w:val="00337162"/>
    <w:rsid w:val="0034194F"/>
    <w:rsid w:val="00344605"/>
    <w:rsid w:val="003474AA"/>
    <w:rsid w:val="00347730"/>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A40"/>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DA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3CC"/>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5FB"/>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7"/>
    <w:rsid w:val="007959E8"/>
    <w:rsid w:val="00795E9C"/>
    <w:rsid w:val="007A0521"/>
    <w:rsid w:val="007A2E12"/>
    <w:rsid w:val="007A3475"/>
    <w:rsid w:val="007A41C8"/>
    <w:rsid w:val="007A54CE"/>
    <w:rsid w:val="007A6FD9"/>
    <w:rsid w:val="007A7FFA"/>
    <w:rsid w:val="007B04EB"/>
    <w:rsid w:val="007B0711"/>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9EB"/>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DDB"/>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FFC"/>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9DD"/>
    <w:rsid w:val="00B96D40"/>
    <w:rsid w:val="00B97386"/>
    <w:rsid w:val="00BA263B"/>
    <w:rsid w:val="00BA42B2"/>
    <w:rsid w:val="00BA58D4"/>
    <w:rsid w:val="00BA5B9E"/>
    <w:rsid w:val="00BA7C9A"/>
    <w:rsid w:val="00BB203B"/>
    <w:rsid w:val="00BB5F8F"/>
    <w:rsid w:val="00BB6538"/>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D61"/>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26B"/>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C00"/>
    <w:rsid w:val="00F451EA"/>
    <w:rsid w:val="00F45447"/>
    <w:rsid w:val="00F456C6"/>
    <w:rsid w:val="00F4577B"/>
    <w:rsid w:val="00F46496"/>
    <w:rsid w:val="00F474D0"/>
    <w:rsid w:val="00F50179"/>
    <w:rsid w:val="00F515EE"/>
    <w:rsid w:val="00F52DB0"/>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383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709"/>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一级条标题"/>
    <w:next w:val="1"/>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1">
    <w:name w:val="字母编号列项（一级）"/>
    <w:uiPriority w:val="0"/>
    <w:pPr>
      <w:jc w:val="both"/>
    </w:pPr>
    <w:rPr>
      <w:rFonts w:ascii="宋体" w:hAnsi="Times New Roman" w:eastAsia="宋体" w:cs="Times New Roman"/>
      <w:sz w:val="21"/>
      <w:lang w:val="en-US" w:eastAsia="zh-CN" w:bidi="ar-SA"/>
    </w:rPr>
  </w:style>
  <w:style w:type="paragraph" w:customStyle="1" w:styleId="232">
    <w:name w:val="一级无"/>
    <w:basedOn w:val="230"/>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9BE8373A25401B80C1E372900BA131"/>
        <w:style w:val=""/>
        <w:category>
          <w:name w:val="常规"/>
          <w:gallery w:val="placeholder"/>
        </w:category>
        <w:types>
          <w:type w:val="bbPlcHdr"/>
        </w:types>
        <w:behaviors>
          <w:behavior w:val="content"/>
        </w:behaviors>
        <w:description w:val=""/>
        <w:guid w:val="{896002CE-4E14-4DDD-97E9-FB64AAB563D0}"/>
      </w:docPartPr>
      <w:docPartBody>
        <w:p>
          <w:pPr>
            <w:pStyle w:val="5"/>
          </w:pPr>
          <w:r>
            <w:rPr>
              <w:rStyle w:val="4"/>
              <w:rFonts w:hint="eastAsia"/>
            </w:rPr>
            <w:t>单击或点击此处输入文字。</w:t>
          </w:r>
        </w:p>
      </w:docPartBody>
    </w:docPart>
    <w:docPart>
      <w:docPartPr>
        <w:name w:val="353842C561A846B7B13D665CAE49A396"/>
        <w:style w:val=""/>
        <w:category>
          <w:name w:val="常规"/>
          <w:gallery w:val="placeholder"/>
        </w:category>
        <w:types>
          <w:type w:val="bbPlcHdr"/>
        </w:types>
        <w:behaviors>
          <w:behavior w:val="content"/>
        </w:behaviors>
        <w:description w:val=""/>
        <w:guid w:val="{F5052A9F-3724-4EC4-B20B-9BAAE1B81B97}"/>
      </w:docPartPr>
      <w:docPartBody>
        <w:p>
          <w:pPr>
            <w:pStyle w:val="6"/>
          </w:pPr>
          <w:r>
            <w:rPr>
              <w:rStyle w:val="4"/>
              <w:rFonts w:hint="eastAsia"/>
            </w:rPr>
            <w:t>选择一项。</w:t>
          </w:r>
        </w:p>
      </w:docPartBody>
    </w:docPart>
    <w:docPart>
      <w:docPartPr>
        <w:name w:val="E8AEACC39BBD4F1699DE8D9AE3AB7320"/>
        <w:style w:val=""/>
        <w:category>
          <w:name w:val="常规"/>
          <w:gallery w:val="placeholder"/>
        </w:category>
        <w:types>
          <w:type w:val="bbPlcHdr"/>
        </w:types>
        <w:behaviors>
          <w:behavior w:val="content"/>
        </w:behaviors>
        <w:description w:val=""/>
        <w:guid w:val="{BF59B861-8BD2-4A5C-A160-BA991DCE05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CE"/>
    <w:rsid w:val="00403C72"/>
    <w:rsid w:val="005F6B9E"/>
    <w:rsid w:val="00E641E4"/>
    <w:rsid w:val="00ED74CE"/>
    <w:rsid w:val="00FA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59BE8373A25401B80C1E372900BA1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53842C561A846B7B13D665CAE49A3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AEACC39BBD4F1699DE8D9AE3AB732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1ADF0-C60B-456D-879B-1848EBA4749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999</Words>
  <Characters>5698</Characters>
  <Lines>47</Lines>
  <Paragraphs>13</Paragraphs>
  <TotalTime>106</TotalTime>
  <ScaleCrop>false</ScaleCrop>
  <LinksUpToDate>false</LinksUpToDate>
  <CharactersWithSpaces>6684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2023-08-28T06:10:00Z</dcterms:created>
  <dc:creator>lenovo</dc:creator>
  <dc:description>&lt;config cover="true" show_menu="true" version="1.0.0" doctype="SDKXY"&gt;_x000d_
&lt;/config&gt;</dc:description>
  <cp:lastModifiedBy>xzdtyy-03-0016</cp:lastModifiedBy>
  <cp:lastPrinted>2020-08-30T10:00:00Z</cp:lastPrinted>
  <dcterms:modified xsi:type="dcterms:W3CDTF">2023-08-29T01:30:00Z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2052-12.1.0.15358</vt:lpwstr>
  </property>
  <property fmtid="{D5CDD505-2E9C-101B-9397-08002B2CF9AE}" pid="15" name="ICV">
    <vt:lpwstr>67D44ECBBA274A589454E94482AE310E_12</vt:lpwstr>
  </property>
</Properties>
</file>