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印染行业规范条件（2023版）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>
      <w:pPr>
        <w:spacing w:line="700" w:lineRule="exact"/>
        <w:ind w:firstLine="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0" w:firstLineChars="0"/>
        <w:rPr>
          <w:rFonts w:ascii="Times New Roman" w:hAnsi="Times New Roman" w:eastAsia="仿宋_GB2312" w:cs="仿宋_GB2312"/>
          <w:color w:val="FF0000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为规范印染行业生产经营和投资行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为，推进印染行业高端化智能化绿色化发展，引导印染行业向技术先进、资源节约、环境友好型产业转型，巩固印染行业国际领先地位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根据国家有关法律、法规和产业政策，</w:t>
      </w:r>
      <w:r>
        <w:rPr>
          <w:rFonts w:ascii="Times New Roman" w:hAnsi="Times New Roman" w:eastAsia="仿宋_GB2312" w:cs="Times New Roman"/>
          <w:sz w:val="32"/>
        </w:rPr>
        <w:t>按照合理布局、鼓励创新、节约资源、降低消耗、保护环境和安全生产的原则，制定本规范条件。</w:t>
      </w:r>
    </w:p>
    <w:p>
      <w:pPr>
        <w:spacing w:line="600" w:lineRule="exact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一、企业布局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（一）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各地要根据当地环境、资源等情况，科学合理规划本地区印染行业发展。印染项目要符合国家产业政策和相关的产业规划及布局要求，符合本地区土地利用总体规划、城市总体规划、环境保护规划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和生态环境分区管控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等要求。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（二）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禁止在饮用水水源保护区、自然保护区、风景名胜区内建设印染项目，上述区域内的印染企业应依法逐步迁出。缺水地区原则上不新建印染项目。水源相对充足地区新建印染项目要在工业园区内集中建设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并符合园区规划环评要求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，实行集中供热和污染物集中处理。工业园区外企业要逐步搬迁入园。</w:t>
      </w:r>
    </w:p>
    <w:p>
      <w:pPr>
        <w:spacing w:line="600" w:lineRule="exact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二、工艺装备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（一）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企业要采用技术先进、绿色低碳的工艺装备，禁止使用有关政策文件明确的淘汰类工艺装备，主要工艺参数应实现在线检测和自动控制。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企业燃煤锅炉应实现超低排放，鼓励企业使用清洁能源供热。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新建印染项目应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采用助剂自动配液输送系统。鼓励企业采用染化料自动称量系统和染料自动配液输送系统。企业应配备冷却水、冷凝水及余热回收装置。企业应选择采用可生物降解（或易回收）浆料的坯布，使用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符合低挥发性有机物（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VOCs）含量等要求的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生态环保型染料和助剂。鼓励企业采用水基（性）涂层整理剂。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印染项目设计建设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执行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相应的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工厂设计规范</w:t>
      </w:r>
      <w:r>
        <w:rPr>
          <w:rFonts w:ascii="Times New Roman" w:hAnsi="Times New Roman" w:eastAsia="仿宋_GB2312" w:cs="仿宋_GB2312"/>
          <w:sz w:val="32"/>
          <w:szCs w:val="32"/>
        </w:rPr>
        <w:t>。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（二）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主要印染设备主机应使用符合《电动机能效限定值及能效等级》（GB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18613）规定的二级及以上能效等级的电机。连续式水洗装置要密封性好，并配有逆流、高效漂洗及余热回收装置。间歇式染色设备最小浴比应在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（含）以下。定形机应配套安装废气收集处理装置、余热回收装置。涂层机应配套安装废气收集处理装置、溶剂回收装置。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丝光机应配备淡碱回收装置。</w:t>
      </w:r>
    </w:p>
    <w:p>
      <w:pPr>
        <w:spacing w:line="600" w:lineRule="exact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三、质量管理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（一）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企业要开发生产低消耗、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低排放、生态安全的绿色产品，鼓励采用新技术、新工艺、新设备、新材料开发具有自主知识产权、高附加值的产品。企业应加强产品开发和质量管控，建立能进行纺织品基础物理、化学指标检测的实验室，产品质量要符合有关标准要求，产品合格率达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98%以上。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鼓励企业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开展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实验室认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和技术中心建设。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（二）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企业应实行三级用能、用水计量管理，设置专门机构或人员对能源、取水、排污情况进行监督，并建立管理考核制度和数据统计系统。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（三）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企业要健全企业管理制度，鼓励企业进行质量、环境、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能源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以及职业健康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安全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等管理体系认证，支持企业采用信息化管理手段提高管理效率和水平。企业要加强生产现场管理，车间应干净整洁。</w:t>
      </w:r>
    </w:p>
    <w:p>
      <w:pPr>
        <w:spacing w:line="600" w:lineRule="exact"/>
        <w:rPr>
          <w:rFonts w:ascii="Times New Roman" w:hAnsi="Times New Roman" w:eastAsia="仿宋_GB2312" w:cs="仿宋_GB2312"/>
          <w:color w:val="FF0000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（四）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企业要规范化学品存储和使用，危险化学品应严格遵循《危险化学品安全管理条例》要求，加强对从业人员化学品使用的岗位技能培训。企业应建立化学品绿色供应链管控体系。</w:t>
      </w:r>
    </w:p>
    <w:p>
      <w:pPr>
        <w:spacing w:line="600" w:lineRule="exact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四、资源消耗</w:t>
      </w:r>
    </w:p>
    <w:p>
      <w:pPr>
        <w:spacing w:line="600" w:lineRule="exact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印染企业单位产品综合能耗和新鲜水取水量要达到规定要求。企业水重复利用率应达45%以上。</w:t>
      </w:r>
    </w:p>
    <w:p>
      <w:pPr>
        <w:spacing w:line="600" w:lineRule="exact"/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印染加工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单位产品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综合能耗及新鲜水取水量</w:t>
      </w:r>
    </w:p>
    <w:tbl>
      <w:tblPr>
        <w:tblStyle w:val="7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8"/>
        <w:gridCol w:w="2693"/>
        <w:gridCol w:w="2841"/>
      </w:tblGrid>
      <w:tr>
        <w:trPr>
          <w:jc w:val="center"/>
        </w:trPr>
        <w:tc>
          <w:tcPr>
            <w:tcW w:w="2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20" w:line="6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产品种类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20" w:line="6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综合能耗</w:t>
            </w:r>
          </w:p>
        </w:tc>
        <w:tc>
          <w:tcPr>
            <w:tcW w:w="2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20" w:line="6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新鲜水取水量</w:t>
            </w:r>
          </w:p>
        </w:tc>
      </w:tr>
      <w:tr>
        <w:trPr>
          <w:jc w:val="center"/>
        </w:trPr>
        <w:tc>
          <w:tcPr>
            <w:tcW w:w="2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20" w:line="6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棉、麻、化纤及混纺机织物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20" w:line="6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≤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28</w:t>
            </w:r>
            <w:r>
              <w:rPr>
                <w:rFonts w:ascii="Times New Roman" w:hAnsi="Times New Roman" w:eastAsia="仿宋_GB2312" w:cs="仿宋_GB2312"/>
                <w:sz w:val="24"/>
              </w:rPr>
              <w:t>公斤标煤/百米</w:t>
            </w:r>
          </w:p>
        </w:tc>
        <w:tc>
          <w:tcPr>
            <w:tcW w:w="2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20" w:line="6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≤</w:t>
            </w:r>
            <w:r>
              <w:rPr>
                <w:rFonts w:ascii="Times New Roman" w:hAnsi="Times New Roman" w:eastAsia="仿宋_GB2312" w:cs="仿宋_GB2312"/>
                <w:sz w:val="24"/>
              </w:rPr>
              <w:t>1.4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吨水</w:t>
            </w:r>
            <w:r>
              <w:rPr>
                <w:rFonts w:ascii="Times New Roman" w:hAnsi="Times New Roman" w:eastAsia="仿宋_GB2312" w:cs="仿宋_GB2312"/>
                <w:sz w:val="24"/>
              </w:rPr>
              <w:t>/百米</w:t>
            </w:r>
          </w:p>
        </w:tc>
      </w:tr>
      <w:tr>
        <w:trPr>
          <w:jc w:val="center"/>
        </w:trPr>
        <w:tc>
          <w:tcPr>
            <w:tcW w:w="2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20" w:line="6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纱线、针织物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20" w:line="6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≤</w:t>
            </w:r>
            <w:r>
              <w:rPr>
                <w:rFonts w:ascii="Times New Roman" w:hAnsi="Times New Roman" w:eastAsia="仿宋_GB2312" w:cs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吨标煤</w:t>
            </w:r>
            <w:r>
              <w:rPr>
                <w:rFonts w:ascii="Times New Roman" w:hAnsi="Times New Roman" w:eastAsia="仿宋_GB2312" w:cs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吨</w:t>
            </w:r>
          </w:p>
        </w:tc>
        <w:tc>
          <w:tcPr>
            <w:tcW w:w="2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20" w:line="6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≤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吨水</w:t>
            </w:r>
            <w:r>
              <w:rPr>
                <w:rFonts w:ascii="Times New Roman" w:hAnsi="Times New Roman" w:eastAsia="仿宋_GB2312" w:cs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吨</w:t>
            </w:r>
          </w:p>
        </w:tc>
      </w:tr>
      <w:tr>
        <w:trPr>
          <w:jc w:val="center"/>
        </w:trPr>
        <w:tc>
          <w:tcPr>
            <w:tcW w:w="2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20" w:line="6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真丝绸机织物（含练白）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20" w:line="6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≤</w:t>
            </w:r>
            <w:r>
              <w:rPr>
                <w:rFonts w:ascii="Times New Roman" w:hAnsi="Times New Roman" w:eastAsia="仿宋_GB2312" w:cs="仿宋_GB2312"/>
                <w:sz w:val="24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公斤标煤</w:t>
            </w:r>
            <w:r>
              <w:rPr>
                <w:rFonts w:ascii="Times New Roman" w:hAnsi="Times New Roman" w:eastAsia="仿宋_GB2312" w:cs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百米</w:t>
            </w:r>
          </w:p>
        </w:tc>
        <w:tc>
          <w:tcPr>
            <w:tcW w:w="2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20" w:line="6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≤</w:t>
            </w:r>
            <w:r>
              <w:rPr>
                <w:rFonts w:ascii="Times New Roman" w:hAnsi="Times New Roman" w:eastAsia="仿宋_GB2312" w:cs="仿宋_GB2312"/>
                <w:sz w:val="24"/>
              </w:rPr>
              <w:t>2.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吨水</w:t>
            </w:r>
            <w:r>
              <w:rPr>
                <w:rFonts w:ascii="Times New Roman" w:hAnsi="Times New Roman" w:eastAsia="仿宋_GB2312" w:cs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百米</w:t>
            </w:r>
          </w:p>
        </w:tc>
      </w:tr>
      <w:tr>
        <w:trPr>
          <w:jc w:val="center"/>
        </w:trPr>
        <w:tc>
          <w:tcPr>
            <w:tcW w:w="2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20" w:line="6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精梳毛织物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20" w:line="6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≤</w:t>
            </w:r>
            <w:r>
              <w:rPr>
                <w:rFonts w:ascii="Times New Roman" w:hAnsi="Times New Roman" w:eastAsia="仿宋_GB2312" w:cs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仿宋_GB2312"/>
                <w:sz w:val="24"/>
              </w:rPr>
              <w:t>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公斤标煤</w:t>
            </w:r>
            <w:r>
              <w:rPr>
                <w:rFonts w:ascii="Times New Roman" w:hAnsi="Times New Roman" w:eastAsia="仿宋_GB2312" w:cs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百米</w:t>
            </w:r>
          </w:p>
        </w:tc>
        <w:tc>
          <w:tcPr>
            <w:tcW w:w="2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N w:val="0"/>
              <w:snapToGrid/>
              <w:spacing w:before="120" w:line="6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≤</w:t>
            </w:r>
            <w:r>
              <w:rPr>
                <w:rFonts w:ascii="Times New Roman" w:hAnsi="Times New Roman" w:eastAsia="仿宋_GB2312" w:cs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吨水</w:t>
            </w:r>
            <w:r>
              <w:rPr>
                <w:rFonts w:ascii="Times New Roman" w:hAnsi="Times New Roman" w:eastAsia="仿宋_GB2312" w:cs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百米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注：1.机织物标准品为布幅宽度152cm、布重10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—</w:t>
      </w:r>
      <w:r>
        <w:rPr>
          <w:rFonts w:ascii="Times New Roman" w:hAnsi="Times New Roman" w:eastAsia="仿宋_GB2312" w:cs="仿宋_GB2312"/>
          <w:sz w:val="32"/>
          <w:szCs w:val="32"/>
        </w:rPr>
        <w:t>14kg/100m的棉染色合格产品，真丝绸机织物标准品为布幅宽度114cm、布重6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—</w:t>
      </w:r>
      <w:r>
        <w:rPr>
          <w:rFonts w:ascii="Times New Roman" w:hAnsi="Times New Roman" w:eastAsia="仿宋_GB2312" w:cs="仿宋_GB2312"/>
          <w:sz w:val="32"/>
          <w:szCs w:val="32"/>
        </w:rPr>
        <w:t>8kg/100m的染色合格产品，当产品不同时，可按标准进行换算。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2.针织或纱线标准品为棉浅色染色产品，当产品不同时，可参照《针织印染产品取水计算办法及单耗基本定额》（FZ/T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</w:rPr>
        <w:t>01105）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《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针织印染面料单位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产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品能源消耗限额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》（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FZ/T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07019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进行换算。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3.精梳毛织物印染加工指从毛条经过条染复精梳、纺纱、织布、染整、成品入库等工序加工成合格毛织品精梳织物的全过程。粗梳毛织物单位产品能耗按精梳毛织物的1.3倍折算,新鲜水取水量按精梳毛织物的1.15倍折算。毛针织绒线、手编绒线单位产品能耗按纱线、针织物的1.3倍折算,新鲜水取水量按纱线、针织物的1.3倍折算。</w:t>
      </w:r>
    </w:p>
    <w:p>
      <w:pPr>
        <w:spacing w:line="600" w:lineRule="exact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五、环境保护</w:t>
      </w:r>
    </w:p>
    <w:p>
      <w:pPr>
        <w:spacing w:line="600" w:lineRule="exact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（一）印染项目环保设施要按照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《纺织工业环境保护设施设计标准》（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GB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50425）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要求进行设计和建设，严格执行环境保护“三同时”制度，依法开展项目竣工环境保护验收，验收合格后方可投入生产运行。印染项目应依法严格执行环境影响评价制度，环境影响评价文件未通过审批的项目不得开工建设。企业应依法申请排污许可证，并按证排污。</w:t>
      </w:r>
    </w:p>
    <w:p>
      <w:pPr>
        <w:spacing w:line="600" w:lineRule="exact"/>
        <w:ind w:firstLine="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（二）企业应有健全的环境管理机构，制定有效的环境管理制度，获得ISO14001环境管理体系认证。企业要按照有关规定开展能源审计，开展清洁生产审核并通过验收，不断提高清洁生产水平。企业应制定突发环境事件应急预案，开展环境应急演练，储备必要的环境应急物资，在发生突发环境事件后，第一时间开展先期处置，并按规定进行信息报告和通报。</w:t>
      </w:r>
    </w:p>
    <w:p>
      <w:pPr>
        <w:spacing w:line="600" w:lineRule="exact"/>
        <w:rPr>
          <w:rFonts w:ascii="Times New Roman" w:hAnsi="Times New Roman" w:eastAsia="仿宋_GB2312" w:cs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（三）企业废水排放应符合《纺织染整工业水污染物排放标准》（GB 4287）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或者地方规定的水污染物排放标准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。企业应采用高效节能环保的污泥处理工艺，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一般工业固体废物的贮存、填满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处置应符合《一般工业固体废物贮存和填埋污染控制标准》（GB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18599）等标准。企业废气排放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应符合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《大气污染物综合排放标准》（GB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16297）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、《恶臭污染物排放标准》（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GB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14554）、《挥发性有机物无组织排放控制标准》（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GB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37822）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，有地方标准的应执行地方标准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。企业厂界噪声应符合国家《工业企业厂界环境噪声排放标准》（GB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12348）等标准。</w:t>
      </w:r>
    </w:p>
    <w:p>
      <w:pPr>
        <w:spacing w:line="600" w:lineRule="exact"/>
        <w:ind w:firstLine="0" w:firstLineChars="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（四）企业应严格执行新化学物质环境管理登记制度，严格落实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《重点管控新污染物清单》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有关要求，从源头避免使用列入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《重点管控新污染物清单》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的化学物质以及对消费者、环境等有害的化学物质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六、安全生产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（一）企业应遵守《中华人民共和国安全生产法》《中华人民共和国职业病防治法》等法律法规，执行保障安全生产的国家标准或行业标准。企业应建立健全安全生产责任制，制定安全生产规章制度和操作规程，制定并实施安全生产教育和培训计划，保证安全生产投入有效实施，及时消除生产安全事故隐患。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（二）企业要按照《纺织工业企业安全管理规范》（AQ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7002）和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《纺织工业职业安全卫生设施设计标准》（GB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50477）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要求，建设安全生产设施，并按照国家有关规定和要求，确保安全设施与主体工程同时设计、同时施工、同时投入生产和使用。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（三）企业应依法落实职业病危害防治措施，对重大危险源应登记建档，进行定期检测、评估、监控，并制定应急预案，为从业人员提供劳动防护用品，监督、教育从业人员正确佩戴、使用。</w:t>
      </w:r>
    </w:p>
    <w:p>
      <w:pPr>
        <w:spacing w:line="600" w:lineRule="exact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七、社会责任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（一）企业应遵守《中华人民共和国劳动法》《中华人民共和国劳动合同法》等法律法规，遵循以人为本的原则，保障员工劳动权益和健康安全，为员工发展提供必要条件，促进企业与人协调发展。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（二）鼓励企业通过建立“纺织服装企业社会责任管理体系（CSC9000T）”，全面提升企业社会责任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Times New Roman" w:hAnsi="Times New Roman" w:eastAsia="仿宋_GB2312" w:cs="仿宋_GB2312"/>
          <w:sz w:val="32"/>
          <w:szCs w:val="32"/>
        </w:rPr>
        <w:t>和可持续发展能力。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（三）企业应按照《排污许可管理条例》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《企业环境信息依法披露管理办法》等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开展环境信息公开。鼓励企业主动开展社会责任和可持续发展信息披露，通过建立健全信息披露机制、提高企业信息披露质量，促进企业改善管理，提高价值链协同发展能力。</w:t>
      </w:r>
    </w:p>
    <w:p>
      <w:pPr>
        <w:spacing w:line="600" w:lineRule="exact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八、规范管理</w:t>
      </w:r>
    </w:p>
    <w:p>
      <w:pPr>
        <w:spacing w:line="600" w:lineRule="exact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（一）各级工业和信息化主管部门要加强对印染行业的管理，指导企业按照规范条件要求，加快技术改造，依法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依规</w:t>
      </w:r>
      <w:r>
        <w:rPr>
          <w:rFonts w:hint="eastAsia" w:ascii="Times New Roman" w:hAnsi="Times New Roman" w:eastAsia="仿宋_GB2312" w:cs="仿宋_GB2312"/>
          <w:sz w:val="32"/>
          <w:szCs w:val="32"/>
        </w:rPr>
        <w:t>淘汰落后产能，规范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管理。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（二）经企业自愿申请，省级工业和信息化主管部门核实推荐，工业和信息化部对符合规范条件的企业进行公告。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（三）有关行业协会要推动规范条件在印染行业中的落实，加强行业指导和行业自律，推进行业技术进步，协助政府有关部门做好行业管理工作。</w:t>
      </w:r>
    </w:p>
    <w:p>
      <w:pPr>
        <w:spacing w:line="600" w:lineRule="exact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九、附则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（一）本规范条件适用于中华人民共和国境内（港澳台地区除外）各类印染企业，具有印染能力的棉纺织、化纤织造、毛纺织、麻纺织、丝绸、色织、针织、服装等企业。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（二）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本规范条件是鼓励和引导行业技术进步和规范发展的引导性文件，不具有行政审批的前置性和强制性。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（三）本规范条件引用的标准、法律、法规、技术规范和产业政策等，按其最新版本执行，如有修订，从其规定。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四）本规范条件自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2023年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起实施。《印染行业规范条件（2017版）》（工业和信息化部公告2017年第37号）同时废止。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950B8"/>
    <w:rsid w:val="000B257E"/>
    <w:rsid w:val="000B3033"/>
    <w:rsid w:val="001C26BA"/>
    <w:rsid w:val="001C6C13"/>
    <w:rsid w:val="001E5D6C"/>
    <w:rsid w:val="002471EE"/>
    <w:rsid w:val="002654E3"/>
    <w:rsid w:val="002F07E9"/>
    <w:rsid w:val="003050E7"/>
    <w:rsid w:val="003D671E"/>
    <w:rsid w:val="00466EB3"/>
    <w:rsid w:val="004A608E"/>
    <w:rsid w:val="004D30DC"/>
    <w:rsid w:val="004F3202"/>
    <w:rsid w:val="005042BD"/>
    <w:rsid w:val="00582AE6"/>
    <w:rsid w:val="005B10CB"/>
    <w:rsid w:val="00674783"/>
    <w:rsid w:val="00684C03"/>
    <w:rsid w:val="006A047B"/>
    <w:rsid w:val="00745797"/>
    <w:rsid w:val="007466B8"/>
    <w:rsid w:val="00750A68"/>
    <w:rsid w:val="007C2CAD"/>
    <w:rsid w:val="0080615D"/>
    <w:rsid w:val="00874ECC"/>
    <w:rsid w:val="008D11B1"/>
    <w:rsid w:val="00A84013"/>
    <w:rsid w:val="00AC7E32"/>
    <w:rsid w:val="00AF706A"/>
    <w:rsid w:val="00B4411D"/>
    <w:rsid w:val="00B613B7"/>
    <w:rsid w:val="00BE27CD"/>
    <w:rsid w:val="00C14BF5"/>
    <w:rsid w:val="00C2715C"/>
    <w:rsid w:val="00C66273"/>
    <w:rsid w:val="00C9533C"/>
    <w:rsid w:val="00D163B3"/>
    <w:rsid w:val="00D44459"/>
    <w:rsid w:val="00D5717C"/>
    <w:rsid w:val="00E706C5"/>
    <w:rsid w:val="00FB19BA"/>
    <w:rsid w:val="00FB7000"/>
    <w:rsid w:val="00FD557A"/>
    <w:rsid w:val="018240F2"/>
    <w:rsid w:val="060C4523"/>
    <w:rsid w:val="06FD4783"/>
    <w:rsid w:val="08C60255"/>
    <w:rsid w:val="0DBCD5E8"/>
    <w:rsid w:val="10032234"/>
    <w:rsid w:val="12381162"/>
    <w:rsid w:val="132647D3"/>
    <w:rsid w:val="13273887"/>
    <w:rsid w:val="13BF9400"/>
    <w:rsid w:val="14DA08BD"/>
    <w:rsid w:val="1AEB0378"/>
    <w:rsid w:val="1B0C34D9"/>
    <w:rsid w:val="1C357A1A"/>
    <w:rsid w:val="1F7941E6"/>
    <w:rsid w:val="21E76554"/>
    <w:rsid w:val="237D1081"/>
    <w:rsid w:val="26F13669"/>
    <w:rsid w:val="2EAE2613"/>
    <w:rsid w:val="2EB13EAB"/>
    <w:rsid w:val="31807F43"/>
    <w:rsid w:val="352D0181"/>
    <w:rsid w:val="37C657F5"/>
    <w:rsid w:val="38771DD4"/>
    <w:rsid w:val="3B2F2D6B"/>
    <w:rsid w:val="3B5422AD"/>
    <w:rsid w:val="3BC69BD4"/>
    <w:rsid w:val="3C6950B8"/>
    <w:rsid w:val="3D11311C"/>
    <w:rsid w:val="3D50204B"/>
    <w:rsid w:val="44902ED8"/>
    <w:rsid w:val="46CC64B0"/>
    <w:rsid w:val="46CD4C63"/>
    <w:rsid w:val="48DF3B49"/>
    <w:rsid w:val="5137771B"/>
    <w:rsid w:val="545D1FBC"/>
    <w:rsid w:val="553F9B6E"/>
    <w:rsid w:val="5C765418"/>
    <w:rsid w:val="5CB173BE"/>
    <w:rsid w:val="62242E33"/>
    <w:rsid w:val="65B5CBD1"/>
    <w:rsid w:val="663967C0"/>
    <w:rsid w:val="6949381C"/>
    <w:rsid w:val="6C49505B"/>
    <w:rsid w:val="6DF34228"/>
    <w:rsid w:val="6EF63A2C"/>
    <w:rsid w:val="6FA75FDA"/>
    <w:rsid w:val="6FB9F83C"/>
    <w:rsid w:val="75AF913D"/>
    <w:rsid w:val="779F257C"/>
    <w:rsid w:val="77EF8E29"/>
    <w:rsid w:val="78E7366C"/>
    <w:rsid w:val="7B894F84"/>
    <w:rsid w:val="7CF1BD8F"/>
    <w:rsid w:val="7DF32B28"/>
    <w:rsid w:val="7EAD7F2A"/>
    <w:rsid w:val="7EEC28D8"/>
    <w:rsid w:val="7F972464"/>
    <w:rsid w:val="7FF79D15"/>
    <w:rsid w:val="7FF96DB4"/>
    <w:rsid w:val="7FFE1B93"/>
    <w:rsid w:val="AE26005B"/>
    <w:rsid w:val="B6DDABAB"/>
    <w:rsid w:val="B6EF9512"/>
    <w:rsid w:val="BA7B23C6"/>
    <w:rsid w:val="BB9F38AC"/>
    <w:rsid w:val="BEEF3D49"/>
    <w:rsid w:val="BFFE8DAE"/>
    <w:rsid w:val="C5BF6E21"/>
    <w:rsid w:val="CF3F5B61"/>
    <w:rsid w:val="D546B778"/>
    <w:rsid w:val="DF0D4DE1"/>
    <w:rsid w:val="DF4E43F5"/>
    <w:rsid w:val="E3AFDF65"/>
    <w:rsid w:val="E56F6415"/>
    <w:rsid w:val="EFFA8657"/>
    <w:rsid w:val="EFFF5D5B"/>
    <w:rsid w:val="F4A36558"/>
    <w:rsid w:val="F579ECF6"/>
    <w:rsid w:val="FABF0E34"/>
    <w:rsid w:val="FADCA9F2"/>
    <w:rsid w:val="FAFD9080"/>
    <w:rsid w:val="FAFF94F2"/>
    <w:rsid w:val="FBBB5510"/>
    <w:rsid w:val="FCF914AC"/>
    <w:rsid w:val="FDD9B875"/>
    <w:rsid w:val="FF1F9C20"/>
    <w:rsid w:val="FFF11647"/>
    <w:rsid w:val="FFFE2D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主题 Char"/>
    <w:basedOn w:val="10"/>
    <w:link w:val="6"/>
    <w:qFormat/>
    <w:uiPriority w:val="0"/>
    <w:rPr>
      <w:b/>
      <w:bCs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897</Words>
  <Characters>5119</Characters>
  <Lines>42</Lines>
  <Paragraphs>12</Paragraphs>
  <TotalTime>21</TotalTime>
  <ScaleCrop>false</ScaleCrop>
  <LinksUpToDate>false</LinksUpToDate>
  <CharactersWithSpaces>6004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2017-09-15T09:41:00Z</dcterms:created>
  <dc:creator>纵瑞龙</dc:creator>
  <cp:lastModifiedBy>kylin</cp:lastModifiedBy>
  <cp:lastPrinted>2023-08-14T08:45:00Z</cp:lastPrinted>
  <dcterms:modified xsi:type="dcterms:W3CDTF">2023-09-27T10:28:28Z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